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E1" w:rsidRDefault="006B4BE1" w:rsidP="006B4BE1">
      <w:bookmarkStart w:id="0" w:name="_GoBack"/>
      <w:bookmarkEnd w:id="0"/>
    </w:p>
    <w:p w:rsidR="006B4BE1" w:rsidRDefault="006B4BE1" w:rsidP="006B4BE1"/>
    <w:p w:rsidR="006B4BE1" w:rsidRDefault="006B4BE1" w:rsidP="006B4BE1"/>
    <w:p w:rsidR="00854EFD" w:rsidRDefault="00854EFD" w:rsidP="006B4BE1"/>
    <w:p w:rsidR="00854EFD" w:rsidRDefault="00854EFD" w:rsidP="006B4BE1"/>
    <w:p w:rsidR="00854EFD" w:rsidRDefault="00854EFD" w:rsidP="006B4BE1"/>
    <w:p w:rsidR="006B4BE1" w:rsidRDefault="006B4BE1" w:rsidP="006B4BE1"/>
    <w:p w:rsidR="006B4BE1" w:rsidRDefault="006B4BE1" w:rsidP="006B4BE1">
      <w:pPr>
        <w:jc w:val="center"/>
      </w:pPr>
      <w:r>
        <w:rPr>
          <w:noProof/>
          <w:lang w:eastAsia="en-GB"/>
        </w:rPr>
        <w:drawing>
          <wp:inline distT="0" distB="0" distL="0" distR="0" wp14:anchorId="6D2B0EB6" wp14:editId="27E04D8F">
            <wp:extent cx="2647315" cy="1743710"/>
            <wp:effectExtent l="0" t="0" r="635" b="8890"/>
            <wp:docPr id="2" name="Picture 2"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743710"/>
                    </a:xfrm>
                    <a:prstGeom prst="rect">
                      <a:avLst/>
                    </a:prstGeom>
                    <a:noFill/>
                    <a:ln>
                      <a:noFill/>
                    </a:ln>
                  </pic:spPr>
                </pic:pic>
              </a:graphicData>
            </a:graphic>
          </wp:inline>
        </w:drawing>
      </w:r>
    </w:p>
    <w:p w:rsidR="006B4BE1" w:rsidRDefault="006B4BE1" w:rsidP="006B4BE1">
      <w:pPr>
        <w:jc w:val="center"/>
      </w:pPr>
    </w:p>
    <w:p w:rsidR="006B4BE1" w:rsidRDefault="006B4BE1" w:rsidP="006B4BE1">
      <w:pPr>
        <w:jc w:val="center"/>
        <w:rPr>
          <w:sz w:val="36"/>
          <w:szCs w:val="36"/>
        </w:rPr>
      </w:pPr>
    </w:p>
    <w:p w:rsidR="006B4BE1" w:rsidRDefault="006B4BE1" w:rsidP="006B4BE1">
      <w:pPr>
        <w:jc w:val="center"/>
        <w:rPr>
          <w:sz w:val="36"/>
          <w:szCs w:val="36"/>
        </w:rPr>
      </w:pPr>
    </w:p>
    <w:p w:rsidR="006B4BE1" w:rsidRDefault="006B4BE1" w:rsidP="006B4BE1">
      <w:pPr>
        <w:jc w:val="center"/>
        <w:rPr>
          <w:sz w:val="36"/>
          <w:szCs w:val="36"/>
        </w:rPr>
      </w:pPr>
      <w:r>
        <w:rPr>
          <w:sz w:val="36"/>
          <w:szCs w:val="36"/>
        </w:rPr>
        <w:t>STATEMENT OF ACCOUNTS</w:t>
      </w:r>
    </w:p>
    <w:p w:rsidR="006B4BE1" w:rsidRDefault="006B4BE1" w:rsidP="006B4BE1">
      <w:pPr>
        <w:jc w:val="center"/>
        <w:rPr>
          <w:sz w:val="36"/>
          <w:szCs w:val="36"/>
        </w:rPr>
      </w:pPr>
    </w:p>
    <w:p w:rsidR="006B4BE1" w:rsidRDefault="006B4BE1" w:rsidP="006B4BE1">
      <w:pPr>
        <w:jc w:val="center"/>
        <w:rPr>
          <w:sz w:val="36"/>
          <w:szCs w:val="36"/>
        </w:rPr>
      </w:pPr>
      <w:r>
        <w:rPr>
          <w:sz w:val="36"/>
          <w:szCs w:val="36"/>
        </w:rPr>
        <w:t>201</w:t>
      </w:r>
      <w:r w:rsidR="00D01BAD">
        <w:rPr>
          <w:sz w:val="36"/>
          <w:szCs w:val="36"/>
        </w:rPr>
        <w:t>7</w:t>
      </w:r>
      <w:r>
        <w:rPr>
          <w:sz w:val="36"/>
          <w:szCs w:val="36"/>
        </w:rPr>
        <w:t>/1</w:t>
      </w:r>
      <w:r w:rsidR="00D01BAD">
        <w:rPr>
          <w:sz w:val="36"/>
          <w:szCs w:val="36"/>
        </w:rPr>
        <w:t>8</w:t>
      </w:r>
    </w:p>
    <w:p w:rsidR="006B4BE1" w:rsidRDefault="006B4BE1" w:rsidP="006B4BE1">
      <w:pPr>
        <w:jc w:val="center"/>
        <w:rPr>
          <w:sz w:val="36"/>
          <w:szCs w:val="36"/>
        </w:rPr>
      </w:pPr>
    </w:p>
    <w:p w:rsidR="006B4BE1" w:rsidRDefault="006B4BE1" w:rsidP="006B4BE1">
      <w:pPr>
        <w:jc w:val="center"/>
        <w:rPr>
          <w:sz w:val="36"/>
          <w:szCs w:val="36"/>
        </w:rPr>
      </w:pPr>
    </w:p>
    <w:p w:rsidR="006B4BE1" w:rsidRDefault="006B4BE1" w:rsidP="006B4BE1">
      <w:pPr>
        <w:jc w:val="center"/>
        <w:rPr>
          <w:sz w:val="36"/>
          <w:szCs w:val="36"/>
        </w:rPr>
      </w:pPr>
    </w:p>
    <w:p w:rsidR="00854EFD" w:rsidRDefault="00854EFD">
      <w:r>
        <w:br w:type="page"/>
      </w:r>
    </w:p>
    <w:p w:rsidR="006B4BE1" w:rsidRDefault="006B4BE1" w:rsidP="006B4BE1"/>
    <w:p w:rsidR="006B4BE1" w:rsidRDefault="006B4BE1" w:rsidP="006B4BE1">
      <w:pPr>
        <w:jc w:val="center"/>
        <w:rPr>
          <w:sz w:val="36"/>
          <w:szCs w:val="36"/>
        </w:rPr>
      </w:pPr>
    </w:p>
    <w:p w:rsidR="006B4BE1" w:rsidRDefault="006B4BE1" w:rsidP="006B4BE1">
      <w:pPr>
        <w:jc w:val="center"/>
        <w:rPr>
          <w:sz w:val="36"/>
          <w:szCs w:val="36"/>
        </w:rPr>
      </w:pPr>
    </w:p>
    <w:p w:rsidR="006B4BE1" w:rsidRDefault="006B4BE1" w:rsidP="006B4BE1">
      <w:pPr>
        <w:jc w:val="center"/>
        <w:rPr>
          <w:sz w:val="36"/>
          <w:szCs w:val="36"/>
        </w:rPr>
      </w:pPr>
    </w:p>
    <w:p w:rsidR="006B4BE1" w:rsidRPr="00B9284B" w:rsidRDefault="006B4BE1" w:rsidP="006B4BE1">
      <w:pPr>
        <w:pStyle w:val="Title"/>
      </w:pPr>
      <w:r>
        <w:t>LANCASHIRE COMBINED FIRE AUTHORITY</w:t>
      </w:r>
    </w:p>
    <w:p w:rsidR="006B4BE1" w:rsidRDefault="006B4BE1" w:rsidP="006B4BE1">
      <w:pPr>
        <w:jc w:val="center"/>
        <w:rPr>
          <w:b/>
          <w:sz w:val="28"/>
        </w:rPr>
      </w:pPr>
    </w:p>
    <w:p w:rsidR="006B4BE1" w:rsidRDefault="006B4BE1" w:rsidP="006B4BE1">
      <w:pPr>
        <w:jc w:val="center"/>
        <w:rPr>
          <w:b/>
          <w:sz w:val="28"/>
        </w:rPr>
      </w:pPr>
      <w:r>
        <w:rPr>
          <w:b/>
          <w:sz w:val="28"/>
        </w:rPr>
        <w:t xml:space="preserve">STATEMENT OF ACCOUNTS </w:t>
      </w:r>
      <w:r>
        <w:rPr>
          <w:b/>
          <w:caps/>
          <w:sz w:val="28"/>
        </w:rPr>
        <w:t>201</w:t>
      </w:r>
      <w:r w:rsidR="00D01BAD">
        <w:rPr>
          <w:b/>
          <w:caps/>
          <w:sz w:val="28"/>
        </w:rPr>
        <w:t>7</w:t>
      </w:r>
      <w:r>
        <w:rPr>
          <w:b/>
          <w:caps/>
          <w:sz w:val="28"/>
        </w:rPr>
        <w:t>/1</w:t>
      </w:r>
      <w:r w:rsidR="00D01BAD">
        <w:rPr>
          <w:b/>
          <w:caps/>
          <w:sz w:val="28"/>
        </w:rPr>
        <w:t>8</w:t>
      </w:r>
    </w:p>
    <w:p w:rsidR="006B4BE1" w:rsidRDefault="006B4BE1" w:rsidP="00A002ED">
      <w:pPr>
        <w:rPr>
          <w:b/>
          <w:sz w:val="28"/>
        </w:rPr>
      </w:pPr>
    </w:p>
    <w:p w:rsidR="006B4BE1" w:rsidRDefault="006B4BE1" w:rsidP="006B4BE1">
      <w:pPr>
        <w:jc w:val="center"/>
      </w:pPr>
      <w:r>
        <w:rPr>
          <w:b/>
          <w:sz w:val="28"/>
        </w:rPr>
        <w:t>CONTENTS</w:t>
      </w:r>
    </w:p>
    <w:p w:rsidR="006B4BE1" w:rsidRDefault="006B4BE1" w:rsidP="006B4BE1">
      <w:pPr>
        <w:jc w:val="center"/>
      </w:pPr>
    </w:p>
    <w:p w:rsidR="006B4BE1" w:rsidRDefault="006B4BE1" w:rsidP="006B4BE1">
      <w:pPr>
        <w:jc w:val="center"/>
      </w:pPr>
    </w:p>
    <w:tbl>
      <w:tblPr>
        <w:tblW w:w="9244" w:type="dxa"/>
        <w:tblLayout w:type="fixed"/>
        <w:tblLook w:val="0000" w:firstRow="0" w:lastRow="0" w:firstColumn="0" w:lastColumn="0" w:noHBand="0" w:noVBand="0"/>
      </w:tblPr>
      <w:tblGrid>
        <w:gridCol w:w="7758"/>
        <w:gridCol w:w="1486"/>
      </w:tblGrid>
      <w:tr w:rsidR="006B4BE1" w:rsidTr="002F318F">
        <w:tc>
          <w:tcPr>
            <w:tcW w:w="7758" w:type="dxa"/>
            <w:tcBorders>
              <w:top w:val="single" w:sz="6" w:space="0" w:color="auto"/>
            </w:tcBorders>
          </w:tcPr>
          <w:p w:rsidR="006B4BE1" w:rsidRDefault="006B4BE1" w:rsidP="002F318F">
            <w:pPr>
              <w:spacing w:before="120" w:after="120"/>
              <w:rPr>
                <w:sz w:val="22"/>
              </w:rPr>
            </w:pPr>
          </w:p>
        </w:tc>
        <w:tc>
          <w:tcPr>
            <w:tcW w:w="1486" w:type="dxa"/>
            <w:tcBorders>
              <w:top w:val="single" w:sz="6" w:space="0" w:color="auto"/>
            </w:tcBorders>
          </w:tcPr>
          <w:p w:rsidR="006B4BE1" w:rsidRDefault="006B4BE1" w:rsidP="002F318F">
            <w:pPr>
              <w:spacing w:before="120" w:after="120"/>
              <w:jc w:val="center"/>
              <w:rPr>
                <w:sz w:val="22"/>
              </w:rPr>
            </w:pPr>
            <w:r>
              <w:rPr>
                <w:b/>
                <w:sz w:val="22"/>
              </w:rPr>
              <w:t>Page</w:t>
            </w:r>
          </w:p>
        </w:tc>
      </w:tr>
      <w:tr w:rsidR="006B4BE1" w:rsidTr="002F318F">
        <w:tc>
          <w:tcPr>
            <w:tcW w:w="7758" w:type="dxa"/>
            <w:tcBorders>
              <w:top w:val="single" w:sz="6" w:space="0" w:color="auto"/>
              <w:bottom w:val="single" w:sz="6" w:space="0" w:color="auto"/>
            </w:tcBorders>
          </w:tcPr>
          <w:p w:rsidR="006B4BE1" w:rsidRDefault="006B4BE1" w:rsidP="002F318F">
            <w:pPr>
              <w:spacing w:before="120" w:after="120"/>
              <w:rPr>
                <w:sz w:val="22"/>
              </w:rPr>
            </w:pPr>
            <w:r>
              <w:rPr>
                <w:sz w:val="22"/>
              </w:rPr>
              <w:t xml:space="preserve">Narrative </w:t>
            </w:r>
            <w:r w:rsidRPr="00304022">
              <w:rPr>
                <w:sz w:val="22"/>
              </w:rPr>
              <w:t>Report</w:t>
            </w:r>
          </w:p>
        </w:tc>
        <w:tc>
          <w:tcPr>
            <w:tcW w:w="1486" w:type="dxa"/>
            <w:tcBorders>
              <w:top w:val="single" w:sz="6" w:space="0" w:color="auto"/>
              <w:bottom w:val="single" w:sz="6" w:space="0" w:color="auto"/>
            </w:tcBorders>
          </w:tcPr>
          <w:p w:rsidR="006B4BE1" w:rsidRPr="00D01BAD" w:rsidRDefault="006B4BE1" w:rsidP="002F318F">
            <w:pPr>
              <w:spacing w:before="120" w:after="120"/>
              <w:jc w:val="center"/>
              <w:rPr>
                <w:sz w:val="22"/>
                <w:highlight w:val="yellow"/>
              </w:rPr>
            </w:pPr>
            <w:r w:rsidRPr="00882E25">
              <w:rPr>
                <w:sz w:val="22"/>
              </w:rPr>
              <w:t>1</w:t>
            </w:r>
          </w:p>
        </w:tc>
      </w:tr>
      <w:tr w:rsidR="006B4BE1" w:rsidTr="002F318F">
        <w:tc>
          <w:tcPr>
            <w:tcW w:w="7758" w:type="dxa"/>
            <w:tcBorders>
              <w:top w:val="single" w:sz="6" w:space="0" w:color="auto"/>
              <w:bottom w:val="single" w:sz="6" w:space="0" w:color="auto"/>
            </w:tcBorders>
          </w:tcPr>
          <w:p w:rsidR="006B4BE1" w:rsidRPr="006C28D2" w:rsidRDefault="006B4BE1" w:rsidP="002F318F">
            <w:pPr>
              <w:spacing w:before="120" w:after="120"/>
              <w:rPr>
                <w:sz w:val="22"/>
              </w:rPr>
            </w:pPr>
            <w:r w:rsidRPr="006C28D2">
              <w:rPr>
                <w:sz w:val="22"/>
              </w:rPr>
              <w:t>Statement on Annual Governance Arrangements</w:t>
            </w:r>
          </w:p>
        </w:tc>
        <w:tc>
          <w:tcPr>
            <w:tcW w:w="1486" w:type="dxa"/>
            <w:tcBorders>
              <w:top w:val="single" w:sz="6" w:space="0" w:color="auto"/>
              <w:bottom w:val="single" w:sz="6" w:space="0" w:color="auto"/>
            </w:tcBorders>
          </w:tcPr>
          <w:p w:rsidR="006B4BE1" w:rsidRPr="00D01BAD" w:rsidRDefault="00853343" w:rsidP="002F318F">
            <w:pPr>
              <w:spacing w:before="120" w:after="120"/>
              <w:jc w:val="center"/>
              <w:rPr>
                <w:sz w:val="22"/>
                <w:highlight w:val="yellow"/>
              </w:rPr>
            </w:pPr>
            <w:r>
              <w:rPr>
                <w:sz w:val="22"/>
              </w:rPr>
              <w:t>9</w:t>
            </w:r>
          </w:p>
        </w:tc>
      </w:tr>
      <w:tr w:rsidR="006B4BE1" w:rsidTr="002F318F">
        <w:tc>
          <w:tcPr>
            <w:tcW w:w="7758" w:type="dxa"/>
            <w:tcBorders>
              <w:bottom w:val="single" w:sz="6" w:space="0" w:color="auto"/>
            </w:tcBorders>
          </w:tcPr>
          <w:p w:rsidR="006B4BE1" w:rsidRPr="00CC1963" w:rsidRDefault="00CC1963" w:rsidP="00CC1963">
            <w:pPr>
              <w:spacing w:before="120" w:after="120"/>
              <w:rPr>
                <w:sz w:val="22"/>
              </w:rPr>
            </w:pPr>
            <w:r>
              <w:rPr>
                <w:rFonts w:cs="Arial"/>
                <w:sz w:val="22"/>
                <w:szCs w:val="22"/>
              </w:rPr>
              <w:t>Independent</w:t>
            </w:r>
            <w:r w:rsidRPr="00CC1963">
              <w:rPr>
                <w:rFonts w:cs="Arial"/>
                <w:sz w:val="22"/>
                <w:szCs w:val="22"/>
              </w:rPr>
              <w:t xml:space="preserve"> A</w:t>
            </w:r>
            <w:r>
              <w:rPr>
                <w:rFonts w:cs="Arial"/>
                <w:sz w:val="22"/>
                <w:szCs w:val="22"/>
              </w:rPr>
              <w:t>uditor’s</w:t>
            </w:r>
            <w:r w:rsidRPr="00CC1963">
              <w:rPr>
                <w:rFonts w:cs="Arial"/>
                <w:sz w:val="22"/>
                <w:szCs w:val="22"/>
              </w:rPr>
              <w:t xml:space="preserve"> R</w:t>
            </w:r>
            <w:r>
              <w:rPr>
                <w:rFonts w:cs="Arial"/>
                <w:sz w:val="22"/>
                <w:szCs w:val="22"/>
              </w:rPr>
              <w:t>eport</w:t>
            </w:r>
            <w:r w:rsidRPr="00CC1963">
              <w:rPr>
                <w:rFonts w:cs="Arial"/>
                <w:sz w:val="22"/>
                <w:szCs w:val="22"/>
              </w:rPr>
              <w:t xml:space="preserve"> </w:t>
            </w:r>
            <w:r>
              <w:rPr>
                <w:rFonts w:cs="Arial"/>
                <w:sz w:val="22"/>
                <w:szCs w:val="22"/>
              </w:rPr>
              <w:t>to</w:t>
            </w:r>
            <w:r w:rsidRPr="00CC1963">
              <w:rPr>
                <w:rFonts w:cs="Arial"/>
                <w:sz w:val="22"/>
                <w:szCs w:val="22"/>
              </w:rPr>
              <w:t xml:space="preserve"> </w:t>
            </w:r>
            <w:r>
              <w:rPr>
                <w:rFonts w:cs="Arial"/>
                <w:sz w:val="22"/>
                <w:szCs w:val="22"/>
              </w:rPr>
              <w:t>the</w:t>
            </w:r>
            <w:r w:rsidRPr="00CC1963">
              <w:rPr>
                <w:rFonts w:cs="Arial"/>
                <w:sz w:val="22"/>
                <w:szCs w:val="22"/>
              </w:rPr>
              <w:t xml:space="preserve"> M</w:t>
            </w:r>
            <w:r>
              <w:rPr>
                <w:rFonts w:cs="Arial"/>
                <w:sz w:val="22"/>
                <w:szCs w:val="22"/>
              </w:rPr>
              <w:t>embers</w:t>
            </w:r>
            <w:r w:rsidRPr="00CC1963">
              <w:rPr>
                <w:rFonts w:cs="Arial"/>
                <w:sz w:val="22"/>
                <w:szCs w:val="22"/>
              </w:rPr>
              <w:t xml:space="preserve"> </w:t>
            </w:r>
            <w:r>
              <w:rPr>
                <w:rFonts w:cs="Arial"/>
                <w:sz w:val="22"/>
                <w:szCs w:val="22"/>
              </w:rPr>
              <w:t>of</w:t>
            </w:r>
            <w:r w:rsidRPr="00CC1963">
              <w:rPr>
                <w:rFonts w:cs="Arial"/>
                <w:sz w:val="22"/>
                <w:szCs w:val="22"/>
              </w:rPr>
              <w:t xml:space="preserve"> L</w:t>
            </w:r>
            <w:r>
              <w:rPr>
                <w:rFonts w:cs="Arial"/>
                <w:sz w:val="22"/>
                <w:szCs w:val="22"/>
              </w:rPr>
              <w:t>ancashire</w:t>
            </w:r>
            <w:r w:rsidRPr="00CC1963">
              <w:rPr>
                <w:rFonts w:cs="Arial"/>
                <w:sz w:val="22"/>
                <w:szCs w:val="22"/>
              </w:rPr>
              <w:t xml:space="preserve"> C</w:t>
            </w:r>
            <w:r>
              <w:rPr>
                <w:rFonts w:cs="Arial"/>
                <w:sz w:val="22"/>
                <w:szCs w:val="22"/>
              </w:rPr>
              <w:t>ombined</w:t>
            </w:r>
            <w:r w:rsidRPr="00CC1963">
              <w:rPr>
                <w:rFonts w:cs="Arial"/>
                <w:sz w:val="22"/>
                <w:szCs w:val="22"/>
              </w:rPr>
              <w:t xml:space="preserve"> F</w:t>
            </w:r>
            <w:r>
              <w:rPr>
                <w:rFonts w:cs="Arial"/>
                <w:sz w:val="22"/>
                <w:szCs w:val="22"/>
              </w:rPr>
              <w:t>ire</w:t>
            </w:r>
            <w:r w:rsidRPr="00CC1963">
              <w:rPr>
                <w:rFonts w:cs="Arial"/>
                <w:sz w:val="22"/>
                <w:szCs w:val="22"/>
              </w:rPr>
              <w:t xml:space="preserve"> A</w:t>
            </w:r>
            <w:r>
              <w:rPr>
                <w:rFonts w:cs="Arial"/>
                <w:sz w:val="22"/>
                <w:szCs w:val="22"/>
              </w:rPr>
              <w:t>uthority</w:t>
            </w:r>
          </w:p>
        </w:tc>
        <w:tc>
          <w:tcPr>
            <w:tcW w:w="1486" w:type="dxa"/>
            <w:tcBorders>
              <w:bottom w:val="single" w:sz="6" w:space="0" w:color="auto"/>
            </w:tcBorders>
          </w:tcPr>
          <w:p w:rsidR="006B4BE1" w:rsidRPr="00D01BAD" w:rsidRDefault="00853343" w:rsidP="00853343">
            <w:pPr>
              <w:spacing w:before="120" w:after="120"/>
              <w:jc w:val="center"/>
              <w:rPr>
                <w:sz w:val="22"/>
                <w:highlight w:val="yellow"/>
              </w:rPr>
            </w:pPr>
            <w:r w:rsidRPr="00996DD8">
              <w:rPr>
                <w:sz w:val="22"/>
              </w:rPr>
              <w:t>1</w:t>
            </w:r>
            <w:r>
              <w:rPr>
                <w:sz w:val="22"/>
              </w:rPr>
              <w:t>5</w:t>
            </w:r>
          </w:p>
        </w:tc>
      </w:tr>
      <w:tr w:rsidR="006B4BE1" w:rsidTr="002F318F">
        <w:tc>
          <w:tcPr>
            <w:tcW w:w="7758" w:type="dxa"/>
            <w:tcBorders>
              <w:top w:val="single" w:sz="6" w:space="0" w:color="auto"/>
              <w:bottom w:val="single" w:sz="4" w:space="0" w:color="auto"/>
            </w:tcBorders>
          </w:tcPr>
          <w:p w:rsidR="006B4BE1" w:rsidRDefault="006B4BE1" w:rsidP="002F318F">
            <w:pPr>
              <w:spacing w:before="120" w:after="120"/>
              <w:rPr>
                <w:sz w:val="22"/>
              </w:rPr>
            </w:pPr>
            <w:r>
              <w:rPr>
                <w:sz w:val="22"/>
              </w:rPr>
              <w:t>Statement of Responsibilities</w:t>
            </w:r>
          </w:p>
        </w:tc>
        <w:tc>
          <w:tcPr>
            <w:tcW w:w="1486" w:type="dxa"/>
            <w:tcBorders>
              <w:top w:val="single" w:sz="6" w:space="0" w:color="auto"/>
              <w:bottom w:val="single" w:sz="4" w:space="0" w:color="auto"/>
            </w:tcBorders>
          </w:tcPr>
          <w:p w:rsidR="006B4BE1" w:rsidRPr="00996DD8" w:rsidRDefault="00853343" w:rsidP="00853343">
            <w:pPr>
              <w:spacing w:before="120" w:after="120"/>
              <w:jc w:val="center"/>
              <w:rPr>
                <w:sz w:val="22"/>
              </w:rPr>
            </w:pPr>
            <w:r w:rsidRPr="00996DD8">
              <w:rPr>
                <w:sz w:val="22"/>
              </w:rPr>
              <w:t>1</w:t>
            </w:r>
            <w:r w:rsidR="00301221">
              <w:rPr>
                <w:sz w:val="22"/>
              </w:rPr>
              <w:t>9</w:t>
            </w:r>
          </w:p>
        </w:tc>
      </w:tr>
      <w:tr w:rsidR="006B4BE1" w:rsidTr="002F318F">
        <w:tc>
          <w:tcPr>
            <w:tcW w:w="7758" w:type="dxa"/>
            <w:tcBorders>
              <w:top w:val="single" w:sz="4" w:space="0" w:color="auto"/>
              <w:bottom w:val="single" w:sz="6" w:space="0" w:color="auto"/>
            </w:tcBorders>
          </w:tcPr>
          <w:p w:rsidR="006B4BE1" w:rsidRDefault="006B4BE1" w:rsidP="002F318F">
            <w:pPr>
              <w:spacing w:before="120" w:after="120"/>
              <w:rPr>
                <w:sz w:val="22"/>
              </w:rPr>
            </w:pPr>
            <w:r>
              <w:rPr>
                <w:sz w:val="22"/>
              </w:rPr>
              <w:t>Comprehensive Income and Expenditure Statement</w:t>
            </w:r>
          </w:p>
        </w:tc>
        <w:tc>
          <w:tcPr>
            <w:tcW w:w="1486" w:type="dxa"/>
            <w:tcBorders>
              <w:top w:val="single" w:sz="4" w:space="0" w:color="auto"/>
              <w:bottom w:val="single" w:sz="6" w:space="0" w:color="auto"/>
            </w:tcBorders>
          </w:tcPr>
          <w:p w:rsidR="006B4BE1" w:rsidRPr="00996DD8" w:rsidRDefault="00301221" w:rsidP="00853343">
            <w:pPr>
              <w:spacing w:before="120" w:after="120"/>
              <w:jc w:val="center"/>
              <w:rPr>
                <w:sz w:val="22"/>
              </w:rPr>
            </w:pPr>
            <w:r>
              <w:rPr>
                <w:sz w:val="22"/>
              </w:rPr>
              <w:t>20</w:t>
            </w:r>
          </w:p>
        </w:tc>
      </w:tr>
      <w:tr w:rsidR="006B4BE1" w:rsidTr="002F318F">
        <w:tc>
          <w:tcPr>
            <w:tcW w:w="7758" w:type="dxa"/>
            <w:tcBorders>
              <w:top w:val="single" w:sz="4" w:space="0" w:color="auto"/>
              <w:bottom w:val="single" w:sz="6" w:space="0" w:color="auto"/>
            </w:tcBorders>
          </w:tcPr>
          <w:p w:rsidR="006B4BE1" w:rsidRDefault="006B4BE1" w:rsidP="002F318F">
            <w:pPr>
              <w:spacing w:before="120" w:after="120"/>
              <w:rPr>
                <w:sz w:val="22"/>
              </w:rPr>
            </w:pPr>
            <w:r>
              <w:rPr>
                <w:sz w:val="22"/>
              </w:rPr>
              <w:t>Movement on Reserves Statement</w:t>
            </w:r>
          </w:p>
        </w:tc>
        <w:tc>
          <w:tcPr>
            <w:tcW w:w="1486" w:type="dxa"/>
            <w:tcBorders>
              <w:top w:val="single" w:sz="4" w:space="0" w:color="auto"/>
              <w:bottom w:val="single" w:sz="6" w:space="0" w:color="auto"/>
            </w:tcBorders>
          </w:tcPr>
          <w:p w:rsidR="006B4BE1" w:rsidRPr="00996DD8" w:rsidRDefault="00853343" w:rsidP="002F318F">
            <w:pPr>
              <w:spacing w:before="120" w:after="120"/>
              <w:jc w:val="center"/>
              <w:rPr>
                <w:sz w:val="22"/>
              </w:rPr>
            </w:pPr>
            <w:r>
              <w:rPr>
                <w:sz w:val="22"/>
              </w:rPr>
              <w:t>2</w:t>
            </w:r>
            <w:r w:rsidR="00301221">
              <w:rPr>
                <w:sz w:val="22"/>
              </w:rPr>
              <w:t>1</w:t>
            </w:r>
          </w:p>
        </w:tc>
      </w:tr>
      <w:tr w:rsidR="006B4BE1" w:rsidTr="002F318F">
        <w:tc>
          <w:tcPr>
            <w:tcW w:w="7758" w:type="dxa"/>
            <w:tcBorders>
              <w:bottom w:val="single" w:sz="6" w:space="0" w:color="auto"/>
            </w:tcBorders>
          </w:tcPr>
          <w:p w:rsidR="006B4BE1" w:rsidRDefault="006B4BE1" w:rsidP="002F318F">
            <w:pPr>
              <w:spacing w:before="120" w:after="120"/>
              <w:rPr>
                <w:sz w:val="22"/>
              </w:rPr>
            </w:pPr>
            <w:r>
              <w:rPr>
                <w:sz w:val="22"/>
              </w:rPr>
              <w:t>Balance Sheet</w:t>
            </w:r>
          </w:p>
        </w:tc>
        <w:tc>
          <w:tcPr>
            <w:tcW w:w="1486" w:type="dxa"/>
            <w:tcBorders>
              <w:bottom w:val="single" w:sz="6" w:space="0" w:color="auto"/>
            </w:tcBorders>
          </w:tcPr>
          <w:p w:rsidR="006B4BE1" w:rsidRPr="00996DD8" w:rsidRDefault="00853343" w:rsidP="00853343">
            <w:pPr>
              <w:spacing w:before="120" w:after="120"/>
              <w:jc w:val="center"/>
              <w:rPr>
                <w:sz w:val="22"/>
              </w:rPr>
            </w:pPr>
            <w:r w:rsidRPr="00996DD8">
              <w:rPr>
                <w:sz w:val="22"/>
              </w:rPr>
              <w:t>2</w:t>
            </w:r>
            <w:r w:rsidR="00301221">
              <w:rPr>
                <w:sz w:val="22"/>
              </w:rPr>
              <w:t>3</w:t>
            </w:r>
          </w:p>
        </w:tc>
      </w:tr>
      <w:tr w:rsidR="006B4BE1" w:rsidTr="002F318F">
        <w:tc>
          <w:tcPr>
            <w:tcW w:w="7758" w:type="dxa"/>
            <w:tcBorders>
              <w:bottom w:val="single" w:sz="6" w:space="0" w:color="auto"/>
            </w:tcBorders>
          </w:tcPr>
          <w:p w:rsidR="006B4BE1" w:rsidRDefault="006B4BE1" w:rsidP="002F318F">
            <w:pPr>
              <w:spacing w:before="120" w:after="120"/>
              <w:rPr>
                <w:sz w:val="22"/>
              </w:rPr>
            </w:pPr>
            <w:r>
              <w:rPr>
                <w:sz w:val="22"/>
              </w:rPr>
              <w:t>Cash Flow Statement</w:t>
            </w:r>
          </w:p>
        </w:tc>
        <w:tc>
          <w:tcPr>
            <w:tcW w:w="1486" w:type="dxa"/>
            <w:tcBorders>
              <w:bottom w:val="single" w:sz="6" w:space="0" w:color="auto"/>
            </w:tcBorders>
          </w:tcPr>
          <w:p w:rsidR="006B4BE1" w:rsidRPr="00996DD8" w:rsidRDefault="00853343" w:rsidP="00853343">
            <w:pPr>
              <w:spacing w:before="120" w:after="120"/>
              <w:jc w:val="center"/>
              <w:rPr>
                <w:sz w:val="22"/>
              </w:rPr>
            </w:pPr>
            <w:r w:rsidRPr="00996DD8">
              <w:rPr>
                <w:sz w:val="22"/>
              </w:rPr>
              <w:t>2</w:t>
            </w:r>
            <w:r w:rsidR="00301221">
              <w:rPr>
                <w:sz w:val="22"/>
              </w:rPr>
              <w:t>4</w:t>
            </w:r>
          </w:p>
        </w:tc>
      </w:tr>
      <w:tr w:rsidR="006B4BE1" w:rsidTr="002F318F">
        <w:tc>
          <w:tcPr>
            <w:tcW w:w="7758" w:type="dxa"/>
            <w:tcBorders>
              <w:bottom w:val="single" w:sz="6" w:space="0" w:color="auto"/>
            </w:tcBorders>
          </w:tcPr>
          <w:p w:rsidR="006B4BE1" w:rsidRDefault="006B4BE1" w:rsidP="002F318F">
            <w:pPr>
              <w:spacing w:before="120" w:after="120"/>
              <w:rPr>
                <w:sz w:val="22"/>
              </w:rPr>
            </w:pPr>
            <w:r>
              <w:rPr>
                <w:sz w:val="22"/>
              </w:rPr>
              <w:t>Notes to the Core Financial Statements</w:t>
            </w:r>
          </w:p>
        </w:tc>
        <w:tc>
          <w:tcPr>
            <w:tcW w:w="1486" w:type="dxa"/>
            <w:tcBorders>
              <w:bottom w:val="single" w:sz="6" w:space="0" w:color="auto"/>
            </w:tcBorders>
          </w:tcPr>
          <w:p w:rsidR="006B4BE1" w:rsidRPr="00D01BAD" w:rsidRDefault="00853343" w:rsidP="00853343">
            <w:pPr>
              <w:spacing w:before="120" w:after="120"/>
              <w:jc w:val="center"/>
              <w:rPr>
                <w:sz w:val="22"/>
                <w:highlight w:val="yellow"/>
              </w:rPr>
            </w:pPr>
            <w:r w:rsidRPr="00996DD8">
              <w:rPr>
                <w:sz w:val="22"/>
              </w:rPr>
              <w:t>2</w:t>
            </w:r>
            <w:r w:rsidR="00301221">
              <w:rPr>
                <w:sz w:val="22"/>
              </w:rPr>
              <w:t>5</w:t>
            </w:r>
          </w:p>
        </w:tc>
      </w:tr>
      <w:tr w:rsidR="006B4BE1" w:rsidTr="002F318F">
        <w:tc>
          <w:tcPr>
            <w:tcW w:w="7758" w:type="dxa"/>
            <w:tcBorders>
              <w:bottom w:val="single" w:sz="6" w:space="0" w:color="auto"/>
            </w:tcBorders>
          </w:tcPr>
          <w:p w:rsidR="006B4BE1" w:rsidRDefault="006B4BE1" w:rsidP="002F318F">
            <w:pPr>
              <w:spacing w:before="120" w:after="120"/>
              <w:rPr>
                <w:sz w:val="22"/>
              </w:rPr>
            </w:pPr>
            <w:r>
              <w:rPr>
                <w:sz w:val="22"/>
              </w:rPr>
              <w:t>Fire Fighters Pension Fund Account</w:t>
            </w:r>
            <w:r w:rsidR="00CA3DCD">
              <w:rPr>
                <w:sz w:val="22"/>
              </w:rPr>
              <w:t xml:space="preserve"> and Net Assets Statement</w:t>
            </w:r>
          </w:p>
        </w:tc>
        <w:tc>
          <w:tcPr>
            <w:tcW w:w="1486" w:type="dxa"/>
            <w:tcBorders>
              <w:bottom w:val="single" w:sz="6" w:space="0" w:color="auto"/>
            </w:tcBorders>
          </w:tcPr>
          <w:p w:rsidR="006B4BE1" w:rsidRPr="00996DD8" w:rsidRDefault="00E874AD" w:rsidP="00E874AD">
            <w:pPr>
              <w:spacing w:before="120" w:after="120"/>
              <w:jc w:val="center"/>
              <w:rPr>
                <w:sz w:val="22"/>
              </w:rPr>
            </w:pPr>
            <w:r w:rsidRPr="00996DD8">
              <w:rPr>
                <w:sz w:val="22"/>
              </w:rPr>
              <w:t>6</w:t>
            </w:r>
            <w:r w:rsidR="00301221">
              <w:rPr>
                <w:sz w:val="22"/>
              </w:rPr>
              <w:t>4</w:t>
            </w:r>
          </w:p>
        </w:tc>
      </w:tr>
      <w:tr w:rsidR="006B4BE1" w:rsidTr="002F318F">
        <w:tc>
          <w:tcPr>
            <w:tcW w:w="7758" w:type="dxa"/>
            <w:tcBorders>
              <w:bottom w:val="single" w:sz="6" w:space="0" w:color="auto"/>
            </w:tcBorders>
          </w:tcPr>
          <w:p w:rsidR="006B4BE1" w:rsidRDefault="006B4BE1" w:rsidP="002F318F">
            <w:pPr>
              <w:spacing w:before="120" w:after="120"/>
              <w:rPr>
                <w:sz w:val="22"/>
              </w:rPr>
            </w:pPr>
            <w:r>
              <w:rPr>
                <w:sz w:val="22"/>
              </w:rPr>
              <w:t>Glossary of Terms</w:t>
            </w:r>
          </w:p>
        </w:tc>
        <w:tc>
          <w:tcPr>
            <w:tcW w:w="1486" w:type="dxa"/>
            <w:tcBorders>
              <w:bottom w:val="single" w:sz="6" w:space="0" w:color="auto"/>
            </w:tcBorders>
          </w:tcPr>
          <w:p w:rsidR="006B4BE1" w:rsidRPr="00996DD8" w:rsidRDefault="00E874AD" w:rsidP="001D3FF0">
            <w:pPr>
              <w:spacing w:before="120" w:after="120"/>
              <w:jc w:val="center"/>
              <w:rPr>
                <w:sz w:val="22"/>
              </w:rPr>
            </w:pPr>
            <w:r w:rsidRPr="00996DD8">
              <w:rPr>
                <w:sz w:val="22"/>
              </w:rPr>
              <w:t>6</w:t>
            </w:r>
            <w:r w:rsidR="00301221">
              <w:rPr>
                <w:sz w:val="22"/>
              </w:rPr>
              <w:t>6</w:t>
            </w:r>
          </w:p>
        </w:tc>
      </w:tr>
    </w:tbl>
    <w:p w:rsidR="006B4BE1" w:rsidRDefault="006B4BE1" w:rsidP="006B4BE1">
      <w:pPr>
        <w:spacing w:before="120" w:after="120"/>
        <w:jc w:val="center"/>
        <w:rPr>
          <w:b/>
          <w:sz w:val="22"/>
        </w:rPr>
      </w:pPr>
    </w:p>
    <w:p w:rsidR="006B4BE1" w:rsidRDefault="006B4BE1" w:rsidP="006B4BE1">
      <w:pPr>
        <w:rPr>
          <w:b/>
          <w:sz w:val="22"/>
        </w:rPr>
        <w:sectPr w:rsidR="006B4BE1" w:rsidSect="00854EFD">
          <w:footerReference w:type="default" r:id="rId10"/>
          <w:pgSz w:w="11907" w:h="16840" w:code="9"/>
          <w:pgMar w:top="1440" w:right="1440" w:bottom="1440" w:left="1440" w:header="706" w:footer="706" w:gutter="0"/>
          <w:pgNumType w:start="1"/>
          <w:cols w:space="720"/>
          <w:docGrid w:linePitch="326"/>
        </w:sectPr>
      </w:pPr>
    </w:p>
    <w:p w:rsidR="006B4BE1" w:rsidRDefault="006B4BE1" w:rsidP="006B4BE1">
      <w:pPr>
        <w:jc w:val="center"/>
        <w:rPr>
          <w:b/>
          <w:sz w:val="22"/>
        </w:rPr>
      </w:pPr>
      <w:r>
        <w:rPr>
          <w:b/>
          <w:sz w:val="22"/>
        </w:rPr>
        <w:lastRenderedPageBreak/>
        <w:t xml:space="preserve">NARRATIVE </w:t>
      </w:r>
      <w:r w:rsidRPr="00E351F3">
        <w:rPr>
          <w:b/>
          <w:sz w:val="22"/>
        </w:rPr>
        <w:t>REPORT</w:t>
      </w:r>
    </w:p>
    <w:p w:rsidR="006B4BE1" w:rsidRPr="009E5096" w:rsidRDefault="006B4BE1" w:rsidP="006B4BE1">
      <w:pPr>
        <w:pStyle w:val="Footer"/>
        <w:tabs>
          <w:tab w:val="clear" w:pos="4153"/>
          <w:tab w:val="clear" w:pos="8306"/>
        </w:tabs>
        <w:rPr>
          <w:sz w:val="22"/>
          <w:szCs w:val="22"/>
        </w:rPr>
      </w:pPr>
    </w:p>
    <w:p w:rsidR="006B4BE1" w:rsidRPr="006C28D2" w:rsidRDefault="006B4BE1" w:rsidP="006B4BE1">
      <w:pPr>
        <w:jc w:val="both"/>
        <w:rPr>
          <w:sz w:val="22"/>
          <w:szCs w:val="22"/>
        </w:rPr>
      </w:pPr>
      <w:r w:rsidRPr="009E5096">
        <w:rPr>
          <w:sz w:val="22"/>
          <w:szCs w:val="22"/>
        </w:rPr>
        <w:t>The Lancashire Combined Fire Authority (</w:t>
      </w:r>
      <w:r w:rsidRPr="006C28D2">
        <w:rPr>
          <w:sz w:val="22"/>
          <w:szCs w:val="22"/>
        </w:rPr>
        <w:t xml:space="preserve">CFA) (the Authority) was established as a free-standing body from 1 April 1998.  It sets its own budget, holds its own reserves, raises its own council tax and receives funding direct from the Government and through business rates. </w:t>
      </w:r>
    </w:p>
    <w:p w:rsidR="006B4BE1" w:rsidRPr="006C28D2" w:rsidRDefault="006B4BE1" w:rsidP="006B4BE1">
      <w:pPr>
        <w:jc w:val="both"/>
        <w:rPr>
          <w:sz w:val="22"/>
          <w:szCs w:val="22"/>
        </w:rPr>
      </w:pPr>
    </w:p>
    <w:p w:rsidR="006B4BE1" w:rsidRPr="006C28D2" w:rsidRDefault="006B4BE1" w:rsidP="006B4BE1">
      <w:pPr>
        <w:jc w:val="both"/>
        <w:rPr>
          <w:sz w:val="22"/>
          <w:szCs w:val="22"/>
        </w:rPr>
      </w:pPr>
      <w:r w:rsidRPr="006C28D2">
        <w:rPr>
          <w:sz w:val="22"/>
          <w:szCs w:val="22"/>
        </w:rPr>
        <w:t>The Authority must prepare and publish a Statement of Accounts annually.  Its purpose is to give electors, local taxpayers, Fire Authority Members, employees and other interested parties clear information about the Fire authority’s finances.</w:t>
      </w:r>
    </w:p>
    <w:p w:rsidR="006B4BE1" w:rsidRPr="006C28D2" w:rsidRDefault="006B4BE1" w:rsidP="006B4BE1">
      <w:pPr>
        <w:jc w:val="both"/>
        <w:rPr>
          <w:sz w:val="22"/>
          <w:szCs w:val="22"/>
        </w:rPr>
      </w:pPr>
    </w:p>
    <w:p w:rsidR="006B4BE1" w:rsidRPr="006C28D2" w:rsidRDefault="006B4BE1" w:rsidP="006B4BE1">
      <w:pPr>
        <w:jc w:val="both"/>
        <w:rPr>
          <w:sz w:val="22"/>
          <w:szCs w:val="22"/>
        </w:rPr>
      </w:pPr>
      <w:r w:rsidRPr="006C28D2">
        <w:rPr>
          <w:sz w:val="22"/>
          <w:szCs w:val="22"/>
        </w:rPr>
        <w:t>The aim is to provide information on:</w:t>
      </w:r>
    </w:p>
    <w:p w:rsidR="006B4BE1" w:rsidRPr="006C28D2" w:rsidRDefault="006B4BE1" w:rsidP="006B4BE1">
      <w:pPr>
        <w:jc w:val="both"/>
        <w:rPr>
          <w:sz w:val="22"/>
          <w:szCs w:val="22"/>
        </w:rPr>
      </w:pPr>
    </w:p>
    <w:p w:rsidR="006B4BE1" w:rsidRPr="006C28D2" w:rsidRDefault="006B4BE1" w:rsidP="00882E25">
      <w:pPr>
        <w:numPr>
          <w:ilvl w:val="0"/>
          <w:numId w:val="37"/>
        </w:numPr>
        <w:jc w:val="both"/>
        <w:rPr>
          <w:sz w:val="22"/>
          <w:szCs w:val="22"/>
        </w:rPr>
      </w:pPr>
      <w:r w:rsidRPr="006C28D2">
        <w:rPr>
          <w:sz w:val="22"/>
          <w:szCs w:val="22"/>
        </w:rPr>
        <w:t>the cost of providing Fire Authority services in the financial year 201</w:t>
      </w:r>
      <w:r w:rsidR="00D01BAD">
        <w:rPr>
          <w:sz w:val="22"/>
          <w:szCs w:val="22"/>
        </w:rPr>
        <w:t>7</w:t>
      </w:r>
      <w:r w:rsidRPr="006C28D2">
        <w:rPr>
          <w:sz w:val="22"/>
          <w:szCs w:val="22"/>
        </w:rPr>
        <w:t>/1</w:t>
      </w:r>
      <w:r w:rsidR="00D01BAD">
        <w:rPr>
          <w:sz w:val="22"/>
          <w:szCs w:val="22"/>
        </w:rPr>
        <w:t>8</w:t>
      </w:r>
    </w:p>
    <w:p w:rsidR="006B4BE1" w:rsidRPr="006C28D2" w:rsidRDefault="006B4BE1" w:rsidP="00882E25">
      <w:pPr>
        <w:numPr>
          <w:ilvl w:val="0"/>
          <w:numId w:val="37"/>
        </w:numPr>
        <w:jc w:val="both"/>
        <w:rPr>
          <w:sz w:val="22"/>
          <w:szCs w:val="22"/>
        </w:rPr>
      </w:pPr>
      <w:r w:rsidRPr="006C28D2">
        <w:rPr>
          <w:sz w:val="22"/>
          <w:szCs w:val="22"/>
        </w:rPr>
        <w:t>how these services were paid for</w:t>
      </w:r>
    </w:p>
    <w:p w:rsidR="006B4BE1" w:rsidRPr="006C28D2" w:rsidRDefault="006B4BE1" w:rsidP="00882E25">
      <w:pPr>
        <w:numPr>
          <w:ilvl w:val="0"/>
          <w:numId w:val="37"/>
        </w:numPr>
        <w:jc w:val="both"/>
        <w:rPr>
          <w:sz w:val="22"/>
          <w:szCs w:val="22"/>
        </w:rPr>
      </w:pPr>
      <w:r w:rsidRPr="006C28D2">
        <w:rPr>
          <w:sz w:val="22"/>
          <w:szCs w:val="22"/>
        </w:rPr>
        <w:t>what assets the Fire Authority owned at the end of the financial year, and</w:t>
      </w:r>
    </w:p>
    <w:p w:rsidR="006B4BE1" w:rsidRPr="006C28D2" w:rsidRDefault="006B4BE1" w:rsidP="00882E25">
      <w:pPr>
        <w:numPr>
          <w:ilvl w:val="0"/>
          <w:numId w:val="37"/>
        </w:numPr>
        <w:jc w:val="both"/>
        <w:rPr>
          <w:sz w:val="22"/>
          <w:szCs w:val="22"/>
        </w:rPr>
      </w:pPr>
      <w:proofErr w:type="gramStart"/>
      <w:r w:rsidRPr="006C28D2">
        <w:rPr>
          <w:sz w:val="22"/>
          <w:szCs w:val="22"/>
        </w:rPr>
        <w:t>what</w:t>
      </w:r>
      <w:proofErr w:type="gramEnd"/>
      <w:r w:rsidRPr="006C28D2">
        <w:rPr>
          <w:sz w:val="22"/>
          <w:szCs w:val="22"/>
        </w:rPr>
        <w:t xml:space="preserve"> was owed, to and by, the Fire Authority at the end of the financial year.</w:t>
      </w:r>
    </w:p>
    <w:p w:rsidR="006B4BE1" w:rsidRPr="006C28D2" w:rsidRDefault="006B4BE1" w:rsidP="006B4BE1">
      <w:pPr>
        <w:jc w:val="both"/>
        <w:rPr>
          <w:sz w:val="22"/>
          <w:szCs w:val="22"/>
        </w:rPr>
      </w:pPr>
    </w:p>
    <w:p w:rsidR="006B4BE1" w:rsidRPr="009E5096" w:rsidRDefault="006B4BE1" w:rsidP="006B4BE1">
      <w:pPr>
        <w:jc w:val="both"/>
        <w:rPr>
          <w:sz w:val="22"/>
          <w:szCs w:val="22"/>
        </w:rPr>
      </w:pPr>
      <w:r w:rsidRPr="006C28D2">
        <w:rPr>
          <w:sz w:val="22"/>
          <w:szCs w:val="22"/>
        </w:rPr>
        <w:t>This narrative report gives a guide to the most important matters included in the Statement of Accounts.</w:t>
      </w:r>
    </w:p>
    <w:p w:rsidR="006B4BE1" w:rsidRPr="009E5096" w:rsidRDefault="006B4BE1" w:rsidP="006B4BE1">
      <w:pPr>
        <w:pStyle w:val="Footer"/>
        <w:tabs>
          <w:tab w:val="clear" w:pos="4153"/>
          <w:tab w:val="clear" w:pos="8306"/>
        </w:tabs>
        <w:jc w:val="both"/>
        <w:rPr>
          <w:b/>
          <w:sz w:val="22"/>
          <w:szCs w:val="22"/>
        </w:rPr>
      </w:pPr>
    </w:p>
    <w:p w:rsidR="006B4BE1" w:rsidRPr="009E5096" w:rsidRDefault="006B4BE1" w:rsidP="006B4BE1">
      <w:pPr>
        <w:pStyle w:val="Footer"/>
        <w:tabs>
          <w:tab w:val="clear" w:pos="4153"/>
          <w:tab w:val="clear" w:pos="8306"/>
        </w:tabs>
        <w:jc w:val="both"/>
        <w:rPr>
          <w:b/>
          <w:sz w:val="22"/>
          <w:szCs w:val="22"/>
        </w:rPr>
      </w:pPr>
      <w:r w:rsidRPr="009E5096">
        <w:rPr>
          <w:b/>
          <w:sz w:val="22"/>
          <w:szCs w:val="22"/>
        </w:rPr>
        <w:t>Contents of this Statement of Accounts</w:t>
      </w:r>
    </w:p>
    <w:p w:rsidR="006B4BE1" w:rsidRPr="009E5096" w:rsidRDefault="006B4BE1" w:rsidP="006B4BE1">
      <w:pPr>
        <w:pStyle w:val="Footer"/>
        <w:tabs>
          <w:tab w:val="clear" w:pos="4153"/>
          <w:tab w:val="clear" w:pos="8306"/>
        </w:tabs>
        <w:jc w:val="both"/>
        <w:rPr>
          <w:b/>
          <w:sz w:val="22"/>
          <w:szCs w:val="22"/>
        </w:rPr>
      </w:pPr>
    </w:p>
    <w:p w:rsidR="006B4BE1" w:rsidRPr="006C28D2" w:rsidRDefault="006B4BE1" w:rsidP="006B4BE1">
      <w:pPr>
        <w:jc w:val="both"/>
        <w:rPr>
          <w:sz w:val="22"/>
          <w:szCs w:val="22"/>
        </w:rPr>
      </w:pPr>
      <w:r w:rsidRPr="009E5096">
        <w:rPr>
          <w:sz w:val="22"/>
          <w:szCs w:val="22"/>
        </w:rPr>
        <w:t>This Statement of Accounts covers the financial year ended on 31 March 201</w:t>
      </w:r>
      <w:r w:rsidR="00D01BAD">
        <w:rPr>
          <w:sz w:val="22"/>
          <w:szCs w:val="22"/>
        </w:rPr>
        <w:t>8</w:t>
      </w:r>
      <w:r w:rsidRPr="009E5096">
        <w:rPr>
          <w:sz w:val="22"/>
          <w:szCs w:val="22"/>
        </w:rPr>
        <w:t xml:space="preserve"> (referred to as </w:t>
      </w:r>
      <w:r w:rsidRPr="009E5096">
        <w:rPr>
          <w:caps/>
          <w:sz w:val="22"/>
          <w:szCs w:val="22"/>
        </w:rPr>
        <w:t>201</w:t>
      </w:r>
      <w:r w:rsidR="00D01BAD">
        <w:rPr>
          <w:caps/>
          <w:sz w:val="22"/>
          <w:szCs w:val="22"/>
        </w:rPr>
        <w:t>7</w:t>
      </w:r>
      <w:r>
        <w:rPr>
          <w:caps/>
          <w:sz w:val="22"/>
          <w:szCs w:val="22"/>
        </w:rPr>
        <w:t>/1</w:t>
      </w:r>
      <w:r w:rsidR="00D01BAD">
        <w:rPr>
          <w:caps/>
          <w:sz w:val="22"/>
          <w:szCs w:val="22"/>
        </w:rPr>
        <w:t>8</w:t>
      </w:r>
      <w:r w:rsidRPr="009E5096">
        <w:rPr>
          <w:sz w:val="22"/>
          <w:szCs w:val="22"/>
        </w:rPr>
        <w:t xml:space="preserve">).  It has been prepared in accordance with </w:t>
      </w:r>
      <w:r w:rsidRPr="00C62776">
        <w:rPr>
          <w:sz w:val="22"/>
          <w:szCs w:val="22"/>
        </w:rPr>
        <w:t xml:space="preserve">the </w:t>
      </w:r>
      <w:r w:rsidRPr="00F238F2">
        <w:rPr>
          <w:sz w:val="22"/>
          <w:szCs w:val="22"/>
        </w:rPr>
        <w:t>Accounts and Audit Regulations 2015</w:t>
      </w:r>
      <w:r w:rsidRPr="00D53221">
        <w:rPr>
          <w:sz w:val="22"/>
          <w:szCs w:val="22"/>
        </w:rPr>
        <w:t xml:space="preserve"> and the</w:t>
      </w:r>
      <w:r w:rsidRPr="009E5096">
        <w:rPr>
          <w:sz w:val="22"/>
          <w:szCs w:val="22"/>
        </w:rPr>
        <w:t xml:space="preserve"> Code of </w:t>
      </w:r>
      <w:r w:rsidRPr="006C28D2">
        <w:rPr>
          <w:sz w:val="22"/>
          <w:szCs w:val="22"/>
        </w:rPr>
        <w:t>Practice on Local Authority Accounting in the United Kingdom 201</w:t>
      </w:r>
      <w:r w:rsidR="00D01BAD">
        <w:rPr>
          <w:sz w:val="22"/>
          <w:szCs w:val="22"/>
        </w:rPr>
        <w:t>7</w:t>
      </w:r>
      <w:r w:rsidRPr="006C28D2">
        <w:rPr>
          <w:sz w:val="22"/>
          <w:szCs w:val="22"/>
        </w:rPr>
        <w:t>/1</w:t>
      </w:r>
      <w:r w:rsidR="00D01BAD">
        <w:rPr>
          <w:sz w:val="22"/>
          <w:szCs w:val="22"/>
        </w:rPr>
        <w:t>8</w:t>
      </w:r>
      <w:r w:rsidRPr="006C28D2">
        <w:rPr>
          <w:sz w:val="22"/>
          <w:szCs w:val="22"/>
        </w:rPr>
        <w:t>.  The Statement contains:</w:t>
      </w:r>
    </w:p>
    <w:p w:rsidR="006B4BE1" w:rsidRPr="006C28D2" w:rsidRDefault="006B4BE1" w:rsidP="006B4BE1">
      <w:pPr>
        <w:jc w:val="both"/>
        <w:rPr>
          <w:b/>
          <w:sz w:val="22"/>
          <w:szCs w:val="22"/>
        </w:rPr>
      </w:pPr>
    </w:p>
    <w:p w:rsidR="006B4BE1" w:rsidRPr="006C28D2" w:rsidRDefault="006B4BE1" w:rsidP="006B4BE1">
      <w:pPr>
        <w:jc w:val="both"/>
        <w:rPr>
          <w:sz w:val="22"/>
          <w:szCs w:val="22"/>
        </w:rPr>
      </w:pPr>
      <w:proofErr w:type="gramStart"/>
      <w:r w:rsidRPr="006C28D2">
        <w:rPr>
          <w:b/>
          <w:sz w:val="22"/>
          <w:szCs w:val="22"/>
        </w:rPr>
        <w:t>Statement on</w:t>
      </w:r>
      <w:r w:rsidRPr="006C28D2">
        <w:rPr>
          <w:sz w:val="22"/>
          <w:szCs w:val="22"/>
        </w:rPr>
        <w:t xml:space="preserve"> </w:t>
      </w:r>
      <w:r w:rsidRPr="006C28D2">
        <w:rPr>
          <w:b/>
          <w:sz w:val="22"/>
          <w:szCs w:val="22"/>
        </w:rPr>
        <w:t xml:space="preserve">Annual Governance Arrangements </w:t>
      </w:r>
      <w:r w:rsidRPr="006C28D2">
        <w:rPr>
          <w:sz w:val="22"/>
          <w:szCs w:val="22"/>
        </w:rPr>
        <w:t>– Sets out the Authority’s responsibilities with regard to the system of internal control and corporate governance.</w:t>
      </w:r>
      <w:proofErr w:type="gramEnd"/>
    </w:p>
    <w:p w:rsidR="006B4BE1" w:rsidRPr="006C28D2" w:rsidRDefault="006B4BE1" w:rsidP="006B4BE1">
      <w:pPr>
        <w:jc w:val="both"/>
        <w:rPr>
          <w:sz w:val="22"/>
          <w:szCs w:val="22"/>
        </w:rPr>
      </w:pPr>
    </w:p>
    <w:p w:rsidR="006B4BE1" w:rsidRPr="009E5096" w:rsidRDefault="00DA2506" w:rsidP="006B4BE1">
      <w:pPr>
        <w:jc w:val="both"/>
        <w:rPr>
          <w:sz w:val="22"/>
          <w:szCs w:val="22"/>
        </w:rPr>
      </w:pPr>
      <w:proofErr w:type="gramStart"/>
      <w:r w:rsidRPr="00DA2506">
        <w:rPr>
          <w:rFonts w:cs="Arial"/>
          <w:b/>
          <w:sz w:val="22"/>
          <w:szCs w:val="22"/>
        </w:rPr>
        <w:t>Independent Auditor’s Report to the Members of Lancashire Combined Fire Authority</w:t>
      </w:r>
      <w:r w:rsidRPr="009E5096">
        <w:rPr>
          <w:sz w:val="22"/>
          <w:szCs w:val="22"/>
        </w:rPr>
        <w:t xml:space="preserve"> </w:t>
      </w:r>
      <w:r w:rsidR="006B4BE1" w:rsidRPr="009E5096">
        <w:rPr>
          <w:sz w:val="22"/>
          <w:szCs w:val="22"/>
        </w:rPr>
        <w:t xml:space="preserve">– The Auditor's report to the CFA on the accounts for </w:t>
      </w:r>
      <w:r w:rsidR="00EC0274">
        <w:rPr>
          <w:sz w:val="22"/>
          <w:szCs w:val="22"/>
        </w:rPr>
        <w:t>2017/18</w:t>
      </w:r>
      <w:r w:rsidR="006B4BE1" w:rsidRPr="009E5096">
        <w:rPr>
          <w:sz w:val="22"/>
          <w:szCs w:val="22"/>
        </w:rPr>
        <w:t>, which are set out in the sections shown below.</w:t>
      </w:r>
      <w:proofErr w:type="gramEnd"/>
    </w:p>
    <w:p w:rsidR="006B4BE1" w:rsidRPr="009E5096" w:rsidRDefault="006B4BE1" w:rsidP="006B4BE1">
      <w:pPr>
        <w:jc w:val="both"/>
        <w:rPr>
          <w:sz w:val="22"/>
          <w:szCs w:val="22"/>
        </w:rPr>
      </w:pPr>
    </w:p>
    <w:p w:rsidR="006B4BE1" w:rsidRPr="009E5096" w:rsidRDefault="006B4BE1" w:rsidP="006B4BE1">
      <w:pPr>
        <w:jc w:val="both"/>
        <w:rPr>
          <w:sz w:val="22"/>
          <w:szCs w:val="22"/>
        </w:rPr>
      </w:pPr>
      <w:proofErr w:type="gramStart"/>
      <w:r w:rsidRPr="009E5096">
        <w:rPr>
          <w:b/>
          <w:sz w:val="22"/>
          <w:szCs w:val="22"/>
        </w:rPr>
        <w:t>Statement of Responsibilities for the Statement of Accounts</w:t>
      </w:r>
      <w:r w:rsidRPr="009E5096">
        <w:rPr>
          <w:sz w:val="22"/>
          <w:szCs w:val="22"/>
        </w:rPr>
        <w:t xml:space="preserve"> – Sets out the responsibilities of the Authority and the Treasurer with regards to the statement of accounts.</w:t>
      </w:r>
      <w:proofErr w:type="gramEnd"/>
    </w:p>
    <w:p w:rsidR="006B4BE1" w:rsidRPr="009E5096" w:rsidRDefault="006B4BE1" w:rsidP="006B4BE1">
      <w:pPr>
        <w:tabs>
          <w:tab w:val="left" w:pos="720"/>
          <w:tab w:val="right" w:pos="5760"/>
        </w:tabs>
        <w:rPr>
          <w:sz w:val="22"/>
          <w:szCs w:val="22"/>
        </w:rPr>
      </w:pPr>
    </w:p>
    <w:p w:rsidR="006B4BE1" w:rsidRDefault="006B4BE1" w:rsidP="006B4BE1">
      <w:pPr>
        <w:jc w:val="both"/>
        <w:rPr>
          <w:sz w:val="22"/>
          <w:szCs w:val="22"/>
        </w:rPr>
      </w:pPr>
      <w:r w:rsidRPr="009E5096">
        <w:rPr>
          <w:b/>
          <w:sz w:val="22"/>
          <w:szCs w:val="22"/>
        </w:rPr>
        <w:t xml:space="preserve">Comprehensive Income &amp; Expenditure Account </w:t>
      </w:r>
      <w:r w:rsidRPr="009E5096">
        <w:rPr>
          <w:sz w:val="22"/>
          <w:szCs w:val="22"/>
        </w:rPr>
        <w:t>- This statement shows the accounting cost in the year of providing services in accordance with generally accepted accounting practices, rather than the amount to be funded from taxation.  The Fire Authority raises taxation to cover expenditure in accordance with regulations; this may be different from the accounting cost.  The taxation position is shown in the Movement in Reserves Statement.</w:t>
      </w:r>
    </w:p>
    <w:p w:rsidR="006B4BE1" w:rsidRPr="009E5096" w:rsidRDefault="006B4BE1" w:rsidP="006B4BE1">
      <w:pPr>
        <w:jc w:val="both"/>
        <w:rPr>
          <w:sz w:val="22"/>
          <w:szCs w:val="22"/>
        </w:rPr>
      </w:pPr>
    </w:p>
    <w:p w:rsidR="006B4BE1" w:rsidRPr="009E5096" w:rsidRDefault="006B4BE1" w:rsidP="006B4BE1">
      <w:pPr>
        <w:jc w:val="both"/>
        <w:rPr>
          <w:sz w:val="22"/>
          <w:szCs w:val="22"/>
        </w:rPr>
      </w:pPr>
      <w:r w:rsidRPr="009E5096">
        <w:rPr>
          <w:b/>
          <w:sz w:val="22"/>
          <w:szCs w:val="22"/>
        </w:rPr>
        <w:t xml:space="preserve">Movement In Reserves Statement </w:t>
      </w:r>
      <w:r w:rsidRPr="009E5096">
        <w:rPr>
          <w:sz w:val="22"/>
          <w:szCs w:val="22"/>
        </w:rPr>
        <w:t>– This statement shows the movement in year on the different reserves held by the Fire Authority analysed between usable and other reserves.  The surplus or (deficit) on the Provision of Services line shows the true economic cost of providing the Fire Authority’s services, more details of which are shown in the Comprehensive Income and Expenditure Statement.</w:t>
      </w:r>
    </w:p>
    <w:p w:rsidR="006B4BE1" w:rsidRPr="009E5096" w:rsidRDefault="006B4BE1" w:rsidP="006B4BE1">
      <w:pPr>
        <w:rPr>
          <w:b/>
          <w:sz w:val="22"/>
          <w:szCs w:val="22"/>
        </w:rPr>
      </w:pPr>
    </w:p>
    <w:p w:rsidR="006B4BE1" w:rsidRPr="009E5096" w:rsidRDefault="006B4BE1" w:rsidP="006B4BE1">
      <w:pPr>
        <w:jc w:val="both"/>
        <w:rPr>
          <w:sz w:val="22"/>
          <w:szCs w:val="22"/>
        </w:rPr>
      </w:pPr>
      <w:r w:rsidRPr="009E5096">
        <w:rPr>
          <w:b/>
          <w:sz w:val="22"/>
          <w:szCs w:val="22"/>
        </w:rPr>
        <w:t>Balance Sheet</w:t>
      </w:r>
      <w:r w:rsidRPr="009E5096">
        <w:rPr>
          <w:sz w:val="22"/>
          <w:szCs w:val="22"/>
        </w:rPr>
        <w:t xml:space="preserve"> – This shows information on the financial position of the Fire Authority as at the 31 March 201</w:t>
      </w:r>
      <w:r w:rsidR="00D01BAD">
        <w:rPr>
          <w:sz w:val="22"/>
          <w:szCs w:val="22"/>
        </w:rPr>
        <w:t>8</w:t>
      </w:r>
      <w:r w:rsidRPr="009E5096">
        <w:rPr>
          <w:sz w:val="22"/>
          <w:szCs w:val="22"/>
        </w:rPr>
        <w:t>, including the level of balances and reserves at the Fire Authority’s disposal, its long term indebtedness and the value of the assets held by the Fire Authority.</w:t>
      </w:r>
    </w:p>
    <w:p w:rsidR="006B4BE1" w:rsidRPr="009E5096" w:rsidRDefault="006B4BE1" w:rsidP="006B4BE1">
      <w:pPr>
        <w:jc w:val="both"/>
        <w:rPr>
          <w:sz w:val="22"/>
          <w:szCs w:val="22"/>
        </w:rPr>
      </w:pPr>
    </w:p>
    <w:p w:rsidR="006B4BE1" w:rsidRPr="009E5096" w:rsidRDefault="006B4BE1" w:rsidP="006B4BE1">
      <w:pPr>
        <w:jc w:val="both"/>
        <w:rPr>
          <w:sz w:val="22"/>
          <w:szCs w:val="22"/>
        </w:rPr>
      </w:pPr>
      <w:r w:rsidRPr="009E5096">
        <w:rPr>
          <w:b/>
          <w:sz w:val="22"/>
          <w:szCs w:val="22"/>
        </w:rPr>
        <w:t>Cash Flow Statement</w:t>
      </w:r>
      <w:r w:rsidRPr="009E5096">
        <w:rPr>
          <w:sz w:val="22"/>
          <w:szCs w:val="22"/>
        </w:rPr>
        <w:t xml:space="preserve"> – This shows the cash and cash equivalent movements in and out of the Fire Authority due to transactions with third parties for revenue and capital purposes.</w:t>
      </w:r>
    </w:p>
    <w:p w:rsidR="006B4BE1" w:rsidRPr="009E5096" w:rsidRDefault="006B4BE1" w:rsidP="006B4BE1">
      <w:pPr>
        <w:jc w:val="both"/>
        <w:rPr>
          <w:sz w:val="22"/>
          <w:szCs w:val="22"/>
        </w:rPr>
      </w:pPr>
    </w:p>
    <w:p w:rsidR="006B4BE1" w:rsidRDefault="006B4BE1" w:rsidP="006B4BE1">
      <w:pPr>
        <w:jc w:val="both"/>
        <w:rPr>
          <w:sz w:val="22"/>
        </w:rPr>
      </w:pPr>
      <w:r w:rsidRPr="009E5096">
        <w:rPr>
          <w:b/>
          <w:sz w:val="22"/>
          <w:szCs w:val="22"/>
        </w:rPr>
        <w:t>Fire Fighters Pension Fund Account</w:t>
      </w:r>
      <w:r w:rsidR="00DA2506">
        <w:rPr>
          <w:b/>
          <w:sz w:val="22"/>
          <w:szCs w:val="22"/>
        </w:rPr>
        <w:t xml:space="preserve"> and Net Assets Statement</w:t>
      </w:r>
      <w:r w:rsidRPr="009E5096">
        <w:rPr>
          <w:sz w:val="22"/>
          <w:szCs w:val="22"/>
        </w:rPr>
        <w:t xml:space="preserve"> – Shows the financial position of the fire fighters pension fund account, showing whether the Authority owes, or is owed, money by the Government in order to balance the account, together with details</w:t>
      </w:r>
      <w:r>
        <w:rPr>
          <w:sz w:val="22"/>
        </w:rPr>
        <w:t xml:space="preserve"> of its net assets.</w:t>
      </w:r>
    </w:p>
    <w:p w:rsidR="006B4BE1" w:rsidRDefault="006B4BE1" w:rsidP="006B4BE1">
      <w:pPr>
        <w:jc w:val="both"/>
        <w:rPr>
          <w:b/>
          <w:sz w:val="22"/>
        </w:rPr>
      </w:pPr>
    </w:p>
    <w:p w:rsidR="00882E25" w:rsidRPr="00E36DE5" w:rsidRDefault="00882E25" w:rsidP="00882E25">
      <w:pPr>
        <w:keepNext/>
        <w:jc w:val="both"/>
        <w:outlineLvl w:val="0"/>
        <w:rPr>
          <w:rFonts w:cs="Arial"/>
          <w:b/>
          <w:color w:val="000000" w:themeColor="text1"/>
          <w:sz w:val="22"/>
          <w:szCs w:val="22"/>
        </w:rPr>
      </w:pPr>
      <w:r w:rsidRPr="00E36DE5">
        <w:rPr>
          <w:rFonts w:cs="Arial"/>
          <w:b/>
          <w:color w:val="000000" w:themeColor="text1"/>
          <w:sz w:val="22"/>
          <w:szCs w:val="22"/>
        </w:rPr>
        <w:lastRenderedPageBreak/>
        <w:t>Review of the Year</w:t>
      </w:r>
    </w:p>
    <w:p w:rsidR="00882E25" w:rsidRPr="00E36DE5" w:rsidRDefault="00882E25" w:rsidP="00882E25">
      <w:pPr>
        <w:keepNext/>
        <w:jc w:val="both"/>
        <w:outlineLvl w:val="0"/>
        <w:rPr>
          <w:rFonts w:cs="Arial"/>
          <w:b/>
          <w:color w:val="000000" w:themeColor="text1"/>
          <w:sz w:val="22"/>
          <w:szCs w:val="22"/>
        </w:rPr>
      </w:pPr>
    </w:p>
    <w:p w:rsidR="00882E25" w:rsidRPr="00E36DE5" w:rsidRDefault="00882E25" w:rsidP="00882E25">
      <w:pPr>
        <w:jc w:val="both"/>
        <w:rPr>
          <w:sz w:val="22"/>
          <w:szCs w:val="22"/>
        </w:rPr>
      </w:pPr>
      <w:r w:rsidRPr="00E36DE5">
        <w:rPr>
          <w:sz w:val="22"/>
          <w:szCs w:val="22"/>
        </w:rPr>
        <w:t>We have remained financially secure and are in a strong position not only to face future challenges but to lead innovation and improvements in our sector. We have continued to invest in people, training and equipment; prioritised operational effectiveness and efficiency to meet the challenges of an increasingly complex environment; embedded clear values and strong leadership throughout the organisation; and looked for new ways to collaborate to improve services for local people.</w:t>
      </w:r>
    </w:p>
    <w:p w:rsidR="00882E25" w:rsidRPr="00E36DE5" w:rsidRDefault="00882E25" w:rsidP="00882E25">
      <w:pPr>
        <w:jc w:val="both"/>
        <w:rPr>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We have continued to invest in our Retained Duty System personnel, implement an enhanced pay scheme, embedding the Retained Support Officer role and providing greater training opportunities for personnel in development. All of these activities are designed to improve our recruitment, retention and competency within this element of the Service</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2017/18 saw our first significant external recruitment campaign for whole-time firefighters in over 10 years. As a result of this the Authority recruited 49 new whole-time firefighters in 2017/18, of which 10% were female and 10% were from a BME background.</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Our Operational Assurance Team is now fully embedded in th</w:t>
      </w:r>
      <w:r>
        <w:rPr>
          <w:rFonts w:cs="Arial"/>
          <w:color w:val="000000" w:themeColor="text1"/>
          <w:sz w:val="22"/>
          <w:szCs w:val="22"/>
        </w:rPr>
        <w:t>e</w:t>
      </w:r>
      <w:r w:rsidRPr="00E36DE5">
        <w:rPr>
          <w:rFonts w:cs="Arial"/>
          <w:color w:val="000000" w:themeColor="text1"/>
          <w:sz w:val="22"/>
          <w:szCs w:val="22"/>
        </w:rPr>
        <w:t xml:space="preserve"> Service, focusing on reviewing preparedness, response and learning, in order to enhance service delivery.</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Training facilities have been improved with the completion of a Multi Compartment Fire-Fighting prop at our Training Centre, which has enhanced our ability to replicate and train against national learning and a wide range of scenarios. </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We have continued to invest in providing the best operational equipment, introducing a new type of vehicle, the AT Stinger (the first of its kind in the UK),  which has increased capability to deal with fires in roof spaces more effectively, as well as providing a safer operational environmental at incidents. We have also replaced our Thermal Imaging Cameras with new state of the art cameras, improving search facilities as well as firefighter safety. </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We undertook an Emergency Cover Review, to ensure that our emergency response provision matches fire risk in Lancashire. The review confirmed that we are able to respond safely and effectively and that no changes to staffing or fire stations were required.</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We launched a Leadership conference in April, with a second one taking place mid-year, and with further conferences planned for the new financial year. This has enabled us to focus more clearly on developing a strong organisational culture based on clear values and leadership. </w:t>
      </w:r>
    </w:p>
    <w:p w:rsidR="00882E25" w:rsidRPr="00E36DE5" w:rsidRDefault="00882E25" w:rsidP="00882E25">
      <w:pPr>
        <w:jc w:val="both"/>
        <w:rPr>
          <w:rFonts w:cs="Arial"/>
          <w:color w:val="000000" w:themeColor="text1"/>
          <w:sz w:val="22"/>
          <w:szCs w:val="22"/>
        </w:rPr>
      </w:pPr>
    </w:p>
    <w:p w:rsidR="00882E25" w:rsidRPr="00E36DE5" w:rsidRDefault="00882E25" w:rsidP="00882E25">
      <w:pPr>
        <w:autoSpaceDE w:val="0"/>
        <w:autoSpaceDN w:val="0"/>
        <w:adjustRightInd w:val="0"/>
        <w:jc w:val="both"/>
        <w:rPr>
          <w:rFonts w:cs="Arial"/>
          <w:color w:val="000000" w:themeColor="text1"/>
          <w:sz w:val="22"/>
          <w:szCs w:val="22"/>
        </w:rPr>
      </w:pPr>
      <w:r w:rsidRPr="00E36DE5">
        <w:rPr>
          <w:rFonts w:cs="Arial"/>
          <w:color w:val="000000" w:themeColor="text1"/>
          <w:sz w:val="22"/>
          <w:szCs w:val="22"/>
        </w:rPr>
        <w:t xml:space="preserve">We have continued to develop collaborative opportunities, signing </w:t>
      </w:r>
      <w:r w:rsidRPr="00E36DE5">
        <w:rPr>
          <w:rFonts w:eastAsia="Calibri" w:cs="Arial"/>
          <w:sz w:val="22"/>
          <w:szCs w:val="22"/>
        </w:rPr>
        <w:t xml:space="preserve">a Statement of Intent and establishing a joint collaboration group with the Constabulary to explore further opportunities. </w:t>
      </w:r>
      <w:r w:rsidRPr="00E36DE5">
        <w:rPr>
          <w:rFonts w:cs="Arial"/>
          <w:color w:val="000000" w:themeColor="text1"/>
          <w:sz w:val="22"/>
          <w:szCs w:val="22"/>
        </w:rPr>
        <w:t>The joint Fire and Ambulance station at Lancaster is nearing completion, and we are continuing to review further opportunities for site sharing with both NWAS and Lancashire Constabulary.</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Safe and Well visit has now been fully incorporated into our Home Fire Safety Check Service.  All our visits to householders now have additional checks, supplementary to our primary Fire advice, to identify and mitigate risk factors that impact on health and wellbeing.   These additional strands have been subjected to and approved through a national Standard Evaluation Framework that focuses on providing best practise for Fire and Rescue Services.     Training has now been completed for all LFRS personnel who carry out these duties.    The process in place now ensures that LFRS personnel can signpost those in need of assistance with health or wellbeing issues to the relevant partner agency in the respective geographical area.</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autoSpaceDE w:val="0"/>
        <w:autoSpaceDN w:val="0"/>
        <w:adjustRightInd w:val="0"/>
        <w:jc w:val="both"/>
        <w:rPr>
          <w:rFonts w:cs="Arial"/>
          <w:color w:val="000000" w:themeColor="text1"/>
          <w:sz w:val="22"/>
          <w:szCs w:val="22"/>
        </w:rPr>
      </w:pPr>
      <w:r w:rsidRPr="00E36DE5">
        <w:rPr>
          <w:rFonts w:cs="Arial"/>
          <w:color w:val="000000" w:themeColor="text1"/>
          <w:sz w:val="22"/>
          <w:szCs w:val="22"/>
        </w:rPr>
        <w:t xml:space="preserve">Non-financial performance has remained strong. 2017/18 activity has increased by 4.5% to almost 15,900 incidents, a greater count than any of the previous 5 years. The number of accidental dwelling fires saw a 10% increase; however the overall casualty numbers decreased to the lowest level in the last 10 years to 43, a 10% reduction. </w:t>
      </w:r>
      <w:proofErr w:type="gramStart"/>
      <w:r w:rsidRPr="00E36DE5">
        <w:rPr>
          <w:rFonts w:cs="Arial"/>
          <w:color w:val="000000" w:themeColor="text1"/>
          <w:sz w:val="22"/>
          <w:szCs w:val="22"/>
        </w:rPr>
        <w:t>Deliberate dwelling fires saw a slight decrease and is</w:t>
      </w:r>
      <w:proofErr w:type="gramEnd"/>
      <w:r w:rsidRPr="00E36DE5">
        <w:rPr>
          <w:rFonts w:cs="Arial"/>
          <w:color w:val="000000" w:themeColor="text1"/>
          <w:sz w:val="22"/>
          <w:szCs w:val="22"/>
        </w:rPr>
        <w:t xml:space="preserve"> also at a 10 year low. </w:t>
      </w:r>
      <w:r w:rsidRPr="00927CFE">
        <w:rPr>
          <w:rFonts w:cs="Arial"/>
          <w:color w:val="000000" w:themeColor="text1"/>
          <w:sz w:val="22"/>
          <w:szCs w:val="22"/>
        </w:rPr>
        <w:t xml:space="preserve">A total of </w:t>
      </w:r>
      <w:r w:rsidRPr="00927CFE">
        <w:rPr>
          <w:rFonts w:cs="Arial"/>
          <w:color w:val="000000" w:themeColor="text1"/>
          <w:sz w:val="22"/>
          <w:szCs w:val="22"/>
        </w:rPr>
        <w:lastRenderedPageBreak/>
        <w:t>601 gaining entry incidents were undertaken in 2017/18, an increase of 29% over the 467 recorded in 2016/17</w:t>
      </w:r>
      <w:r>
        <w:rPr>
          <w:rFonts w:cs="Arial"/>
          <w:color w:val="000000" w:themeColor="text1"/>
          <w:sz w:val="22"/>
          <w:szCs w:val="22"/>
        </w:rPr>
        <w:t>.</w:t>
      </w:r>
    </w:p>
    <w:p w:rsidR="006B4BE1" w:rsidRPr="00D01BAD" w:rsidRDefault="006B4BE1" w:rsidP="006B4BE1">
      <w:pPr>
        <w:rPr>
          <w:highlight w:val="yellow"/>
        </w:rPr>
      </w:pPr>
    </w:p>
    <w:p w:rsidR="00882E25" w:rsidRPr="00E36DE5" w:rsidRDefault="00882E25" w:rsidP="00882E25">
      <w:pPr>
        <w:keepNext/>
        <w:jc w:val="both"/>
        <w:outlineLvl w:val="0"/>
        <w:rPr>
          <w:rFonts w:cs="Arial"/>
          <w:b/>
          <w:color w:val="000000" w:themeColor="text1"/>
          <w:sz w:val="22"/>
          <w:szCs w:val="22"/>
        </w:rPr>
      </w:pPr>
      <w:r w:rsidRPr="00E36DE5">
        <w:rPr>
          <w:rFonts w:cs="Arial"/>
          <w:b/>
          <w:color w:val="000000" w:themeColor="text1"/>
          <w:sz w:val="22"/>
          <w:szCs w:val="22"/>
        </w:rPr>
        <w:t>The</w:t>
      </w:r>
      <w:r w:rsidRPr="00E36DE5">
        <w:rPr>
          <w:rFonts w:cs="Arial"/>
          <w:b/>
          <w:caps/>
          <w:color w:val="000000" w:themeColor="text1"/>
          <w:sz w:val="22"/>
          <w:szCs w:val="22"/>
        </w:rPr>
        <w:t xml:space="preserve"> 2017/18 </w:t>
      </w:r>
      <w:r w:rsidRPr="00E36DE5">
        <w:rPr>
          <w:rFonts w:cs="Arial"/>
          <w:b/>
          <w:color w:val="000000" w:themeColor="text1"/>
          <w:sz w:val="22"/>
          <w:szCs w:val="22"/>
        </w:rPr>
        <w:t>Financial Overview</w:t>
      </w:r>
    </w:p>
    <w:p w:rsidR="00882E25" w:rsidRPr="00E36DE5" w:rsidRDefault="00882E25" w:rsidP="00882E25">
      <w:pPr>
        <w:keepNext/>
        <w:jc w:val="both"/>
        <w:outlineLvl w:val="0"/>
        <w:rPr>
          <w:rFonts w:cs="Arial"/>
          <w:b/>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Authority’s spending is planned and controlled by an annual budget process, which leads to the setting of its budget requirement.  Expenditure on the day-to-day running costs of the service is determined through the Revenue Budget and is recorded in the Comprehensive Income and Expenditure Statement.</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In setting its budget the Authority aims to balance the public’s requirement for and expectations of our services with the cost of providing this.  As such the revenue budget focuses on the need to:-</w:t>
      </w:r>
    </w:p>
    <w:p w:rsidR="00882E25" w:rsidRPr="00E36DE5" w:rsidRDefault="00882E25" w:rsidP="00882E25">
      <w:pPr>
        <w:jc w:val="both"/>
        <w:rPr>
          <w:rFonts w:cs="Arial"/>
          <w:color w:val="000000" w:themeColor="text1"/>
          <w:sz w:val="22"/>
          <w:szCs w:val="22"/>
        </w:rPr>
      </w:pP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deliver services as outlined in the Risk Management Plan and other plans</w:t>
      </w: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maintain future council tax increases at reasonable levels</w:t>
      </w: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continue to deliver efficiencies in line with targets</w:t>
      </w: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continue to invest in improvements in service delivery and facilities</w:t>
      </w: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set a robust budget that takes account of known and anticipated pressures</w:t>
      </w:r>
    </w:p>
    <w:p w:rsidR="00882E25" w:rsidRPr="00E36DE5" w:rsidRDefault="00882E25" w:rsidP="00882E25">
      <w:pPr>
        <w:numPr>
          <w:ilvl w:val="0"/>
          <w:numId w:val="44"/>
        </w:numPr>
        <w:jc w:val="both"/>
        <w:rPr>
          <w:rFonts w:cs="Arial"/>
          <w:color w:val="000000" w:themeColor="text1"/>
          <w:sz w:val="22"/>
          <w:szCs w:val="22"/>
        </w:rPr>
      </w:pPr>
      <w:r w:rsidRPr="00E36DE5">
        <w:rPr>
          <w:rFonts w:cs="Arial"/>
          <w:color w:val="000000" w:themeColor="text1"/>
          <w:sz w:val="22"/>
          <w:szCs w:val="22"/>
        </w:rPr>
        <w:t>maintain an adequate level of reserves</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2017/18 was the second year of the Governments four year funding settlement, and in line with this Government funding, which comprises Revenue Support Grant and a proportion of Non-Domestic Rates Redistribution, fell by £2.3m to £25.3m. The Authority had to identify efficiencies of £1.6m in order to offset financial pressures and deliver an acceptable budget. This resulted in a gross revenue budget of £53.9m, a reduction of 3%, and a council tax of £65.50, which is just under £1.26 per week. This represented a freeze on council tax, with Lancashire being the only Fire Authority in the country to achieve this. Based on this the budget was considered affordable, prudent and sustainable, whilst ensuring that the Authority was able to deliver against its corporate priorities.</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The Authority maintained its process of targeting reductions in expenditure, in order to enhance its financial position to deal with on-going funding reductions, generating savings of £2.0m in year against an anticipated target of £1.6m. The net revenue position shows </w:t>
      </w:r>
      <w:proofErr w:type="gramStart"/>
      <w:r w:rsidRPr="00E36DE5">
        <w:rPr>
          <w:rFonts w:cs="Arial"/>
          <w:color w:val="000000" w:themeColor="text1"/>
          <w:sz w:val="22"/>
          <w:szCs w:val="22"/>
        </w:rPr>
        <w:t>an underspend</w:t>
      </w:r>
      <w:proofErr w:type="gramEnd"/>
      <w:r w:rsidRPr="00E36DE5">
        <w:rPr>
          <w:rFonts w:cs="Arial"/>
          <w:color w:val="000000" w:themeColor="text1"/>
          <w:sz w:val="22"/>
          <w:szCs w:val="22"/>
        </w:rPr>
        <w:t xml:space="preserve"> on pay, as a result of staffing vacancies being held pending recruitment, which was utilised to fund the procurement of a Water Tower, which the Service had initially leased on a 12 month trial. Hence the overall budget broke-even, with net expenditure matching the budget at £53.9m. </w:t>
      </w:r>
    </w:p>
    <w:p w:rsidR="00882E25" w:rsidRDefault="00882E25" w:rsidP="00882E25">
      <w:pPr>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following charts show a breakdown of where the monies we received come from and how we spent this:</w:t>
      </w:r>
    </w:p>
    <w:p w:rsidR="00882E25" w:rsidRPr="00E36DE5" w:rsidRDefault="00882E25" w:rsidP="00882E25">
      <w:pPr>
        <w:jc w:val="both"/>
        <w:rPr>
          <w:rFonts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471"/>
      </w:tblGrid>
      <w:tr w:rsidR="00882E25" w:rsidRPr="00E36DE5" w:rsidTr="00A002ED">
        <w:tc>
          <w:tcPr>
            <w:tcW w:w="6487" w:type="dxa"/>
          </w:tcPr>
          <w:p w:rsidR="00882E25" w:rsidRPr="00E36DE5" w:rsidRDefault="00882E25" w:rsidP="00A6686C">
            <w:pPr>
              <w:jc w:val="both"/>
              <w:rPr>
                <w:rFonts w:cs="Arial"/>
                <w:color w:val="000000" w:themeColor="text1"/>
                <w:sz w:val="22"/>
                <w:szCs w:val="22"/>
              </w:rPr>
            </w:pPr>
            <w:r w:rsidRPr="00E36DE5">
              <w:rPr>
                <w:rFonts w:cs="Arial"/>
                <w:noProof/>
                <w:color w:val="000000" w:themeColor="text1"/>
                <w:sz w:val="22"/>
                <w:szCs w:val="22"/>
                <w:lang w:eastAsia="en-GB"/>
              </w:rPr>
              <w:lastRenderedPageBreak/>
              <w:drawing>
                <wp:inline distT="0" distB="0" distL="0" distR="0" wp14:anchorId="6D0F02FA" wp14:editId="73F220D6">
                  <wp:extent cx="3157268" cy="3069220"/>
                  <wp:effectExtent l="19050" t="19050" r="2413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64" cy="3069800"/>
                          </a:xfrm>
                          <a:prstGeom prst="rect">
                            <a:avLst/>
                          </a:prstGeom>
                          <a:noFill/>
                          <a:ln>
                            <a:solidFill>
                              <a:srgbClr val="4F81BD"/>
                            </a:solidFill>
                          </a:ln>
                        </pic:spPr>
                      </pic:pic>
                    </a:graphicData>
                  </a:graphic>
                </wp:inline>
              </w:drawing>
            </w:r>
          </w:p>
        </w:tc>
        <w:tc>
          <w:tcPr>
            <w:tcW w:w="6662" w:type="dxa"/>
          </w:tcPr>
          <w:p w:rsidR="00882E25" w:rsidRPr="00E36DE5" w:rsidRDefault="00882E25" w:rsidP="00A6686C">
            <w:pPr>
              <w:jc w:val="both"/>
              <w:rPr>
                <w:rFonts w:cs="Arial"/>
                <w:color w:val="000000" w:themeColor="text1"/>
                <w:sz w:val="22"/>
                <w:szCs w:val="22"/>
              </w:rPr>
            </w:pPr>
            <w:r w:rsidRPr="00E36DE5">
              <w:rPr>
                <w:rFonts w:cs="Arial"/>
                <w:noProof/>
                <w:color w:val="000000" w:themeColor="text1"/>
                <w:sz w:val="22"/>
                <w:szCs w:val="22"/>
                <w:lang w:eastAsia="en-GB"/>
              </w:rPr>
              <w:drawing>
                <wp:inline distT="0" distB="0" distL="0" distR="0" wp14:anchorId="2AE2A0DD" wp14:editId="53420025">
                  <wp:extent cx="3390181" cy="3075014"/>
                  <wp:effectExtent l="19050" t="19050" r="2032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2620" cy="3077226"/>
                          </a:xfrm>
                          <a:prstGeom prst="rect">
                            <a:avLst/>
                          </a:prstGeom>
                          <a:noFill/>
                          <a:ln>
                            <a:solidFill>
                              <a:srgbClr val="4F81BD"/>
                            </a:solidFill>
                          </a:ln>
                        </pic:spPr>
                      </pic:pic>
                    </a:graphicData>
                  </a:graphic>
                </wp:inline>
              </w:drawing>
            </w:r>
          </w:p>
        </w:tc>
      </w:tr>
    </w:tbl>
    <w:p w:rsidR="00A002ED" w:rsidRDefault="00A002ED">
      <w:pPr>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A summarised comparison of the Fire Authority’s expenditure for the year compared with budget is set out below: </w:t>
      </w:r>
    </w:p>
    <w:p w:rsidR="00882E25" w:rsidRPr="00E36DE5" w:rsidRDefault="00882E25" w:rsidP="00BB0418">
      <w:pPr>
        <w:jc w:val="center"/>
        <w:rPr>
          <w:rFonts w:cs="Arial"/>
          <w:color w:val="000000" w:themeColor="text1"/>
          <w:sz w:val="22"/>
          <w:szCs w:val="22"/>
          <w:highlight w:val="yellow"/>
        </w:rPr>
      </w:pPr>
    </w:p>
    <w:tbl>
      <w:tblPr>
        <w:tblW w:w="6320" w:type="dxa"/>
        <w:tblInd w:w="1526" w:type="dxa"/>
        <w:tblLook w:val="04A0" w:firstRow="1" w:lastRow="0" w:firstColumn="1" w:lastColumn="0" w:noHBand="0" w:noVBand="1"/>
      </w:tblPr>
      <w:tblGrid>
        <w:gridCol w:w="2749"/>
        <w:gridCol w:w="1177"/>
        <w:gridCol w:w="1177"/>
        <w:gridCol w:w="1217"/>
      </w:tblGrid>
      <w:tr w:rsidR="00882E25" w:rsidRPr="00E36DE5" w:rsidTr="00BB0418">
        <w:trPr>
          <w:trHeight w:val="510"/>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Budget</w:t>
            </w: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Spend</w:t>
            </w:r>
          </w:p>
        </w:tc>
        <w:tc>
          <w:tcPr>
            <w:tcW w:w="121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(Under)/ over spend</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£000</w:t>
            </w: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£000</w:t>
            </w:r>
          </w:p>
        </w:tc>
        <w:tc>
          <w:tcPr>
            <w:tcW w:w="121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r w:rsidRPr="00E36DE5">
              <w:rPr>
                <w:rFonts w:cs="Arial"/>
                <w:sz w:val="20"/>
              </w:rPr>
              <w:t>£000</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b/>
                <w:bCs/>
                <w:sz w:val="20"/>
              </w:rPr>
            </w:pPr>
            <w:r w:rsidRPr="00E36DE5">
              <w:rPr>
                <w:rFonts w:cs="Arial"/>
                <w:b/>
                <w:bCs/>
                <w:sz w:val="20"/>
              </w:rPr>
              <w:t>Expenditure</w:t>
            </w: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p>
        </w:tc>
        <w:tc>
          <w:tcPr>
            <w:tcW w:w="117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p>
        </w:tc>
        <w:tc>
          <w:tcPr>
            <w:tcW w:w="1217" w:type="dxa"/>
            <w:tcBorders>
              <w:top w:val="nil"/>
              <w:left w:val="nil"/>
              <w:bottom w:val="nil"/>
              <w:right w:val="nil"/>
            </w:tcBorders>
            <w:shd w:val="clear" w:color="auto" w:fill="auto"/>
            <w:vAlign w:val="center"/>
            <w:hideMark/>
          </w:tcPr>
          <w:p w:rsidR="00882E25" w:rsidRPr="00E36DE5" w:rsidRDefault="00882E25" w:rsidP="00A6686C">
            <w:pPr>
              <w:jc w:val="center"/>
              <w:rPr>
                <w:rFonts w:cs="Arial"/>
                <w:sz w:val="20"/>
              </w:rPr>
            </w:pP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Employees: pay costs</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39,543</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39,155</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(388)</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Other employee related costs</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548</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476</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(72)</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Premises</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2,910</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3,062</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153</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Transport</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1,995</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1,999</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4</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Supplies &amp; services</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7,566</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6,350</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(1,216)</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Capital financing costs &amp; other</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5,507</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7,262</w:t>
            </w:r>
          </w:p>
        </w:tc>
        <w:tc>
          <w:tcPr>
            <w:tcW w:w="121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1,755</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Total Expenditure</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58,068</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58,305</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237</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Other Income</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(4,100)</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(4,347)</w:t>
            </w:r>
          </w:p>
        </w:tc>
        <w:tc>
          <w:tcPr>
            <w:tcW w:w="121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(247)</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Budget requirement</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53,968</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53,958</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(10)</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21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b/>
                <w:bCs/>
                <w:sz w:val="20"/>
              </w:rPr>
            </w:pPr>
            <w:r w:rsidRPr="00E36DE5">
              <w:rPr>
                <w:rFonts w:cs="Arial"/>
                <w:b/>
                <w:bCs/>
                <w:sz w:val="20"/>
              </w:rPr>
              <w:t>Funded by:</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21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Council tax</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(28,366)</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(28,366)</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(0)</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Business rates</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(14,943)</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(14,943)</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0</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r w:rsidRPr="00E36DE5">
              <w:rPr>
                <w:rFonts w:cs="Arial"/>
                <w:sz w:val="20"/>
              </w:rPr>
              <w:t>Government grant</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(10,659)</w:t>
            </w:r>
          </w:p>
        </w:tc>
        <w:tc>
          <w:tcPr>
            <w:tcW w:w="117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(10,659)</w:t>
            </w:r>
          </w:p>
        </w:tc>
        <w:tc>
          <w:tcPr>
            <w:tcW w:w="1217" w:type="dxa"/>
            <w:tcBorders>
              <w:top w:val="nil"/>
              <w:left w:val="nil"/>
              <w:bottom w:val="single" w:sz="4"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(53,968)</w:t>
            </w:r>
          </w:p>
        </w:tc>
        <w:tc>
          <w:tcPr>
            <w:tcW w:w="117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(53,968)</w:t>
            </w:r>
          </w:p>
        </w:tc>
        <w:tc>
          <w:tcPr>
            <w:tcW w:w="1217" w:type="dxa"/>
            <w:tcBorders>
              <w:top w:val="nil"/>
              <w:left w:val="nil"/>
              <w:bottom w:val="nil"/>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(0)</w:t>
            </w:r>
          </w:p>
        </w:tc>
      </w:tr>
      <w:tr w:rsidR="00882E25" w:rsidRPr="00E36DE5" w:rsidTr="00BB0418">
        <w:trPr>
          <w:trHeight w:val="255"/>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17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c>
          <w:tcPr>
            <w:tcW w:w="1217" w:type="dxa"/>
            <w:tcBorders>
              <w:top w:val="nil"/>
              <w:left w:val="nil"/>
              <w:bottom w:val="nil"/>
              <w:right w:val="nil"/>
            </w:tcBorders>
            <w:shd w:val="clear" w:color="auto" w:fill="auto"/>
            <w:noWrap/>
            <w:vAlign w:val="bottom"/>
            <w:hideMark/>
          </w:tcPr>
          <w:p w:rsidR="00882E25" w:rsidRPr="00E36DE5" w:rsidRDefault="00882E25" w:rsidP="00A6686C">
            <w:pPr>
              <w:rPr>
                <w:rFonts w:cs="Arial"/>
                <w:sz w:val="20"/>
              </w:rPr>
            </w:pPr>
          </w:p>
        </w:tc>
      </w:tr>
      <w:tr w:rsidR="00882E25" w:rsidRPr="00E36DE5" w:rsidTr="00BB0418">
        <w:trPr>
          <w:trHeight w:val="270"/>
        </w:trPr>
        <w:tc>
          <w:tcPr>
            <w:tcW w:w="2749" w:type="dxa"/>
            <w:tcBorders>
              <w:top w:val="nil"/>
              <w:left w:val="nil"/>
              <w:bottom w:val="nil"/>
              <w:right w:val="nil"/>
            </w:tcBorders>
            <w:shd w:val="clear" w:color="auto" w:fill="auto"/>
            <w:noWrap/>
            <w:vAlign w:val="bottom"/>
            <w:hideMark/>
          </w:tcPr>
          <w:p w:rsidR="00882E25" w:rsidRPr="00E36DE5" w:rsidRDefault="00882E25" w:rsidP="00A6686C">
            <w:pPr>
              <w:rPr>
                <w:rFonts w:cs="Arial"/>
                <w:b/>
                <w:bCs/>
                <w:sz w:val="20"/>
              </w:rPr>
            </w:pPr>
            <w:r w:rsidRPr="00E36DE5">
              <w:rPr>
                <w:rFonts w:cs="Arial"/>
                <w:b/>
                <w:bCs/>
                <w:sz w:val="20"/>
              </w:rPr>
              <w:t>Net underspend</w:t>
            </w:r>
          </w:p>
        </w:tc>
        <w:tc>
          <w:tcPr>
            <w:tcW w:w="1177" w:type="dxa"/>
            <w:tcBorders>
              <w:top w:val="single" w:sz="4" w:space="0" w:color="auto"/>
              <w:left w:val="nil"/>
              <w:bottom w:val="double" w:sz="6"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w:t>
            </w:r>
          </w:p>
        </w:tc>
        <w:tc>
          <w:tcPr>
            <w:tcW w:w="1177" w:type="dxa"/>
            <w:tcBorders>
              <w:top w:val="single" w:sz="4" w:space="0" w:color="auto"/>
              <w:left w:val="nil"/>
              <w:bottom w:val="double" w:sz="6"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(10)</w:t>
            </w:r>
          </w:p>
        </w:tc>
        <w:tc>
          <w:tcPr>
            <w:tcW w:w="1217" w:type="dxa"/>
            <w:tcBorders>
              <w:top w:val="single" w:sz="4" w:space="0" w:color="auto"/>
              <w:left w:val="nil"/>
              <w:bottom w:val="double" w:sz="6" w:space="0" w:color="auto"/>
              <w:right w:val="nil"/>
            </w:tcBorders>
            <w:shd w:val="clear" w:color="auto" w:fill="auto"/>
            <w:noWrap/>
            <w:vAlign w:val="bottom"/>
            <w:hideMark/>
          </w:tcPr>
          <w:p w:rsidR="00882E25" w:rsidRPr="00E36DE5" w:rsidRDefault="00882E25" w:rsidP="00A6686C">
            <w:pPr>
              <w:jc w:val="right"/>
              <w:rPr>
                <w:rFonts w:cs="Arial"/>
                <w:sz w:val="20"/>
              </w:rPr>
            </w:pPr>
            <w:r w:rsidRPr="00E36DE5">
              <w:rPr>
                <w:rFonts w:cs="Arial"/>
                <w:sz w:val="20"/>
              </w:rPr>
              <w:t>(10)</w:t>
            </w:r>
          </w:p>
        </w:tc>
      </w:tr>
    </w:tbl>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highlight w:val="yellow"/>
        </w:rPr>
      </w:pPr>
    </w:p>
    <w:p w:rsidR="00A002ED" w:rsidRDefault="00A002ED">
      <w:pPr>
        <w:rPr>
          <w:rFonts w:cs="Arial"/>
          <w:color w:val="000000" w:themeColor="text1"/>
          <w:sz w:val="22"/>
          <w:szCs w:val="22"/>
        </w:rPr>
      </w:pPr>
      <w:r>
        <w:rPr>
          <w:rFonts w:cs="Arial"/>
          <w:color w:val="000000" w:themeColor="text1"/>
          <w:sz w:val="22"/>
          <w:szCs w:val="22"/>
        </w:rPr>
        <w:br w:type="page"/>
      </w:r>
    </w:p>
    <w:p w:rsidR="00EA0739" w:rsidRDefault="00EA0739" w:rsidP="00882E25">
      <w:pPr>
        <w:jc w:val="both"/>
        <w:rPr>
          <w:rFonts w:cs="Arial"/>
          <w:color w:val="000000" w:themeColor="text1"/>
          <w:sz w:val="22"/>
          <w:szCs w:val="22"/>
        </w:rPr>
      </w:pPr>
      <w:r>
        <w:rPr>
          <w:rFonts w:cs="Arial"/>
          <w:color w:val="000000" w:themeColor="text1"/>
          <w:sz w:val="22"/>
          <w:szCs w:val="22"/>
        </w:rPr>
        <w:lastRenderedPageBreak/>
        <w:t xml:space="preserve">The following reconciliation shows the comparison between the revenue budget position, as set out above, and the Total Comprehensive Income and Expenditure figure reported in the accounts on </w:t>
      </w:r>
      <w:r w:rsidRPr="002E74A4">
        <w:rPr>
          <w:rFonts w:cs="Arial"/>
          <w:color w:val="000000" w:themeColor="text1"/>
          <w:sz w:val="22"/>
          <w:szCs w:val="22"/>
        </w:rPr>
        <w:t>page</w:t>
      </w:r>
      <w:r w:rsidR="00853343" w:rsidRPr="002E74A4">
        <w:rPr>
          <w:rFonts w:cs="Arial"/>
          <w:color w:val="000000" w:themeColor="text1"/>
          <w:sz w:val="22"/>
          <w:szCs w:val="22"/>
        </w:rPr>
        <w:t xml:space="preserve"> 19</w:t>
      </w:r>
      <w:r w:rsidRPr="002E74A4">
        <w:rPr>
          <w:rFonts w:cs="Arial"/>
          <w:color w:val="000000" w:themeColor="text1"/>
          <w:sz w:val="22"/>
          <w:szCs w:val="22"/>
        </w:rPr>
        <w:t>.</w:t>
      </w:r>
    </w:p>
    <w:p w:rsidR="00EA0739" w:rsidRDefault="00EA0739" w:rsidP="00882E25">
      <w:pPr>
        <w:jc w:val="both"/>
        <w:rPr>
          <w:rFonts w:cs="Arial"/>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7"/>
        <w:gridCol w:w="1645"/>
      </w:tblGrid>
      <w:tr w:rsidR="00EA0739" w:rsidRPr="00BC2BAA" w:rsidTr="00EA0739">
        <w:tc>
          <w:tcPr>
            <w:tcW w:w="7677" w:type="dxa"/>
          </w:tcPr>
          <w:p w:rsidR="00EA0739" w:rsidRPr="00235B78" w:rsidRDefault="00EA0739" w:rsidP="00EA0739">
            <w:pPr>
              <w:jc w:val="both"/>
              <w:rPr>
                <w:rFonts w:cs="Arial"/>
                <w:sz w:val="20"/>
              </w:rPr>
            </w:pPr>
          </w:p>
        </w:tc>
        <w:tc>
          <w:tcPr>
            <w:tcW w:w="1645" w:type="dxa"/>
          </w:tcPr>
          <w:p w:rsidR="00EA0739" w:rsidRPr="003C3FC1" w:rsidRDefault="00EA0739" w:rsidP="00EA0739">
            <w:pPr>
              <w:ind w:left="175"/>
              <w:jc w:val="center"/>
              <w:rPr>
                <w:rFonts w:cs="Arial"/>
                <w:sz w:val="22"/>
                <w:szCs w:val="22"/>
              </w:rPr>
            </w:pPr>
            <w:r w:rsidRPr="003C3FC1">
              <w:rPr>
                <w:rFonts w:cs="Arial"/>
                <w:sz w:val="22"/>
                <w:szCs w:val="22"/>
              </w:rPr>
              <w:t>£m</w:t>
            </w:r>
          </w:p>
        </w:tc>
      </w:tr>
      <w:tr w:rsidR="00EA0739" w:rsidRPr="00BC2BAA" w:rsidTr="00EA0739">
        <w:tc>
          <w:tcPr>
            <w:tcW w:w="7677" w:type="dxa"/>
          </w:tcPr>
          <w:p w:rsidR="00EA0739" w:rsidRPr="003C3FC1" w:rsidRDefault="00EA0739" w:rsidP="00EA0739">
            <w:pPr>
              <w:jc w:val="both"/>
              <w:rPr>
                <w:rFonts w:cs="Arial"/>
                <w:color w:val="000000" w:themeColor="text1"/>
                <w:sz w:val="22"/>
                <w:szCs w:val="22"/>
              </w:rPr>
            </w:pPr>
            <w:r w:rsidRPr="003C3FC1">
              <w:rPr>
                <w:rFonts w:cs="Arial"/>
                <w:color w:val="000000" w:themeColor="text1"/>
                <w:sz w:val="22"/>
                <w:szCs w:val="22"/>
              </w:rPr>
              <w:t xml:space="preserve">Revenue Outturn </w:t>
            </w:r>
          </w:p>
        </w:tc>
        <w:tc>
          <w:tcPr>
            <w:tcW w:w="1645" w:type="dxa"/>
          </w:tcPr>
          <w:p w:rsidR="00EA0739" w:rsidRPr="001C0001" w:rsidRDefault="00695855" w:rsidP="00EA0739">
            <w:pPr>
              <w:jc w:val="center"/>
              <w:rPr>
                <w:rFonts w:cs="Arial"/>
                <w:color w:val="000000" w:themeColor="text1"/>
                <w:sz w:val="22"/>
                <w:szCs w:val="22"/>
              </w:rPr>
            </w:pPr>
            <w:r w:rsidRPr="001C0001">
              <w:rPr>
                <w:rFonts w:cs="Arial"/>
                <w:color w:val="000000" w:themeColor="text1"/>
                <w:sz w:val="22"/>
                <w:szCs w:val="22"/>
              </w:rPr>
              <w:t>(</w:t>
            </w:r>
            <w:r w:rsidR="00EA0739" w:rsidRPr="001C0001">
              <w:rPr>
                <w:rFonts w:cs="Arial"/>
                <w:color w:val="000000" w:themeColor="text1"/>
                <w:sz w:val="22"/>
                <w:szCs w:val="22"/>
              </w:rPr>
              <w:t>0.0</w:t>
            </w:r>
            <w:r w:rsidRPr="001C0001">
              <w:rPr>
                <w:rFonts w:cs="Arial"/>
                <w:color w:val="000000" w:themeColor="text1"/>
                <w:sz w:val="22"/>
                <w:szCs w:val="22"/>
              </w:rPr>
              <w:t>10)</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Earmarked reserves utilised/provided for in year</w:t>
            </w:r>
          </w:p>
        </w:tc>
        <w:tc>
          <w:tcPr>
            <w:tcW w:w="1645" w:type="dxa"/>
          </w:tcPr>
          <w:p w:rsidR="00EA0739" w:rsidRPr="001C0001" w:rsidRDefault="00695855" w:rsidP="00EA0739">
            <w:pPr>
              <w:jc w:val="center"/>
              <w:rPr>
                <w:rFonts w:cs="Arial"/>
                <w:color w:val="000000" w:themeColor="text1"/>
                <w:sz w:val="22"/>
                <w:szCs w:val="22"/>
              </w:rPr>
            </w:pPr>
            <w:r w:rsidRPr="001C0001">
              <w:rPr>
                <w:rFonts w:cs="Arial"/>
                <w:color w:val="000000" w:themeColor="text1"/>
                <w:sz w:val="22"/>
                <w:szCs w:val="22"/>
              </w:rPr>
              <w:t>0.068</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Transfer from Provisions</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(0.691)</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Accounting for pensions under IAS19</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13.138</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Revenue Contributions to Capital Outlay</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(2.421)</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Adjustments between accounting basis and funding basis under regulations</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3.908</w:t>
            </w:r>
          </w:p>
        </w:tc>
      </w:tr>
      <w:tr w:rsidR="00EA0739" w:rsidRPr="00BC2BAA" w:rsidTr="00EA0739">
        <w:tc>
          <w:tcPr>
            <w:tcW w:w="7677" w:type="dxa"/>
            <w:tcBorders>
              <w:top w:val="single" w:sz="4" w:space="0" w:color="auto"/>
              <w:left w:val="single" w:sz="4" w:space="0" w:color="auto"/>
              <w:bottom w:val="single" w:sz="4" w:space="0" w:color="auto"/>
              <w:right w:val="single" w:sz="4" w:space="0" w:color="auto"/>
            </w:tcBorders>
          </w:tcPr>
          <w:p w:rsidR="00EA0739" w:rsidRPr="003C3FC1" w:rsidRDefault="00EA0739" w:rsidP="00EA0739">
            <w:pPr>
              <w:jc w:val="both"/>
              <w:rPr>
                <w:rFonts w:cs="Arial"/>
                <w:sz w:val="22"/>
                <w:szCs w:val="22"/>
              </w:rPr>
            </w:pPr>
            <w:r w:rsidRPr="003C3FC1">
              <w:rPr>
                <w:rFonts w:cs="Arial"/>
                <w:sz w:val="22"/>
                <w:szCs w:val="22"/>
              </w:rPr>
              <w:t xml:space="preserve">Deficit on the provision of services </w:t>
            </w:r>
          </w:p>
        </w:tc>
        <w:tc>
          <w:tcPr>
            <w:tcW w:w="1645" w:type="dxa"/>
            <w:tcBorders>
              <w:top w:val="single" w:sz="4" w:space="0" w:color="auto"/>
              <w:left w:val="single" w:sz="4" w:space="0" w:color="auto"/>
              <w:bottom w:val="single" w:sz="4" w:space="0" w:color="auto"/>
              <w:right w:val="single" w:sz="4" w:space="0" w:color="auto"/>
            </w:tcBorders>
          </w:tcPr>
          <w:p w:rsidR="00EA0739" w:rsidRPr="001C0001" w:rsidRDefault="00EA0739" w:rsidP="00EA0739">
            <w:pPr>
              <w:jc w:val="center"/>
              <w:rPr>
                <w:rFonts w:cs="Arial"/>
                <w:b/>
                <w:color w:val="000000" w:themeColor="text1"/>
                <w:sz w:val="22"/>
                <w:szCs w:val="22"/>
              </w:rPr>
            </w:pPr>
            <w:r w:rsidRPr="001C0001">
              <w:rPr>
                <w:rFonts w:cs="Arial"/>
                <w:b/>
                <w:color w:val="000000" w:themeColor="text1"/>
                <w:sz w:val="22"/>
                <w:szCs w:val="22"/>
              </w:rPr>
              <w:t>13.992</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Surplus on revaluation of non-current assets</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(5.167)</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Actuarial loss on pensions assets and liabilities</w:t>
            </w:r>
          </w:p>
        </w:tc>
        <w:tc>
          <w:tcPr>
            <w:tcW w:w="1645" w:type="dxa"/>
          </w:tcPr>
          <w:p w:rsidR="00EA0739" w:rsidRPr="001C0001" w:rsidRDefault="00EA0739" w:rsidP="00EA0739">
            <w:pPr>
              <w:jc w:val="center"/>
              <w:rPr>
                <w:rFonts w:cs="Arial"/>
                <w:color w:val="000000" w:themeColor="text1"/>
                <w:sz w:val="22"/>
                <w:szCs w:val="22"/>
              </w:rPr>
            </w:pPr>
            <w:r w:rsidRPr="001C0001">
              <w:rPr>
                <w:rFonts w:cs="Arial"/>
                <w:color w:val="000000" w:themeColor="text1"/>
                <w:sz w:val="22"/>
                <w:szCs w:val="22"/>
              </w:rPr>
              <w:t>(10.628)</w:t>
            </w:r>
          </w:p>
        </w:tc>
      </w:tr>
      <w:tr w:rsidR="00EA0739" w:rsidRPr="00BC2BAA" w:rsidTr="00EA0739">
        <w:tc>
          <w:tcPr>
            <w:tcW w:w="7677" w:type="dxa"/>
          </w:tcPr>
          <w:p w:rsidR="00EA0739" w:rsidRPr="003C3FC1" w:rsidRDefault="00EA0739" w:rsidP="00EA0739">
            <w:pPr>
              <w:jc w:val="both"/>
              <w:rPr>
                <w:rFonts w:cs="Arial"/>
                <w:sz w:val="22"/>
                <w:szCs w:val="22"/>
              </w:rPr>
            </w:pPr>
            <w:r w:rsidRPr="003C3FC1">
              <w:rPr>
                <w:rFonts w:cs="Arial"/>
                <w:sz w:val="22"/>
                <w:szCs w:val="22"/>
              </w:rPr>
              <w:t>Total Comprehensive Income and Expenditure</w:t>
            </w:r>
          </w:p>
        </w:tc>
        <w:tc>
          <w:tcPr>
            <w:tcW w:w="1645" w:type="dxa"/>
          </w:tcPr>
          <w:p w:rsidR="00EA0739" w:rsidRPr="001C0001" w:rsidRDefault="00EA0739" w:rsidP="00EA0739">
            <w:pPr>
              <w:jc w:val="center"/>
              <w:rPr>
                <w:rFonts w:cs="Arial"/>
                <w:b/>
                <w:color w:val="000000" w:themeColor="text1"/>
                <w:sz w:val="22"/>
                <w:szCs w:val="22"/>
              </w:rPr>
            </w:pPr>
            <w:r w:rsidRPr="001C0001">
              <w:rPr>
                <w:rFonts w:cs="Arial"/>
                <w:b/>
                <w:color w:val="000000" w:themeColor="text1"/>
                <w:sz w:val="22"/>
                <w:szCs w:val="22"/>
              </w:rPr>
              <w:t>(1.803)</w:t>
            </w:r>
          </w:p>
        </w:tc>
      </w:tr>
      <w:tr w:rsidR="001C0001" w:rsidRPr="00BC2BAA" w:rsidTr="00EA0739">
        <w:tc>
          <w:tcPr>
            <w:tcW w:w="7677" w:type="dxa"/>
          </w:tcPr>
          <w:p w:rsidR="001C0001" w:rsidRPr="003C3FC1" w:rsidRDefault="001C0001" w:rsidP="00EA0739">
            <w:pPr>
              <w:jc w:val="both"/>
              <w:rPr>
                <w:rFonts w:cs="Arial"/>
                <w:sz w:val="22"/>
                <w:szCs w:val="22"/>
              </w:rPr>
            </w:pPr>
            <w:r>
              <w:rPr>
                <w:rFonts w:cs="Arial"/>
                <w:sz w:val="22"/>
                <w:szCs w:val="22"/>
              </w:rPr>
              <w:t xml:space="preserve">Recognise 25% share in North West </w:t>
            </w:r>
            <w:proofErr w:type="spellStart"/>
            <w:r>
              <w:rPr>
                <w:rFonts w:cs="Arial"/>
                <w:sz w:val="22"/>
                <w:szCs w:val="22"/>
              </w:rPr>
              <w:t>FireControl</w:t>
            </w:r>
            <w:proofErr w:type="spellEnd"/>
            <w:r>
              <w:rPr>
                <w:rFonts w:cs="Arial"/>
                <w:sz w:val="22"/>
                <w:szCs w:val="22"/>
              </w:rPr>
              <w:t xml:space="preserve"> Limited</w:t>
            </w:r>
          </w:p>
        </w:tc>
        <w:tc>
          <w:tcPr>
            <w:tcW w:w="1645" w:type="dxa"/>
          </w:tcPr>
          <w:p w:rsidR="001C0001" w:rsidRPr="001C0001" w:rsidRDefault="001C0001" w:rsidP="00EA0739">
            <w:pPr>
              <w:jc w:val="center"/>
              <w:rPr>
                <w:rFonts w:cs="Arial"/>
                <w:color w:val="000000" w:themeColor="text1"/>
                <w:sz w:val="22"/>
                <w:szCs w:val="22"/>
                <w:highlight w:val="yellow"/>
              </w:rPr>
            </w:pPr>
            <w:r w:rsidRPr="001C0001">
              <w:rPr>
                <w:rFonts w:cs="Arial"/>
                <w:color w:val="000000" w:themeColor="text1"/>
                <w:sz w:val="22"/>
                <w:szCs w:val="22"/>
              </w:rPr>
              <w:t>0.327</w:t>
            </w:r>
          </w:p>
        </w:tc>
      </w:tr>
      <w:tr w:rsidR="001C0001" w:rsidRPr="00BC2BAA" w:rsidTr="00EA0739">
        <w:tc>
          <w:tcPr>
            <w:tcW w:w="7677" w:type="dxa"/>
          </w:tcPr>
          <w:p w:rsidR="001C0001" w:rsidRPr="003C3FC1" w:rsidRDefault="001C0001" w:rsidP="00EA0739">
            <w:pPr>
              <w:jc w:val="both"/>
              <w:rPr>
                <w:rFonts w:cs="Arial"/>
                <w:sz w:val="22"/>
                <w:szCs w:val="22"/>
              </w:rPr>
            </w:pPr>
            <w:r w:rsidRPr="003C3FC1">
              <w:rPr>
                <w:rFonts w:cs="Arial"/>
                <w:sz w:val="22"/>
                <w:szCs w:val="22"/>
              </w:rPr>
              <w:t>Total Comprehensive Income and Expenditure</w:t>
            </w:r>
          </w:p>
        </w:tc>
        <w:tc>
          <w:tcPr>
            <w:tcW w:w="1645" w:type="dxa"/>
          </w:tcPr>
          <w:p w:rsidR="001C0001" w:rsidRPr="001C0001" w:rsidRDefault="001C0001" w:rsidP="00EA0739">
            <w:pPr>
              <w:jc w:val="center"/>
              <w:rPr>
                <w:rFonts w:cs="Arial"/>
                <w:b/>
                <w:color w:val="000000" w:themeColor="text1"/>
                <w:sz w:val="22"/>
                <w:szCs w:val="22"/>
                <w:highlight w:val="yellow"/>
              </w:rPr>
            </w:pPr>
            <w:r w:rsidRPr="001C0001">
              <w:rPr>
                <w:rFonts w:cs="Arial"/>
                <w:b/>
                <w:color w:val="000000" w:themeColor="text1"/>
                <w:sz w:val="22"/>
                <w:szCs w:val="22"/>
              </w:rPr>
              <w:t>(1.476)</w:t>
            </w:r>
          </w:p>
        </w:tc>
      </w:tr>
    </w:tbl>
    <w:p w:rsidR="00EA0739" w:rsidRDefault="00EA0739"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Authority transferred £2.6m from the general fund balance to the capital funding reserve, in order to meet future capital commitments. As a result of this the general fund balance fell to £7.8m, still within the target level identified by the Treasurer (a minimum of £2.5m and a maximum of £10.0m). This still provides capacity to cope with anticipated funding cuts in the short term whilst appropriate efficiencies are identified, and the on-going use of reserves remains a key element of the Authority’s future financial plans. It is worth noting that the latest medium term financial strategy, identified at the time of setting the 2018/19 budget, shows approx. £5m of reserves being used by March 2022 meaning that we will be approaching our minimum reserve level at that time.</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The Authority also holds an additional £8m of earmarked revenue reserves and £19m of capital reserves and receipts.  Again, the majority of these are utilised within the medium term financial strategy, reducing to a level of £7.5m and £0.5m respectively by March 2022. It is also worth noting that over half of the earmarked reserve relates to the Authorities two PFI schemes, whereby monies are set aside in the early years of the schemes to meet future costs, thus smoothing out the impact of inflationary pressures. </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Authority has continued to invest in its asset base, with capital expenditure incurred in the year totalling £4.6m, as set out below:-</w:t>
      </w:r>
    </w:p>
    <w:p w:rsidR="00882E25" w:rsidRPr="00E36DE5" w:rsidRDefault="00882E25" w:rsidP="00882E25">
      <w:pPr>
        <w:jc w:val="both"/>
        <w:rPr>
          <w:rFonts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418"/>
      </w:tblGrid>
      <w:tr w:rsidR="00882E25" w:rsidRPr="00E36DE5" w:rsidTr="00A6686C">
        <w:tc>
          <w:tcPr>
            <w:tcW w:w="8505" w:type="dxa"/>
            <w:shd w:val="clear" w:color="auto" w:fill="auto"/>
          </w:tcPr>
          <w:p w:rsidR="00882E25" w:rsidRPr="00E36DE5" w:rsidRDefault="00882E25" w:rsidP="00A6686C">
            <w:pPr>
              <w:jc w:val="both"/>
              <w:rPr>
                <w:rFonts w:cs="Arial"/>
                <w:color w:val="000000" w:themeColor="text1"/>
                <w:sz w:val="22"/>
                <w:szCs w:val="22"/>
              </w:rPr>
            </w:pPr>
          </w:p>
        </w:tc>
        <w:tc>
          <w:tcPr>
            <w:tcW w:w="1418" w:type="dxa"/>
            <w:shd w:val="clear" w:color="auto" w:fill="auto"/>
          </w:tcPr>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Spend</w:t>
            </w:r>
          </w:p>
        </w:tc>
      </w:tr>
      <w:tr w:rsidR="00882E25" w:rsidRPr="00E36DE5" w:rsidTr="00A6686C">
        <w:tc>
          <w:tcPr>
            <w:tcW w:w="8505" w:type="dxa"/>
            <w:shd w:val="clear" w:color="auto" w:fill="auto"/>
          </w:tcPr>
          <w:p w:rsidR="00882E25" w:rsidRPr="00E36DE5" w:rsidRDefault="00882E25" w:rsidP="00A6686C">
            <w:pPr>
              <w:jc w:val="both"/>
              <w:rPr>
                <w:rFonts w:cs="Arial"/>
                <w:color w:val="000000" w:themeColor="text1"/>
                <w:sz w:val="22"/>
                <w:szCs w:val="22"/>
              </w:rPr>
            </w:pPr>
            <w:r w:rsidRPr="00E36DE5">
              <w:rPr>
                <w:rFonts w:cs="Arial"/>
                <w:color w:val="000000" w:themeColor="text1"/>
                <w:sz w:val="22"/>
                <w:szCs w:val="22"/>
              </w:rPr>
              <w:t>Vehicles</w:t>
            </w:r>
          </w:p>
          <w:p w:rsidR="00882E25" w:rsidRPr="00E36DE5" w:rsidRDefault="00882E25" w:rsidP="00882E25">
            <w:pPr>
              <w:numPr>
                <w:ilvl w:val="0"/>
                <w:numId w:val="42"/>
              </w:numPr>
              <w:contextualSpacing/>
              <w:jc w:val="both"/>
              <w:rPr>
                <w:rFonts w:eastAsia="Calibri" w:cs="Arial"/>
                <w:color w:val="000000" w:themeColor="text1"/>
                <w:sz w:val="22"/>
                <w:szCs w:val="22"/>
              </w:rPr>
            </w:pPr>
            <w:r w:rsidRPr="00E36DE5">
              <w:rPr>
                <w:rFonts w:eastAsia="Calibri" w:cs="Arial"/>
                <w:color w:val="000000" w:themeColor="text1"/>
                <w:sz w:val="22"/>
                <w:szCs w:val="22"/>
              </w:rPr>
              <w:t>Pumping Appliances – completion of 5 Pumping Appliances from the 2016/17 capital programme plus 6 Pumping Appliances from the 2017/18 capital programme</w:t>
            </w:r>
          </w:p>
          <w:p w:rsidR="00882E25" w:rsidRPr="00E36DE5" w:rsidRDefault="00882E25" w:rsidP="00882E25">
            <w:pPr>
              <w:numPr>
                <w:ilvl w:val="0"/>
                <w:numId w:val="42"/>
              </w:numPr>
              <w:contextualSpacing/>
              <w:jc w:val="both"/>
              <w:rPr>
                <w:rFonts w:eastAsia="Calibri" w:cs="Arial"/>
                <w:color w:val="000000" w:themeColor="text1"/>
                <w:sz w:val="22"/>
                <w:szCs w:val="22"/>
              </w:rPr>
            </w:pPr>
            <w:r w:rsidRPr="00E36DE5">
              <w:rPr>
                <w:rFonts w:eastAsia="Calibri" w:cs="Arial"/>
                <w:color w:val="000000" w:themeColor="text1"/>
                <w:sz w:val="22"/>
                <w:szCs w:val="22"/>
              </w:rPr>
              <w:t>Operational Support Vehicles – purchase of Water Tower plus various support vehicles, such as vans and cars</w:t>
            </w:r>
          </w:p>
        </w:tc>
        <w:tc>
          <w:tcPr>
            <w:tcW w:w="1418" w:type="dxa"/>
            <w:shd w:val="clear" w:color="auto" w:fill="auto"/>
          </w:tcPr>
          <w:p w:rsidR="00882E25" w:rsidRPr="00E36DE5" w:rsidRDefault="00882E25" w:rsidP="00A6686C">
            <w:pPr>
              <w:jc w:val="center"/>
              <w:rPr>
                <w:rFonts w:cs="Arial"/>
                <w:color w:val="000000" w:themeColor="text1"/>
                <w:sz w:val="22"/>
                <w:szCs w:val="22"/>
              </w:rPr>
            </w:pPr>
          </w:p>
          <w:p w:rsidR="00882E25" w:rsidRPr="00E36DE5" w:rsidRDefault="00882E25" w:rsidP="00A6686C">
            <w:pPr>
              <w:tabs>
                <w:tab w:val="decimal" w:pos="1167"/>
              </w:tabs>
              <w:jc w:val="center"/>
              <w:rPr>
                <w:rFonts w:cs="Arial"/>
                <w:color w:val="000000" w:themeColor="text1"/>
                <w:sz w:val="22"/>
                <w:szCs w:val="22"/>
              </w:rPr>
            </w:pP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£1.7m</w:t>
            </w:r>
          </w:p>
          <w:p w:rsidR="00882E25" w:rsidRPr="00E36DE5" w:rsidRDefault="00882E25" w:rsidP="00A6686C">
            <w:pPr>
              <w:tabs>
                <w:tab w:val="decimal" w:pos="1167"/>
              </w:tabs>
              <w:jc w:val="center"/>
              <w:rPr>
                <w:rFonts w:cs="Arial"/>
                <w:color w:val="000000" w:themeColor="text1"/>
                <w:sz w:val="22"/>
                <w:szCs w:val="22"/>
              </w:rPr>
            </w:pP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£0.7m</w:t>
            </w:r>
          </w:p>
        </w:tc>
      </w:tr>
      <w:tr w:rsidR="00882E25" w:rsidRPr="00E36DE5" w:rsidTr="00A6686C">
        <w:tc>
          <w:tcPr>
            <w:tcW w:w="8505" w:type="dxa"/>
            <w:shd w:val="clear" w:color="auto" w:fill="auto"/>
          </w:tcPr>
          <w:p w:rsidR="00882E25" w:rsidRPr="00E36DE5" w:rsidRDefault="00882E25" w:rsidP="00A6686C">
            <w:pPr>
              <w:jc w:val="both"/>
              <w:rPr>
                <w:rFonts w:cs="Arial"/>
                <w:color w:val="000000" w:themeColor="text1"/>
                <w:sz w:val="22"/>
                <w:szCs w:val="22"/>
              </w:rPr>
            </w:pPr>
            <w:r w:rsidRPr="00E36DE5">
              <w:rPr>
                <w:rFonts w:cs="Arial"/>
                <w:color w:val="000000" w:themeColor="text1"/>
                <w:sz w:val="22"/>
                <w:szCs w:val="22"/>
              </w:rPr>
              <w:t>Operational Equipment</w:t>
            </w:r>
          </w:p>
          <w:p w:rsidR="00882E25" w:rsidRPr="00E36DE5" w:rsidRDefault="00882E25" w:rsidP="00882E25">
            <w:pPr>
              <w:numPr>
                <w:ilvl w:val="0"/>
                <w:numId w:val="43"/>
              </w:numPr>
              <w:contextualSpacing/>
              <w:jc w:val="both"/>
              <w:rPr>
                <w:rFonts w:eastAsia="Calibri" w:cs="Arial"/>
                <w:color w:val="000000" w:themeColor="text1"/>
                <w:sz w:val="22"/>
                <w:szCs w:val="22"/>
              </w:rPr>
            </w:pPr>
            <w:r w:rsidRPr="00E36DE5">
              <w:rPr>
                <w:rFonts w:eastAsia="Calibri" w:cs="Arial"/>
                <w:color w:val="000000" w:themeColor="text1"/>
                <w:sz w:val="22"/>
                <w:szCs w:val="22"/>
              </w:rPr>
              <w:t>Purchase of Thermal Imaging Cameras and various innovations in firefighting equipment, such as Fog Spikes</w:t>
            </w:r>
          </w:p>
        </w:tc>
        <w:tc>
          <w:tcPr>
            <w:tcW w:w="1418" w:type="dxa"/>
            <w:shd w:val="clear" w:color="auto" w:fill="auto"/>
          </w:tcPr>
          <w:p w:rsidR="00882E25" w:rsidRPr="00E36DE5" w:rsidRDefault="00882E25" w:rsidP="00A6686C">
            <w:pPr>
              <w:tabs>
                <w:tab w:val="decimal" w:pos="1168"/>
              </w:tabs>
              <w:jc w:val="center"/>
              <w:rPr>
                <w:rFonts w:cs="Arial"/>
                <w:color w:val="000000" w:themeColor="text1"/>
                <w:sz w:val="22"/>
                <w:szCs w:val="22"/>
              </w:rPr>
            </w:pPr>
          </w:p>
          <w:p w:rsidR="00882E25" w:rsidRPr="00E36DE5" w:rsidRDefault="00882E25" w:rsidP="00A6686C">
            <w:pPr>
              <w:tabs>
                <w:tab w:val="decimal" w:pos="1168"/>
              </w:tabs>
              <w:jc w:val="center"/>
              <w:rPr>
                <w:rFonts w:cs="Arial"/>
                <w:color w:val="000000" w:themeColor="text1"/>
                <w:sz w:val="22"/>
                <w:szCs w:val="22"/>
              </w:rPr>
            </w:pP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£0.3m</w:t>
            </w:r>
          </w:p>
        </w:tc>
      </w:tr>
      <w:tr w:rsidR="00882E25" w:rsidRPr="00E36DE5" w:rsidTr="00A6686C">
        <w:tc>
          <w:tcPr>
            <w:tcW w:w="8505" w:type="dxa"/>
            <w:shd w:val="clear" w:color="auto" w:fill="auto"/>
          </w:tcPr>
          <w:p w:rsidR="00882E25" w:rsidRPr="00E36DE5" w:rsidRDefault="00882E25" w:rsidP="00A6686C">
            <w:pPr>
              <w:jc w:val="both"/>
              <w:rPr>
                <w:rFonts w:cs="Arial"/>
                <w:color w:val="000000" w:themeColor="text1"/>
                <w:sz w:val="22"/>
                <w:szCs w:val="22"/>
              </w:rPr>
            </w:pPr>
            <w:r w:rsidRPr="00E36DE5">
              <w:rPr>
                <w:rFonts w:cs="Arial"/>
                <w:color w:val="000000" w:themeColor="text1"/>
                <w:sz w:val="22"/>
                <w:szCs w:val="22"/>
              </w:rPr>
              <w:t>Buildings</w:t>
            </w:r>
          </w:p>
          <w:p w:rsidR="00882E25" w:rsidRPr="00E36DE5" w:rsidRDefault="00882E25" w:rsidP="00882E25">
            <w:pPr>
              <w:numPr>
                <w:ilvl w:val="0"/>
                <w:numId w:val="43"/>
              </w:numPr>
              <w:contextualSpacing/>
              <w:jc w:val="both"/>
              <w:rPr>
                <w:rFonts w:eastAsia="Calibri" w:cs="Arial"/>
                <w:color w:val="000000" w:themeColor="text1"/>
                <w:sz w:val="22"/>
                <w:szCs w:val="22"/>
              </w:rPr>
            </w:pPr>
            <w:r w:rsidRPr="00E36DE5">
              <w:rPr>
                <w:rFonts w:eastAsia="Calibri" w:cs="Arial"/>
                <w:color w:val="000000" w:themeColor="text1"/>
                <w:sz w:val="22"/>
                <w:szCs w:val="22"/>
              </w:rPr>
              <w:t xml:space="preserve">Training Centre site works, including work relating to onsite training props and the replacement water main </w:t>
            </w:r>
          </w:p>
          <w:p w:rsidR="00882E25" w:rsidRPr="00E36DE5" w:rsidRDefault="00882E25" w:rsidP="00882E25">
            <w:pPr>
              <w:numPr>
                <w:ilvl w:val="0"/>
                <w:numId w:val="43"/>
              </w:numPr>
              <w:contextualSpacing/>
              <w:jc w:val="both"/>
              <w:rPr>
                <w:rFonts w:eastAsia="Calibri" w:cs="Arial"/>
                <w:color w:val="000000" w:themeColor="text1"/>
                <w:sz w:val="22"/>
                <w:szCs w:val="22"/>
              </w:rPr>
            </w:pPr>
            <w:r w:rsidRPr="00E36DE5">
              <w:rPr>
                <w:rFonts w:eastAsia="Calibri" w:cs="Arial"/>
                <w:color w:val="000000" w:themeColor="text1"/>
                <w:sz w:val="22"/>
                <w:szCs w:val="22"/>
              </w:rPr>
              <w:t>Stage payments relating to the new joint Fire/Ambulance Station project in Lancaster, which is due completion by June 2018.</w:t>
            </w:r>
          </w:p>
          <w:p w:rsidR="00882E25" w:rsidRPr="00E36DE5" w:rsidRDefault="00882E25" w:rsidP="00882E25">
            <w:pPr>
              <w:numPr>
                <w:ilvl w:val="0"/>
                <w:numId w:val="43"/>
              </w:numPr>
              <w:contextualSpacing/>
              <w:jc w:val="both"/>
              <w:rPr>
                <w:rFonts w:eastAsia="Calibri" w:cs="Arial"/>
                <w:color w:val="000000" w:themeColor="text1"/>
                <w:sz w:val="22"/>
                <w:szCs w:val="22"/>
              </w:rPr>
            </w:pPr>
            <w:r w:rsidRPr="00E36DE5">
              <w:rPr>
                <w:rFonts w:eastAsia="Calibri" w:cs="Arial"/>
                <w:color w:val="000000" w:themeColor="text1"/>
                <w:sz w:val="22"/>
                <w:szCs w:val="22"/>
              </w:rPr>
              <w:t>Other</w:t>
            </w:r>
          </w:p>
        </w:tc>
        <w:tc>
          <w:tcPr>
            <w:tcW w:w="1418" w:type="dxa"/>
            <w:shd w:val="clear" w:color="auto" w:fill="auto"/>
          </w:tcPr>
          <w:p w:rsidR="00882E25" w:rsidRPr="00E36DE5" w:rsidRDefault="00882E25" w:rsidP="00A6686C">
            <w:pPr>
              <w:tabs>
                <w:tab w:val="decimal" w:pos="1168"/>
              </w:tabs>
              <w:jc w:val="both"/>
              <w:rPr>
                <w:rFonts w:cs="Arial"/>
                <w:color w:val="000000" w:themeColor="text1"/>
                <w:sz w:val="22"/>
                <w:szCs w:val="22"/>
              </w:rPr>
            </w:pPr>
          </w:p>
          <w:p w:rsidR="00882E25" w:rsidRPr="00E36DE5" w:rsidRDefault="00882E25" w:rsidP="00A6686C">
            <w:pPr>
              <w:tabs>
                <w:tab w:val="decimal" w:pos="1168"/>
              </w:tabs>
              <w:jc w:val="both"/>
              <w:rPr>
                <w:rFonts w:cs="Arial"/>
                <w:color w:val="000000" w:themeColor="text1"/>
                <w:sz w:val="22"/>
                <w:szCs w:val="22"/>
              </w:rPr>
            </w:pP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£0.2m</w:t>
            </w:r>
          </w:p>
          <w:p w:rsidR="00882E25" w:rsidRPr="00E36DE5" w:rsidRDefault="00882E25" w:rsidP="00A6686C">
            <w:pPr>
              <w:jc w:val="center"/>
              <w:rPr>
                <w:rFonts w:cs="Arial"/>
                <w:color w:val="000000" w:themeColor="text1"/>
                <w:sz w:val="22"/>
                <w:szCs w:val="22"/>
              </w:rPr>
            </w:pP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£1.5m</w:t>
            </w:r>
          </w:p>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£0.2m</w:t>
            </w:r>
          </w:p>
        </w:tc>
      </w:tr>
      <w:tr w:rsidR="00882E25" w:rsidRPr="00E36DE5" w:rsidTr="00A6686C">
        <w:tc>
          <w:tcPr>
            <w:tcW w:w="8505" w:type="dxa"/>
            <w:shd w:val="clear" w:color="auto" w:fill="auto"/>
          </w:tcPr>
          <w:p w:rsidR="00882E25" w:rsidRPr="00E36DE5" w:rsidRDefault="00882E25" w:rsidP="00A6686C">
            <w:pPr>
              <w:jc w:val="both"/>
              <w:rPr>
                <w:rFonts w:cs="Arial"/>
                <w:color w:val="000000" w:themeColor="text1"/>
                <w:sz w:val="22"/>
                <w:szCs w:val="22"/>
              </w:rPr>
            </w:pPr>
            <w:r w:rsidRPr="00E36DE5">
              <w:rPr>
                <w:rFonts w:cs="Arial"/>
                <w:color w:val="000000" w:themeColor="text1"/>
                <w:sz w:val="22"/>
                <w:szCs w:val="22"/>
              </w:rPr>
              <w:t>Total</w:t>
            </w:r>
          </w:p>
        </w:tc>
        <w:tc>
          <w:tcPr>
            <w:tcW w:w="1418" w:type="dxa"/>
            <w:shd w:val="clear" w:color="auto" w:fill="auto"/>
          </w:tcPr>
          <w:p w:rsidR="00882E25" w:rsidRPr="00E36DE5" w:rsidRDefault="00882E25" w:rsidP="00A6686C">
            <w:pPr>
              <w:jc w:val="center"/>
              <w:rPr>
                <w:rFonts w:cs="Arial"/>
                <w:color w:val="000000" w:themeColor="text1"/>
                <w:sz w:val="22"/>
                <w:szCs w:val="22"/>
              </w:rPr>
            </w:pPr>
            <w:r w:rsidRPr="00E36DE5">
              <w:rPr>
                <w:rFonts w:cs="Arial"/>
                <w:color w:val="000000" w:themeColor="text1"/>
                <w:sz w:val="22"/>
                <w:szCs w:val="22"/>
              </w:rPr>
              <w:t>£4.6m</w:t>
            </w:r>
          </w:p>
        </w:tc>
      </w:tr>
    </w:tbl>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The Balance Sheet shows that the Authorities Total Net Liabilities remaining broadly consistent at </w:t>
      </w:r>
      <w:r w:rsidRPr="00854EFD">
        <w:rPr>
          <w:rFonts w:cs="Arial"/>
          <w:color w:val="000000" w:themeColor="text1"/>
          <w:sz w:val="22"/>
          <w:szCs w:val="22"/>
        </w:rPr>
        <w:t>£</w:t>
      </w:r>
      <w:r w:rsidR="00854EFD" w:rsidRPr="00854EFD">
        <w:rPr>
          <w:rFonts w:cs="Arial"/>
          <w:color w:val="000000" w:themeColor="text1"/>
          <w:sz w:val="22"/>
          <w:szCs w:val="22"/>
        </w:rPr>
        <w:t>686m</w:t>
      </w:r>
      <w:r w:rsidRPr="00E36DE5">
        <w:rPr>
          <w:rFonts w:cs="Arial"/>
          <w:color w:val="000000" w:themeColor="text1"/>
          <w:sz w:val="22"/>
          <w:szCs w:val="22"/>
        </w:rPr>
        <w:t xml:space="preserve">.  This reflects the Authorities compliance with International Accounting Standards and in particular the </w:t>
      </w:r>
      <w:r w:rsidRPr="00E36DE5">
        <w:rPr>
          <w:rFonts w:cs="Arial"/>
          <w:color w:val="000000" w:themeColor="text1"/>
          <w:sz w:val="22"/>
          <w:szCs w:val="22"/>
        </w:rPr>
        <w:lastRenderedPageBreak/>
        <w:t xml:space="preserve">requirement to show the full pensions liability in the accounts. Whilst the liability on the Local Government Pension Scheme is partly funded the Fire-fighters Pension Scheme is unfunded, i.e. there are no assets from which future liabilities will be paid, and hence the Authority’s overall pension liability of </w:t>
      </w:r>
      <w:r w:rsidRPr="00854EFD">
        <w:rPr>
          <w:rFonts w:cs="Arial"/>
          <w:color w:val="000000" w:themeColor="text1"/>
          <w:sz w:val="22"/>
          <w:szCs w:val="22"/>
        </w:rPr>
        <w:t>£</w:t>
      </w:r>
      <w:r w:rsidR="00854EFD">
        <w:rPr>
          <w:rFonts w:cs="Arial"/>
          <w:color w:val="000000" w:themeColor="text1"/>
          <w:sz w:val="22"/>
          <w:szCs w:val="22"/>
        </w:rPr>
        <w:t>800</w:t>
      </w:r>
      <w:r w:rsidR="00854EFD" w:rsidRPr="00854EFD">
        <w:rPr>
          <w:rFonts w:cs="Arial"/>
          <w:color w:val="000000" w:themeColor="text1"/>
          <w:sz w:val="22"/>
          <w:szCs w:val="22"/>
        </w:rPr>
        <w:t>m</w:t>
      </w:r>
      <w:r w:rsidR="00854EFD" w:rsidRPr="00E36DE5">
        <w:rPr>
          <w:rFonts w:cs="Arial"/>
          <w:color w:val="000000" w:themeColor="text1"/>
          <w:sz w:val="22"/>
          <w:szCs w:val="22"/>
        </w:rPr>
        <w:t xml:space="preserve"> </w:t>
      </w:r>
      <w:r w:rsidRPr="00E36DE5">
        <w:rPr>
          <w:rFonts w:cs="Arial"/>
          <w:color w:val="000000" w:themeColor="text1"/>
          <w:sz w:val="22"/>
          <w:szCs w:val="22"/>
        </w:rPr>
        <w:t xml:space="preserve">is extremely large.  If this liability was excluded the Authorities Total Net Assets would be </w:t>
      </w:r>
      <w:r w:rsidRPr="00854EFD">
        <w:rPr>
          <w:rFonts w:cs="Arial"/>
          <w:color w:val="000000" w:themeColor="text1"/>
          <w:sz w:val="22"/>
          <w:szCs w:val="22"/>
        </w:rPr>
        <w:t>£</w:t>
      </w:r>
      <w:r w:rsidR="00854EFD" w:rsidRPr="00854EFD">
        <w:rPr>
          <w:rFonts w:cs="Arial"/>
          <w:color w:val="000000" w:themeColor="text1"/>
          <w:sz w:val="22"/>
          <w:szCs w:val="22"/>
        </w:rPr>
        <w:t>11</w:t>
      </w:r>
      <w:r w:rsidR="002E74A4">
        <w:rPr>
          <w:rFonts w:cs="Arial"/>
          <w:color w:val="000000" w:themeColor="text1"/>
          <w:sz w:val="22"/>
          <w:szCs w:val="22"/>
        </w:rPr>
        <w:t>4</w:t>
      </w:r>
      <w:r w:rsidR="00854EFD" w:rsidRPr="00854EFD">
        <w:rPr>
          <w:rFonts w:cs="Arial"/>
          <w:color w:val="000000" w:themeColor="text1"/>
          <w:sz w:val="22"/>
          <w:szCs w:val="22"/>
        </w:rPr>
        <w:t>m</w:t>
      </w:r>
      <w:r w:rsidRPr="00E36DE5">
        <w:rPr>
          <w:rFonts w:cs="Arial"/>
          <w:color w:val="000000" w:themeColor="text1"/>
          <w:sz w:val="22"/>
          <w:szCs w:val="22"/>
        </w:rPr>
        <w:t>.</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Long term assets have increased in value to £99m, reflecting the expenditure incurred in year and the net outcome of revaluations. </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Long term borrowing has reduced to £2m, reflecting the repayment of £0.3m of debt which matured in December, plus the early repayment of £3m of debt in October. The later incurring an early repayment charge of £0.6m, but reducing future interest payments by £0.8m.  </w:t>
      </w:r>
    </w:p>
    <w:p w:rsidR="006B4BE1" w:rsidRPr="00D01BAD" w:rsidRDefault="006B4BE1" w:rsidP="006B4BE1">
      <w:pPr>
        <w:rPr>
          <w:sz w:val="22"/>
        </w:rPr>
      </w:pPr>
    </w:p>
    <w:p w:rsidR="00882E25" w:rsidRPr="00E36DE5" w:rsidRDefault="00882E25" w:rsidP="00882E25">
      <w:pPr>
        <w:rPr>
          <w:rFonts w:cs="Arial"/>
          <w:b/>
          <w:color w:val="000000" w:themeColor="text1"/>
          <w:sz w:val="22"/>
          <w:szCs w:val="22"/>
        </w:rPr>
      </w:pPr>
      <w:r w:rsidRPr="00E36DE5">
        <w:rPr>
          <w:rFonts w:cs="Arial"/>
          <w:b/>
          <w:color w:val="000000" w:themeColor="text1"/>
          <w:sz w:val="22"/>
          <w:szCs w:val="22"/>
        </w:rPr>
        <w:t>Future Financial Plans</w:t>
      </w:r>
    </w:p>
    <w:p w:rsidR="00882E25" w:rsidRPr="00E36DE5" w:rsidRDefault="00882E25" w:rsidP="00882E25">
      <w:pPr>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The next two years will be the last of the four year funding settlement. As such we are able to predict the scale of future Government funding cuts at £1.0m in 2018/19 and £0.5m in 2019/20. As part of this year’s settlement the Government relaxed its council tax referendum principles, allowing for increased inflationary pressures, which resulted in a threshold of 3% being agreed for the next 2 years. </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Authority has plans to deliver £0.8m of efficiencies in 2018/19. These are partly offset by costs associated with pay awards, the full extent of which is not known at the present time. Overall these changes result in a revenue budget of £55.1m, however in order to deliver a council tax increase within the referendum limit (3%) an additional, as yet unidentified, savings target of £0.3m was agreed. Therefore the net revenue budget requirement is £54.8m, an increase of 1.5%, resulting in a council tax of £67.46, an increase of 2.99%. Based on this the budget, as presented, is considered affordable, prudent and sustainable, whilst ensuring that the Authority is able to deliver against its corporate priorities.</w:t>
      </w:r>
    </w:p>
    <w:p w:rsidR="00882E25" w:rsidRPr="00E36DE5" w:rsidRDefault="00882E25" w:rsidP="00882E25">
      <w:pPr>
        <w:jc w:val="both"/>
        <w:rPr>
          <w:rFonts w:cs="Arial"/>
          <w:color w:val="000000" w:themeColor="text1"/>
          <w:sz w:val="22"/>
          <w:szCs w:val="22"/>
        </w:rPr>
      </w:pPr>
    </w:p>
    <w:p w:rsidR="00882E25" w:rsidRPr="00E36DE5" w:rsidRDefault="00882E25" w:rsidP="00882E25">
      <w:pPr>
        <w:autoSpaceDE w:val="0"/>
        <w:autoSpaceDN w:val="0"/>
        <w:adjustRightInd w:val="0"/>
        <w:jc w:val="both"/>
        <w:rPr>
          <w:rFonts w:cs="Arial"/>
          <w:color w:val="000000" w:themeColor="text1"/>
          <w:sz w:val="22"/>
          <w:szCs w:val="22"/>
        </w:rPr>
      </w:pPr>
      <w:r w:rsidRPr="00E36DE5">
        <w:rPr>
          <w:rFonts w:cs="Arial"/>
          <w:color w:val="000000" w:themeColor="text1"/>
          <w:sz w:val="22"/>
          <w:szCs w:val="22"/>
        </w:rPr>
        <w:t>However it is worth noting that our council tax has increased by just 6.0% since 2010/11, the joint second lowest of any Authority and considerably lower than the average increase of 13.5%:-</w:t>
      </w:r>
    </w:p>
    <w:p w:rsidR="00882E25" w:rsidRPr="00E36DE5" w:rsidRDefault="00882E25" w:rsidP="00882E25">
      <w:pPr>
        <w:jc w:val="both"/>
        <w:rPr>
          <w:rFonts w:cs="Arial"/>
          <w:color w:val="000000" w:themeColor="text1"/>
          <w:sz w:val="22"/>
          <w:szCs w:val="22"/>
        </w:rPr>
      </w:pPr>
    </w:p>
    <w:p w:rsidR="00882E25" w:rsidRPr="00E36DE5" w:rsidRDefault="00882E25" w:rsidP="00FC240C">
      <w:pPr>
        <w:jc w:val="center"/>
        <w:rPr>
          <w:rFonts w:cs="Arial"/>
          <w:color w:val="000000" w:themeColor="text1"/>
          <w:sz w:val="22"/>
          <w:szCs w:val="22"/>
        </w:rPr>
      </w:pPr>
      <w:r w:rsidRPr="00E36DE5">
        <w:rPr>
          <w:rFonts w:cs="Arial"/>
          <w:noProof/>
          <w:color w:val="000000" w:themeColor="text1"/>
          <w:sz w:val="22"/>
          <w:szCs w:val="22"/>
          <w:lang w:eastAsia="en-GB"/>
        </w:rPr>
        <w:drawing>
          <wp:inline distT="0" distB="0" distL="0" distR="0" wp14:anchorId="260C7EAF" wp14:editId="4864C0FD">
            <wp:extent cx="3997547" cy="240295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137" cy="2405116"/>
                    </a:xfrm>
                    <a:prstGeom prst="rect">
                      <a:avLst/>
                    </a:prstGeom>
                    <a:noFill/>
                  </pic:spPr>
                </pic:pic>
              </a:graphicData>
            </a:graphic>
          </wp:inline>
        </w:drawing>
      </w:r>
    </w:p>
    <w:p w:rsidR="00882E25" w:rsidRPr="00E36DE5" w:rsidRDefault="00882E25" w:rsidP="00882E25">
      <w:pPr>
        <w:jc w:val="both"/>
        <w:rPr>
          <w:rFonts w:cs="Arial"/>
          <w:color w:val="000000" w:themeColor="text1"/>
          <w:sz w:val="22"/>
          <w:szCs w:val="22"/>
        </w:rPr>
      </w:pPr>
    </w:p>
    <w:p w:rsidR="00882E25" w:rsidRPr="00E36DE5" w:rsidRDefault="00882E25" w:rsidP="00882E25">
      <w:pPr>
        <w:autoSpaceDE w:val="0"/>
        <w:autoSpaceDN w:val="0"/>
        <w:adjustRightInd w:val="0"/>
        <w:jc w:val="both"/>
        <w:rPr>
          <w:rFonts w:cs="Arial"/>
          <w:color w:val="000000" w:themeColor="text1"/>
          <w:sz w:val="22"/>
          <w:szCs w:val="22"/>
        </w:rPr>
      </w:pPr>
      <w:r w:rsidRPr="00E36DE5">
        <w:rPr>
          <w:rFonts w:cs="Arial"/>
          <w:color w:val="000000" w:themeColor="text1"/>
          <w:sz w:val="22"/>
          <w:szCs w:val="22"/>
        </w:rPr>
        <w:t>Our 2018/19 council tax of £67.46 is still below the national average of £75.15, and is the seventh lowest of any Fire Authority</w:t>
      </w:r>
    </w:p>
    <w:p w:rsidR="00882E25" w:rsidRPr="00E36DE5" w:rsidRDefault="00882E25" w:rsidP="00882E25">
      <w:pPr>
        <w:jc w:val="both"/>
        <w:rPr>
          <w:rFonts w:cs="Arial"/>
          <w:color w:val="000000" w:themeColor="text1"/>
          <w:sz w:val="22"/>
          <w:szCs w:val="22"/>
        </w:rPr>
      </w:pPr>
    </w:p>
    <w:p w:rsidR="00882E25" w:rsidRPr="00E36DE5" w:rsidRDefault="00882E25" w:rsidP="00FC240C">
      <w:pPr>
        <w:jc w:val="center"/>
        <w:rPr>
          <w:rFonts w:cs="Arial"/>
          <w:color w:val="000000" w:themeColor="text1"/>
          <w:sz w:val="22"/>
          <w:szCs w:val="22"/>
        </w:rPr>
      </w:pPr>
      <w:r w:rsidRPr="00E36DE5">
        <w:rPr>
          <w:rFonts w:cs="Arial"/>
          <w:noProof/>
          <w:color w:val="000000" w:themeColor="text1"/>
          <w:sz w:val="22"/>
          <w:szCs w:val="22"/>
          <w:lang w:eastAsia="en-GB"/>
        </w:rPr>
        <w:lastRenderedPageBreak/>
        <w:drawing>
          <wp:inline distT="0" distB="0" distL="0" distR="0" wp14:anchorId="5C4C7357" wp14:editId="7BF1AABE">
            <wp:extent cx="3997547" cy="240295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4615" cy="2407207"/>
                    </a:xfrm>
                    <a:prstGeom prst="rect">
                      <a:avLst/>
                    </a:prstGeom>
                    <a:noFill/>
                  </pic:spPr>
                </pic:pic>
              </a:graphicData>
            </a:graphic>
          </wp:inline>
        </w:drawing>
      </w:r>
    </w:p>
    <w:p w:rsidR="00882E25" w:rsidRPr="00E36DE5" w:rsidRDefault="00882E25" w:rsidP="00882E25">
      <w:pPr>
        <w:autoSpaceDE w:val="0"/>
        <w:autoSpaceDN w:val="0"/>
        <w:adjustRightInd w:val="0"/>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2019/20 will be the last year of the four year settlement with a further funding cut of £0.5m being expected.  We will continue to deliver a further £0.3m of savings but this will not keep pace with inflationary pressures or anticipated increase in pension costs. As a result we are currently anticipating a £1m funding gap and hence we will continue to utilise reserves and identify further savings in order to deliver a balanced budget in the medium term.</w:t>
      </w:r>
    </w:p>
    <w:p w:rsidR="00882E25" w:rsidRPr="00E36DE5" w:rsidRDefault="00882E25" w:rsidP="00882E25">
      <w:pPr>
        <w:autoSpaceDE w:val="0"/>
        <w:autoSpaceDN w:val="0"/>
        <w:adjustRightInd w:val="0"/>
        <w:jc w:val="both"/>
        <w:rPr>
          <w:rFonts w:cs="Arial"/>
          <w:color w:val="000000" w:themeColor="text1"/>
          <w:sz w:val="22"/>
          <w:szCs w:val="22"/>
        </w:rPr>
      </w:pPr>
    </w:p>
    <w:p w:rsidR="00882E25" w:rsidRPr="00E36DE5" w:rsidRDefault="00882E25" w:rsidP="00882E25">
      <w:pPr>
        <w:autoSpaceDE w:val="0"/>
        <w:autoSpaceDN w:val="0"/>
        <w:adjustRightInd w:val="0"/>
        <w:jc w:val="both"/>
        <w:rPr>
          <w:rFonts w:cs="Arial"/>
          <w:color w:val="000000" w:themeColor="text1"/>
          <w:sz w:val="22"/>
          <w:szCs w:val="22"/>
        </w:rPr>
      </w:pPr>
      <w:r w:rsidRPr="00E36DE5">
        <w:rPr>
          <w:rFonts w:cs="Arial"/>
          <w:color w:val="000000" w:themeColor="text1"/>
          <w:sz w:val="22"/>
          <w:szCs w:val="22"/>
        </w:rPr>
        <w:t xml:space="preserve">Given economic uncertainty, particularly surrounding Brexit, and the potential impact of the Fair Funding Review and the roll out of greater local retention of Business rates, it is extremely difficult to anticipate what funding will look like beyond the existing settlement, hence for the purpose of medium term financial strategy we have assumed that funding is frozen in future years. </w:t>
      </w:r>
    </w:p>
    <w:p w:rsidR="00882E25" w:rsidRPr="00E36DE5" w:rsidRDefault="00882E25" w:rsidP="00882E25">
      <w:pPr>
        <w:autoSpaceDE w:val="0"/>
        <w:autoSpaceDN w:val="0"/>
        <w:adjustRightInd w:val="0"/>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Based on this we will be faced with a funding gap in future years, the extent of which depends on future council tax decisions, and we will continue to utilise reserves and identify savings in order to deliver a balanced budget in the medium term.</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Overall the Authority is well placed to meet the financial challenges that it faces in the medium term, and will continue to balance future council tax levels and the need for investment whilst maintaining effective service delivery.</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The capital budget continues to invest in our asset base, in particular vehicle replacement, refurbishment/replacement of stations, new IT requirements and new operational equipment. This gives rise to a capital program of £21m over the next five years.</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This includes the re-build of Preston Fire Station, and we will finalise options for this in 2018/19, with building works likely to start the following year and last over 18 months.</w:t>
      </w:r>
    </w:p>
    <w:p w:rsidR="00882E25" w:rsidRPr="00E36DE5" w:rsidRDefault="00882E25" w:rsidP="00882E25">
      <w:pPr>
        <w:jc w:val="both"/>
        <w:rPr>
          <w:rFonts w:cs="Arial"/>
          <w:color w:val="000000" w:themeColor="text1"/>
          <w:sz w:val="22"/>
          <w:szCs w:val="22"/>
          <w:highlight w:val="yellow"/>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We will continue to invest in training assets, with work on-going to develop plans to enhance training facilities and provide new workshop facilities at the Training Centre.</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 xml:space="preserve">We will continue to invest in our operational equipment to ensure that our </w:t>
      </w:r>
      <w:proofErr w:type="gramStart"/>
      <w:r w:rsidRPr="00E36DE5">
        <w:rPr>
          <w:rFonts w:cs="Arial"/>
          <w:color w:val="000000" w:themeColor="text1"/>
          <w:sz w:val="22"/>
          <w:szCs w:val="22"/>
        </w:rPr>
        <w:t>staff have</w:t>
      </w:r>
      <w:proofErr w:type="gramEnd"/>
      <w:r w:rsidRPr="00E36DE5">
        <w:rPr>
          <w:rFonts w:cs="Arial"/>
          <w:color w:val="000000" w:themeColor="text1"/>
          <w:sz w:val="22"/>
          <w:szCs w:val="22"/>
        </w:rPr>
        <w:t xml:space="preserve"> the best equipment available, and the programme includes the replacement of our Breathing Apparatus sets and telemetry, our cutting/extrication equipment, defibrillators and light portable pumps over the next five years.</w:t>
      </w:r>
    </w:p>
    <w:p w:rsidR="00882E25" w:rsidRPr="00E36DE5" w:rsidRDefault="00882E25" w:rsidP="00882E25">
      <w:pPr>
        <w:jc w:val="both"/>
        <w:rPr>
          <w:rFonts w:cs="Arial"/>
          <w:color w:val="000000" w:themeColor="text1"/>
          <w:sz w:val="22"/>
          <w:szCs w:val="22"/>
        </w:rPr>
      </w:pPr>
    </w:p>
    <w:p w:rsidR="00882E25" w:rsidRPr="00E36DE5" w:rsidRDefault="00882E25" w:rsidP="00882E25">
      <w:pPr>
        <w:jc w:val="both"/>
        <w:rPr>
          <w:rFonts w:cs="Arial"/>
          <w:color w:val="000000" w:themeColor="text1"/>
          <w:sz w:val="22"/>
          <w:szCs w:val="22"/>
        </w:rPr>
      </w:pPr>
      <w:r w:rsidRPr="00E36DE5">
        <w:rPr>
          <w:rFonts w:cs="Arial"/>
          <w:color w:val="000000" w:themeColor="text1"/>
          <w:sz w:val="22"/>
          <w:szCs w:val="22"/>
        </w:rPr>
        <w:t>This can be funded from a combination of revenue contributions, specific capital grant provided by the government, capital reserves and receipts and general reserves. As such the capital programme is affordable, sustainable and prudent.</w:t>
      </w:r>
    </w:p>
    <w:p w:rsidR="00882E25" w:rsidRPr="00E36DE5" w:rsidRDefault="00882E25" w:rsidP="00882E25">
      <w:pPr>
        <w:jc w:val="both"/>
        <w:rPr>
          <w:rFonts w:cs="Arial"/>
          <w:color w:val="000000" w:themeColor="text1"/>
          <w:sz w:val="22"/>
          <w:szCs w:val="22"/>
          <w:highlight w:val="yellow"/>
        </w:rPr>
      </w:pPr>
    </w:p>
    <w:p w:rsidR="00882E25" w:rsidRDefault="00882E25" w:rsidP="00882E25">
      <w:pPr>
        <w:jc w:val="both"/>
        <w:rPr>
          <w:rFonts w:cs="Arial"/>
          <w:color w:val="000000" w:themeColor="text1"/>
          <w:sz w:val="22"/>
          <w:szCs w:val="22"/>
        </w:rPr>
      </w:pPr>
      <w:r w:rsidRPr="00E36DE5">
        <w:rPr>
          <w:rFonts w:cs="Arial"/>
          <w:color w:val="000000" w:themeColor="text1"/>
          <w:sz w:val="22"/>
          <w:szCs w:val="22"/>
        </w:rPr>
        <w:t>The following significant financial risks have all been assessed and the Treasurer feels that these are adequately covered within the budget estimates or within the level of reserves currently held:-</w:t>
      </w:r>
    </w:p>
    <w:p w:rsidR="00882E25" w:rsidRPr="00E36DE5" w:rsidRDefault="00882E25" w:rsidP="00882E25">
      <w:pPr>
        <w:jc w:val="both"/>
        <w:rPr>
          <w:rFonts w:cs="Arial"/>
          <w:color w:val="000000" w:themeColor="text1"/>
          <w:sz w:val="22"/>
          <w:szCs w:val="22"/>
        </w:rPr>
      </w:pP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Further reductions in funding levels, over and above those identified in the provisional four year settlement</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Reduction in funding via Business Rates retention scheme;</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Reduction in council tax funding due to changes in localisation of council tax support, reducing tax base and/or council tax referendum limits;</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Higher than anticipated inflation/pay-awards;</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Larger increases in future pensions costs/contributions,</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Increase in costs arising from demand led pressures, i.e. increasing staff numbers, overtime due to spate conditions or major equipment replacement requirements</w:t>
      </w:r>
    </w:p>
    <w:p w:rsidR="00882E25" w:rsidRPr="00E36DE5" w:rsidRDefault="00882E25" w:rsidP="00882E25">
      <w:pPr>
        <w:numPr>
          <w:ilvl w:val="0"/>
          <w:numId w:val="45"/>
        </w:numPr>
        <w:autoSpaceDE w:val="0"/>
        <w:autoSpaceDN w:val="0"/>
        <w:adjustRightInd w:val="0"/>
        <w:spacing w:after="200" w:line="276" w:lineRule="auto"/>
        <w:contextualSpacing/>
        <w:jc w:val="both"/>
        <w:rPr>
          <w:rFonts w:eastAsia="Calibri" w:cs="Arial"/>
          <w:color w:val="000000" w:themeColor="text1"/>
          <w:sz w:val="22"/>
          <w:szCs w:val="22"/>
        </w:rPr>
      </w:pPr>
      <w:r w:rsidRPr="00E36DE5">
        <w:rPr>
          <w:rFonts w:eastAsia="Calibri" w:cs="Arial"/>
          <w:color w:val="000000" w:themeColor="text1"/>
          <w:sz w:val="22"/>
          <w:szCs w:val="22"/>
        </w:rPr>
        <w:t>Increased cost of partnership arrangements</w:t>
      </w:r>
    </w:p>
    <w:p w:rsidR="00882E25" w:rsidRPr="00E36DE5" w:rsidRDefault="00882E25" w:rsidP="00882E25">
      <w:pPr>
        <w:numPr>
          <w:ilvl w:val="0"/>
          <w:numId w:val="45"/>
        </w:numPr>
        <w:autoSpaceDE w:val="0"/>
        <w:autoSpaceDN w:val="0"/>
        <w:adjustRightInd w:val="0"/>
        <w:spacing w:after="200" w:line="276" w:lineRule="auto"/>
        <w:contextualSpacing/>
        <w:jc w:val="both"/>
        <w:rPr>
          <w:rFonts w:cs="Arial"/>
          <w:szCs w:val="24"/>
        </w:rPr>
      </w:pPr>
      <w:r w:rsidRPr="00E36DE5">
        <w:rPr>
          <w:rFonts w:eastAsia="Calibri" w:cs="Arial"/>
          <w:color w:val="000000" w:themeColor="text1"/>
          <w:sz w:val="22"/>
          <w:szCs w:val="22"/>
        </w:rPr>
        <w:t>Inadequacy of insurance arrangements</w:t>
      </w:r>
    </w:p>
    <w:p w:rsidR="00882E25" w:rsidRPr="00E36DE5" w:rsidRDefault="00882E25" w:rsidP="00882E25">
      <w:pPr>
        <w:numPr>
          <w:ilvl w:val="0"/>
          <w:numId w:val="45"/>
        </w:numPr>
        <w:autoSpaceDE w:val="0"/>
        <w:autoSpaceDN w:val="0"/>
        <w:adjustRightInd w:val="0"/>
        <w:spacing w:after="200" w:line="276" w:lineRule="auto"/>
        <w:contextualSpacing/>
        <w:jc w:val="both"/>
        <w:rPr>
          <w:rFonts w:cs="Arial"/>
          <w:szCs w:val="24"/>
        </w:rPr>
      </w:pPr>
      <w:r w:rsidRPr="00E36DE5">
        <w:rPr>
          <w:rFonts w:eastAsia="Calibri" w:cs="Arial"/>
          <w:color w:val="000000" w:themeColor="text1"/>
          <w:sz w:val="22"/>
          <w:szCs w:val="22"/>
        </w:rPr>
        <w:t>Increasing capital financing charges due to higher interest rates, although clearly the risk of this is reduced due to the policy of paying off debt as it matures</w:t>
      </w:r>
    </w:p>
    <w:p w:rsidR="006B4BE1" w:rsidRPr="001349D1" w:rsidRDefault="006B4BE1" w:rsidP="006B4BE1">
      <w:pPr>
        <w:jc w:val="both"/>
        <w:rPr>
          <w:sz w:val="22"/>
          <w:szCs w:val="22"/>
        </w:rPr>
      </w:pPr>
    </w:p>
    <w:p w:rsidR="006B4BE1" w:rsidRPr="007A12CF" w:rsidRDefault="006B4BE1" w:rsidP="006B4BE1">
      <w:pPr>
        <w:pStyle w:val="Footer"/>
        <w:tabs>
          <w:tab w:val="clear" w:pos="4153"/>
          <w:tab w:val="clear" w:pos="8306"/>
        </w:tabs>
        <w:jc w:val="both"/>
        <w:rPr>
          <w:b/>
          <w:sz w:val="22"/>
        </w:rPr>
      </w:pPr>
      <w:r w:rsidRPr="001349D1">
        <w:rPr>
          <w:b/>
          <w:sz w:val="22"/>
        </w:rPr>
        <w:t>Accounting</w:t>
      </w:r>
      <w:r w:rsidRPr="005A20E6">
        <w:rPr>
          <w:b/>
          <w:sz w:val="22"/>
        </w:rPr>
        <w:t xml:space="preserve"> Changes</w:t>
      </w:r>
    </w:p>
    <w:p w:rsidR="006B4BE1" w:rsidRPr="007A12CF" w:rsidRDefault="006B4BE1" w:rsidP="006B4BE1">
      <w:pPr>
        <w:jc w:val="both"/>
        <w:rPr>
          <w:b/>
          <w:sz w:val="22"/>
        </w:rPr>
      </w:pPr>
    </w:p>
    <w:p w:rsidR="006B4BE1" w:rsidRDefault="006B4BE1" w:rsidP="00882E25">
      <w:pPr>
        <w:jc w:val="both"/>
        <w:rPr>
          <w:sz w:val="22"/>
        </w:rPr>
      </w:pPr>
      <w:r w:rsidRPr="00C34772">
        <w:rPr>
          <w:sz w:val="22"/>
        </w:rPr>
        <w:t>The accounts have been prepared in accordance with the requirements of the latest Code of Practice on Local Authority Accounting in the United Kingdom – A Statement of Recommended Practice 201</w:t>
      </w:r>
      <w:r w:rsidR="00D01BAD">
        <w:rPr>
          <w:sz w:val="22"/>
        </w:rPr>
        <w:t>7</w:t>
      </w:r>
      <w:r w:rsidRPr="00C34772">
        <w:rPr>
          <w:sz w:val="22"/>
        </w:rPr>
        <w:t>/1</w:t>
      </w:r>
      <w:r w:rsidR="00D01BAD">
        <w:rPr>
          <w:sz w:val="22"/>
        </w:rPr>
        <w:t>8</w:t>
      </w:r>
      <w:r w:rsidRPr="00C34772">
        <w:rPr>
          <w:sz w:val="22"/>
        </w:rPr>
        <w:t xml:space="preserve"> (the Code).</w:t>
      </w:r>
      <w:r>
        <w:rPr>
          <w:sz w:val="22"/>
        </w:rPr>
        <w:t xml:space="preserve">  </w:t>
      </w:r>
    </w:p>
    <w:p w:rsidR="00913B2F" w:rsidRDefault="00913B2F" w:rsidP="00882E25">
      <w:pPr>
        <w:jc w:val="both"/>
        <w:rPr>
          <w:sz w:val="22"/>
        </w:rPr>
      </w:pPr>
    </w:p>
    <w:p w:rsidR="00913B2F" w:rsidRPr="00D01BAD" w:rsidRDefault="00913B2F" w:rsidP="00882E25">
      <w:pPr>
        <w:jc w:val="both"/>
        <w:rPr>
          <w:sz w:val="22"/>
          <w:highlight w:val="yellow"/>
        </w:rPr>
      </w:pPr>
      <w:r>
        <w:rPr>
          <w:sz w:val="22"/>
        </w:rPr>
        <w:t xml:space="preserve">The 2016/17 accounts have </w:t>
      </w:r>
      <w:r w:rsidR="00854EFD">
        <w:rPr>
          <w:sz w:val="22"/>
        </w:rPr>
        <w:t xml:space="preserve">now </w:t>
      </w:r>
      <w:r>
        <w:rPr>
          <w:sz w:val="22"/>
        </w:rPr>
        <w:t xml:space="preserve">been restated to include the Authorities 25% share of the results of North West </w:t>
      </w:r>
      <w:proofErr w:type="spellStart"/>
      <w:r>
        <w:rPr>
          <w:sz w:val="22"/>
        </w:rPr>
        <w:t>FireControl</w:t>
      </w:r>
      <w:proofErr w:type="spellEnd"/>
      <w:r>
        <w:rPr>
          <w:sz w:val="22"/>
        </w:rPr>
        <w:t xml:space="preserve"> Limited, following on from the 2016/17 Audit Findings Report</w:t>
      </w:r>
      <w:r w:rsidR="00854EFD">
        <w:rPr>
          <w:sz w:val="22"/>
        </w:rPr>
        <w:t xml:space="preserve">, and 2017/18 has been updated to include the </w:t>
      </w:r>
      <w:r w:rsidR="002E74A4">
        <w:rPr>
          <w:sz w:val="22"/>
        </w:rPr>
        <w:t xml:space="preserve">unaudited </w:t>
      </w:r>
      <w:r w:rsidR="00854EFD">
        <w:rPr>
          <w:sz w:val="22"/>
        </w:rPr>
        <w:t>accounts</w:t>
      </w:r>
      <w:r w:rsidR="002E74A4">
        <w:rPr>
          <w:sz w:val="22"/>
        </w:rPr>
        <w:t>.</w:t>
      </w:r>
      <w:r w:rsidR="00854EFD">
        <w:rPr>
          <w:sz w:val="22"/>
        </w:rPr>
        <w:t xml:space="preserve"> </w:t>
      </w:r>
    </w:p>
    <w:p w:rsidR="006B4BE1" w:rsidRPr="00A02593" w:rsidRDefault="006B4BE1" w:rsidP="006B4BE1">
      <w:pPr>
        <w:ind w:left="360"/>
        <w:jc w:val="both"/>
        <w:rPr>
          <w:sz w:val="22"/>
        </w:rPr>
      </w:pPr>
    </w:p>
    <w:p w:rsidR="006B4BE1" w:rsidRPr="00490F7A" w:rsidRDefault="006B4BE1" w:rsidP="006B4BE1">
      <w:pPr>
        <w:jc w:val="both"/>
        <w:rPr>
          <w:sz w:val="22"/>
        </w:rPr>
      </w:pPr>
    </w:p>
    <w:p w:rsidR="006B4BE1" w:rsidRPr="00873FD1" w:rsidRDefault="006B4BE1" w:rsidP="006B4BE1">
      <w:pPr>
        <w:jc w:val="both"/>
        <w:rPr>
          <w:sz w:val="22"/>
        </w:rPr>
      </w:pPr>
    </w:p>
    <w:p w:rsidR="006B4BE1" w:rsidRPr="0074704F" w:rsidRDefault="006B4BE1" w:rsidP="006B4BE1">
      <w:pPr>
        <w:rPr>
          <w:rFonts w:cs="Arial"/>
          <w:b/>
          <w:sz w:val="22"/>
          <w:szCs w:val="22"/>
        </w:rPr>
      </w:pPr>
      <w:r w:rsidRPr="00873FD1">
        <w:rPr>
          <w:sz w:val="22"/>
        </w:rPr>
        <w:br w:type="page"/>
      </w:r>
      <w:r w:rsidRPr="0074704F">
        <w:rPr>
          <w:rFonts w:cs="Arial"/>
          <w:b/>
          <w:sz w:val="22"/>
          <w:szCs w:val="22"/>
        </w:rPr>
        <w:lastRenderedPageBreak/>
        <w:t xml:space="preserve">STATEMENT ON </w:t>
      </w:r>
      <w:r w:rsidRPr="0074704F">
        <w:rPr>
          <w:rFonts w:cs="Arial"/>
          <w:b/>
          <w:bCs/>
          <w:sz w:val="22"/>
          <w:szCs w:val="22"/>
        </w:rPr>
        <w:t>ANNUAL GOVERNANCE ARRANGEMENTS</w:t>
      </w:r>
      <w:r w:rsidRPr="0074704F">
        <w:rPr>
          <w:rFonts w:cs="Arial"/>
          <w:b/>
          <w:sz w:val="22"/>
          <w:szCs w:val="22"/>
        </w:rPr>
        <w:t xml:space="preserve"> BY THE CHAIRMAN OF THE COMBINED FIRE AUTHORITY, THE TREASURER TO THE COMBINED FIRE AUTHORITY AND THE CHIEF FIRE OFFICER</w:t>
      </w:r>
    </w:p>
    <w:p w:rsidR="006B4BE1" w:rsidRPr="0074704F" w:rsidRDefault="006B4BE1" w:rsidP="006B4BE1">
      <w:pPr>
        <w:jc w:val="both"/>
        <w:rPr>
          <w:rFonts w:cs="Arial"/>
          <w:sz w:val="22"/>
          <w:szCs w:val="22"/>
        </w:rPr>
      </w:pPr>
    </w:p>
    <w:p w:rsidR="006E71A8" w:rsidRPr="0074704F" w:rsidRDefault="006E71A8" w:rsidP="006E71A8">
      <w:pPr>
        <w:autoSpaceDE w:val="0"/>
        <w:autoSpaceDN w:val="0"/>
        <w:adjustRightInd w:val="0"/>
        <w:jc w:val="both"/>
        <w:outlineLvl w:val="0"/>
        <w:rPr>
          <w:rFonts w:cs="Arial"/>
          <w:b/>
          <w:bCs/>
          <w:sz w:val="22"/>
          <w:szCs w:val="22"/>
        </w:rPr>
      </w:pPr>
      <w:r w:rsidRPr="0074704F">
        <w:rPr>
          <w:rFonts w:cs="Arial"/>
          <w:b/>
          <w:bCs/>
          <w:sz w:val="22"/>
          <w:szCs w:val="22"/>
        </w:rPr>
        <w:t>Scope of Responsibility</w:t>
      </w:r>
    </w:p>
    <w:p w:rsidR="006E71A8" w:rsidRPr="00D01BAD" w:rsidRDefault="006E71A8" w:rsidP="006E71A8">
      <w:pPr>
        <w:autoSpaceDE w:val="0"/>
        <w:autoSpaceDN w:val="0"/>
        <w:adjustRightInd w:val="0"/>
        <w:jc w:val="both"/>
        <w:rPr>
          <w:rFonts w:cs="Arial"/>
          <w:b/>
          <w:bCs/>
          <w:sz w:val="22"/>
          <w:szCs w:val="22"/>
          <w:highlight w:val="yellow"/>
        </w:rPr>
      </w:pPr>
    </w:p>
    <w:p w:rsidR="0074704F" w:rsidRPr="00B10F3C" w:rsidRDefault="0074704F" w:rsidP="0074704F">
      <w:pPr>
        <w:autoSpaceDE w:val="0"/>
        <w:autoSpaceDN w:val="0"/>
        <w:adjustRightInd w:val="0"/>
        <w:jc w:val="both"/>
        <w:rPr>
          <w:rFonts w:cs="Arial"/>
          <w:sz w:val="22"/>
          <w:szCs w:val="22"/>
        </w:rPr>
      </w:pPr>
      <w:r w:rsidRPr="00213F42">
        <w:rPr>
          <w:rFonts w:cs="Arial"/>
          <w:sz w:val="22"/>
          <w:szCs w:val="22"/>
        </w:rPr>
        <w:t xml:space="preserve">Lancashire Combined Fire Authority (the Authority) is responsible for ensuring that its business is conducted in accordance with the law and proper standards, and that public money is safeguarded and properly accounted for, and used economically, efficiently and effectively.  The Authority also has a duty under </w:t>
      </w:r>
      <w:r w:rsidRPr="00B10F3C">
        <w:rPr>
          <w:rFonts w:cs="Arial"/>
          <w:sz w:val="22"/>
          <w:szCs w:val="22"/>
        </w:rPr>
        <w:t>the Local Government Act 1999 to make arrangements to secure continuous improvement in the way in which its functions are exercised, having regard to a combination of economy, efficiency and effectiveness.</w:t>
      </w:r>
    </w:p>
    <w:p w:rsidR="0074704F" w:rsidRPr="00B10F3C" w:rsidRDefault="0074704F" w:rsidP="0074704F">
      <w:pPr>
        <w:autoSpaceDE w:val="0"/>
        <w:autoSpaceDN w:val="0"/>
        <w:adjustRightInd w:val="0"/>
        <w:jc w:val="both"/>
        <w:rPr>
          <w:rFonts w:cs="Arial"/>
          <w:sz w:val="22"/>
          <w:szCs w:val="22"/>
        </w:rPr>
      </w:pPr>
    </w:p>
    <w:p w:rsidR="0074704F" w:rsidRPr="00B10F3C" w:rsidRDefault="0074704F" w:rsidP="0074704F">
      <w:pPr>
        <w:autoSpaceDE w:val="0"/>
        <w:autoSpaceDN w:val="0"/>
        <w:adjustRightInd w:val="0"/>
        <w:jc w:val="both"/>
        <w:rPr>
          <w:rFonts w:cs="Arial"/>
          <w:sz w:val="22"/>
          <w:szCs w:val="22"/>
        </w:rPr>
      </w:pPr>
      <w:r w:rsidRPr="00B10F3C">
        <w:rPr>
          <w:rFonts w:cs="Arial"/>
          <w:sz w:val="22"/>
          <w:szCs w:val="22"/>
        </w:rPr>
        <w:t>In discharging this overall responsibility, the Authority is responsible for putting in place proper arrangements for the governance of its affairs facilitating the effective exercise of its functions, and which includes arrangements for the management of risk.</w:t>
      </w:r>
    </w:p>
    <w:p w:rsidR="0074704F" w:rsidRPr="00B10F3C" w:rsidRDefault="0074704F" w:rsidP="0074704F">
      <w:pPr>
        <w:autoSpaceDE w:val="0"/>
        <w:autoSpaceDN w:val="0"/>
        <w:adjustRightInd w:val="0"/>
        <w:jc w:val="both"/>
        <w:rPr>
          <w:rFonts w:cs="Arial"/>
          <w:sz w:val="22"/>
          <w:szCs w:val="22"/>
        </w:rPr>
      </w:pPr>
    </w:p>
    <w:p w:rsidR="0074704F" w:rsidRPr="00B10F3C" w:rsidRDefault="0074704F" w:rsidP="0074704F">
      <w:pPr>
        <w:jc w:val="both"/>
        <w:rPr>
          <w:rFonts w:cs="Arial"/>
          <w:sz w:val="22"/>
          <w:szCs w:val="22"/>
        </w:rPr>
      </w:pPr>
      <w:r w:rsidRPr="00B10F3C">
        <w:rPr>
          <w:rFonts w:cs="Arial"/>
          <w:sz w:val="22"/>
          <w:szCs w:val="22"/>
        </w:rPr>
        <w:t xml:space="preserve">The Authority has approved and adopted an updated code of corporate governance, which is consistent with the principles of the CIPFA/SOLACE Framework </w:t>
      </w:r>
      <w:r w:rsidRPr="00B10F3C">
        <w:rPr>
          <w:rFonts w:cs="Arial"/>
          <w:i/>
          <w:sz w:val="22"/>
          <w:szCs w:val="22"/>
        </w:rPr>
        <w:t>Delivering</w:t>
      </w:r>
      <w:r w:rsidRPr="00B10F3C">
        <w:rPr>
          <w:rFonts w:cs="Arial"/>
          <w:sz w:val="22"/>
          <w:szCs w:val="22"/>
        </w:rPr>
        <w:t xml:space="preserve"> </w:t>
      </w:r>
      <w:r w:rsidRPr="00B10F3C">
        <w:rPr>
          <w:rFonts w:cs="Arial"/>
          <w:i/>
          <w:iCs/>
          <w:sz w:val="22"/>
          <w:szCs w:val="22"/>
        </w:rPr>
        <w:t>Good Governance in Local Government</w:t>
      </w:r>
      <w:r w:rsidRPr="00B10F3C">
        <w:rPr>
          <w:rFonts w:cs="Arial"/>
          <w:sz w:val="22"/>
          <w:szCs w:val="22"/>
        </w:rPr>
        <w:t>.  Included within the Code are the following core principles:-</w:t>
      </w:r>
    </w:p>
    <w:p w:rsidR="0074704F" w:rsidRPr="00B10F3C" w:rsidRDefault="0074704F" w:rsidP="0074704F">
      <w:pPr>
        <w:jc w:val="both"/>
        <w:rPr>
          <w:rFonts w:cs="Arial"/>
          <w:sz w:val="22"/>
          <w:szCs w:val="22"/>
        </w:rPr>
      </w:pP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Behaving with integrity, demonstrating strong commitment to ethical values, and respecting the rule of law </w:t>
      </w:r>
    </w:p>
    <w:p w:rsidR="0074704F" w:rsidRPr="00B10F3C" w:rsidRDefault="0074704F" w:rsidP="0074704F">
      <w:pPr>
        <w:numPr>
          <w:ilvl w:val="0"/>
          <w:numId w:val="38"/>
        </w:numPr>
        <w:tabs>
          <w:tab w:val="clear" w:pos="720"/>
          <w:tab w:val="num" w:pos="426"/>
        </w:tabs>
        <w:ind w:left="426" w:hanging="426"/>
        <w:jc w:val="both"/>
        <w:rPr>
          <w:rFonts w:cs="FS Lola"/>
          <w:color w:val="000000"/>
          <w:sz w:val="21"/>
          <w:szCs w:val="21"/>
        </w:rPr>
      </w:pPr>
      <w:r w:rsidRPr="00B10F3C">
        <w:rPr>
          <w:rFonts w:cs="FS Lola"/>
          <w:bCs/>
          <w:color w:val="000000"/>
          <w:sz w:val="21"/>
          <w:szCs w:val="21"/>
        </w:rPr>
        <w:t xml:space="preserve">Ensuring openness and comprehensive stakeholder engagement </w:t>
      </w: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Defining outcomes in terms of sustainable economic, social, and environmental benefits </w:t>
      </w: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Determining the interventions necessary to optimise the achievement of the intended outcomes </w:t>
      </w: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Developing the entity’s capacity, including the capability of its leadership and the individuals within it </w:t>
      </w: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Managing risks and performance through robust internal control and strong public financial management </w:t>
      </w:r>
    </w:p>
    <w:p w:rsidR="0074704F" w:rsidRPr="00B10F3C" w:rsidRDefault="0074704F" w:rsidP="0074704F">
      <w:pPr>
        <w:numPr>
          <w:ilvl w:val="0"/>
          <w:numId w:val="38"/>
        </w:numPr>
        <w:tabs>
          <w:tab w:val="clear" w:pos="720"/>
          <w:tab w:val="num" w:pos="426"/>
        </w:tabs>
        <w:ind w:left="426" w:hanging="426"/>
        <w:jc w:val="both"/>
        <w:rPr>
          <w:rFonts w:cs="Arial"/>
          <w:sz w:val="22"/>
          <w:szCs w:val="22"/>
        </w:rPr>
      </w:pPr>
      <w:r w:rsidRPr="00B10F3C">
        <w:rPr>
          <w:rFonts w:cs="FS Lola"/>
          <w:bCs/>
          <w:color w:val="000000"/>
          <w:sz w:val="21"/>
          <w:szCs w:val="21"/>
        </w:rPr>
        <w:t xml:space="preserve">Implementing good practices in transparency, reporting, and audit to deliver effective accountability </w:t>
      </w:r>
    </w:p>
    <w:p w:rsidR="0074704F" w:rsidRPr="00B10F3C" w:rsidRDefault="0074704F" w:rsidP="0074704F">
      <w:pPr>
        <w:jc w:val="both"/>
        <w:rPr>
          <w:rFonts w:cs="Arial"/>
          <w:b/>
          <w:sz w:val="22"/>
          <w:szCs w:val="22"/>
        </w:rPr>
      </w:pPr>
    </w:p>
    <w:p w:rsidR="0074704F" w:rsidRPr="00B10F3C" w:rsidRDefault="0074704F" w:rsidP="0074704F">
      <w:pPr>
        <w:jc w:val="both"/>
        <w:rPr>
          <w:rFonts w:cs="Arial"/>
          <w:sz w:val="22"/>
          <w:szCs w:val="22"/>
        </w:rPr>
      </w:pPr>
      <w:r w:rsidRPr="00B10F3C">
        <w:rPr>
          <w:rFonts w:cs="Arial"/>
          <w:sz w:val="22"/>
          <w:szCs w:val="22"/>
        </w:rPr>
        <w:t xml:space="preserve">(A copy of the code, setting out the core and supporting principles, what the Authority commits itself to do and how it will do this can be found on our website at </w:t>
      </w:r>
      <w:hyperlink r:id="rId15" w:history="1">
        <w:r w:rsidRPr="00B10F3C">
          <w:rPr>
            <w:rStyle w:val="Hyperlink"/>
            <w:rFonts w:cs="Arial"/>
            <w:sz w:val="22"/>
            <w:szCs w:val="22"/>
          </w:rPr>
          <w:t>https://www.lancsfirerescue.org.uk/wp-content/uploads/2018/04/Code-of-Corporate-Governance.pdf</w:t>
        </w:r>
      </w:hyperlink>
      <w:r w:rsidRPr="00B10F3C">
        <w:rPr>
          <w:rFonts w:cs="Arial"/>
          <w:sz w:val="22"/>
          <w:szCs w:val="22"/>
        </w:rPr>
        <w:t>)</w:t>
      </w:r>
    </w:p>
    <w:p w:rsidR="0074704F" w:rsidRPr="00B10F3C" w:rsidRDefault="0074704F" w:rsidP="0074704F">
      <w:pPr>
        <w:rPr>
          <w:rFonts w:cs="Arial"/>
          <w:sz w:val="22"/>
          <w:szCs w:val="22"/>
          <w:lang w:eastAsia="en-GB"/>
        </w:rPr>
      </w:pPr>
    </w:p>
    <w:p w:rsidR="0074704F" w:rsidRPr="00F3555C" w:rsidRDefault="0074704F" w:rsidP="0074704F">
      <w:pPr>
        <w:autoSpaceDE w:val="0"/>
        <w:autoSpaceDN w:val="0"/>
        <w:adjustRightInd w:val="0"/>
        <w:jc w:val="both"/>
        <w:rPr>
          <w:rFonts w:cs="Arial"/>
          <w:sz w:val="22"/>
          <w:szCs w:val="22"/>
        </w:rPr>
      </w:pPr>
      <w:r w:rsidRPr="00B10F3C">
        <w:rPr>
          <w:rFonts w:cs="Arial"/>
          <w:sz w:val="22"/>
          <w:szCs w:val="22"/>
        </w:rPr>
        <w:t xml:space="preserve">This statement explains how the Authority has complied with the code and also meets the requirements of regulation </w:t>
      </w:r>
      <w:r w:rsidR="00EC6111">
        <w:rPr>
          <w:rFonts w:cs="Arial"/>
          <w:sz w:val="22"/>
          <w:szCs w:val="22"/>
        </w:rPr>
        <w:t>6</w:t>
      </w:r>
      <w:r w:rsidRPr="00B10F3C">
        <w:rPr>
          <w:rFonts w:cs="Arial"/>
          <w:sz w:val="22"/>
          <w:szCs w:val="22"/>
        </w:rPr>
        <w:t xml:space="preserve">(2) of the Accounts and Audit Regulations </w:t>
      </w:r>
      <w:r w:rsidR="00EC6111" w:rsidRPr="00B10F3C">
        <w:rPr>
          <w:rFonts w:cs="Arial"/>
          <w:sz w:val="22"/>
          <w:szCs w:val="22"/>
        </w:rPr>
        <w:t>20</w:t>
      </w:r>
      <w:r w:rsidR="00EC6111">
        <w:rPr>
          <w:rFonts w:cs="Arial"/>
          <w:sz w:val="22"/>
          <w:szCs w:val="22"/>
        </w:rPr>
        <w:t>15</w:t>
      </w:r>
      <w:r w:rsidR="00EC6111" w:rsidRPr="00B10F3C">
        <w:rPr>
          <w:rFonts w:cs="Arial"/>
          <w:sz w:val="22"/>
          <w:szCs w:val="22"/>
        </w:rPr>
        <w:t xml:space="preserve"> </w:t>
      </w:r>
      <w:r w:rsidRPr="00B10F3C">
        <w:rPr>
          <w:rFonts w:cs="Arial"/>
          <w:sz w:val="22"/>
          <w:szCs w:val="22"/>
        </w:rPr>
        <w:t>in relation to the publication of a statement on internal control.</w:t>
      </w:r>
    </w:p>
    <w:p w:rsidR="006E71A8" w:rsidRPr="00D01BAD" w:rsidRDefault="006E71A8" w:rsidP="006E71A8">
      <w:pPr>
        <w:autoSpaceDE w:val="0"/>
        <w:autoSpaceDN w:val="0"/>
        <w:adjustRightInd w:val="0"/>
        <w:jc w:val="both"/>
        <w:outlineLvl w:val="0"/>
        <w:rPr>
          <w:rFonts w:cs="Arial"/>
          <w:b/>
          <w:bCs/>
          <w:sz w:val="22"/>
          <w:szCs w:val="22"/>
          <w:highlight w:val="yellow"/>
        </w:rPr>
      </w:pPr>
    </w:p>
    <w:p w:rsidR="0074704F" w:rsidRPr="00213F42" w:rsidRDefault="0074704F" w:rsidP="0074704F">
      <w:pPr>
        <w:autoSpaceDE w:val="0"/>
        <w:autoSpaceDN w:val="0"/>
        <w:adjustRightInd w:val="0"/>
        <w:jc w:val="both"/>
        <w:outlineLvl w:val="0"/>
        <w:rPr>
          <w:rFonts w:cs="Arial"/>
          <w:b/>
          <w:bCs/>
          <w:sz w:val="22"/>
          <w:szCs w:val="22"/>
        </w:rPr>
      </w:pPr>
      <w:r w:rsidRPr="00213F42">
        <w:rPr>
          <w:rFonts w:cs="Arial"/>
          <w:b/>
          <w:bCs/>
          <w:sz w:val="22"/>
          <w:szCs w:val="22"/>
        </w:rPr>
        <w:t>The Purpose of the Governance Framework</w:t>
      </w:r>
    </w:p>
    <w:p w:rsidR="0074704F" w:rsidRPr="00213F42" w:rsidRDefault="0074704F" w:rsidP="0074704F">
      <w:pPr>
        <w:autoSpaceDE w:val="0"/>
        <w:autoSpaceDN w:val="0"/>
        <w:adjustRightInd w:val="0"/>
        <w:jc w:val="both"/>
        <w:rPr>
          <w:rFonts w:cs="Arial"/>
          <w:sz w:val="22"/>
          <w:szCs w:val="22"/>
          <w:highlight w:val="yellow"/>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t>The governance framework comprises the systems and processes, and culture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cost-effective services.</w:t>
      </w:r>
    </w:p>
    <w:p w:rsidR="0074704F" w:rsidRPr="00213F42" w:rsidRDefault="0074704F" w:rsidP="0074704F">
      <w:pPr>
        <w:autoSpaceDE w:val="0"/>
        <w:autoSpaceDN w:val="0"/>
        <w:adjustRightInd w:val="0"/>
        <w:jc w:val="both"/>
        <w:rPr>
          <w:rFonts w:cs="Arial"/>
          <w:sz w:val="22"/>
          <w:szCs w:val="22"/>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Authority’s policies, aims and objectives, to evaluate the likelihood of those risks being realised and the impact should they be realised, and to manage them efficiently, effectively and economically.</w:t>
      </w:r>
    </w:p>
    <w:p w:rsidR="0074704F" w:rsidRPr="00213F42" w:rsidRDefault="0074704F" w:rsidP="0074704F">
      <w:pPr>
        <w:autoSpaceDE w:val="0"/>
        <w:autoSpaceDN w:val="0"/>
        <w:adjustRightInd w:val="0"/>
        <w:jc w:val="both"/>
        <w:rPr>
          <w:rFonts w:cs="Arial"/>
          <w:sz w:val="22"/>
          <w:szCs w:val="22"/>
        </w:rPr>
      </w:pPr>
    </w:p>
    <w:p w:rsidR="001645D6" w:rsidRDefault="0074704F" w:rsidP="0074704F">
      <w:pPr>
        <w:autoSpaceDE w:val="0"/>
        <w:autoSpaceDN w:val="0"/>
        <w:adjustRightInd w:val="0"/>
        <w:jc w:val="both"/>
        <w:outlineLvl w:val="0"/>
        <w:rPr>
          <w:rFonts w:cs="Arial"/>
          <w:sz w:val="22"/>
          <w:szCs w:val="22"/>
        </w:rPr>
      </w:pPr>
      <w:r w:rsidRPr="00213F42">
        <w:rPr>
          <w:rFonts w:cs="Arial"/>
          <w:sz w:val="22"/>
          <w:szCs w:val="22"/>
        </w:rPr>
        <w:t xml:space="preserve">The governance framework has been in place at the Authority </w:t>
      </w:r>
      <w:r>
        <w:rPr>
          <w:rFonts w:cs="Arial"/>
          <w:sz w:val="22"/>
          <w:szCs w:val="22"/>
        </w:rPr>
        <w:t>for the year ended 31 March 2018</w:t>
      </w:r>
      <w:r w:rsidRPr="00213F42">
        <w:rPr>
          <w:rFonts w:cs="Arial"/>
          <w:sz w:val="22"/>
          <w:szCs w:val="22"/>
        </w:rPr>
        <w:t xml:space="preserve"> and up to the date of approval of the 201</w:t>
      </w:r>
      <w:r>
        <w:rPr>
          <w:rFonts w:cs="Arial"/>
          <w:sz w:val="22"/>
          <w:szCs w:val="22"/>
        </w:rPr>
        <w:t>7/18</w:t>
      </w:r>
      <w:r w:rsidRPr="00213F42">
        <w:rPr>
          <w:rFonts w:cs="Arial"/>
          <w:sz w:val="22"/>
          <w:szCs w:val="22"/>
        </w:rPr>
        <w:t xml:space="preserve"> Statement of Accounts.</w:t>
      </w:r>
    </w:p>
    <w:p w:rsidR="001645D6" w:rsidRDefault="001645D6" w:rsidP="0074704F">
      <w:pPr>
        <w:autoSpaceDE w:val="0"/>
        <w:autoSpaceDN w:val="0"/>
        <w:adjustRightInd w:val="0"/>
        <w:jc w:val="both"/>
        <w:outlineLvl w:val="0"/>
        <w:rPr>
          <w:rFonts w:cs="Arial"/>
          <w:sz w:val="22"/>
          <w:szCs w:val="22"/>
        </w:rPr>
      </w:pPr>
    </w:p>
    <w:p w:rsidR="0074704F" w:rsidRPr="00213F42" w:rsidRDefault="0074704F" w:rsidP="0074704F">
      <w:pPr>
        <w:autoSpaceDE w:val="0"/>
        <w:autoSpaceDN w:val="0"/>
        <w:adjustRightInd w:val="0"/>
        <w:jc w:val="both"/>
        <w:outlineLvl w:val="0"/>
        <w:rPr>
          <w:rFonts w:cs="Arial"/>
          <w:b/>
          <w:bCs/>
          <w:sz w:val="22"/>
          <w:szCs w:val="22"/>
        </w:rPr>
      </w:pPr>
      <w:r w:rsidRPr="00213F42">
        <w:rPr>
          <w:rFonts w:cs="Arial"/>
          <w:b/>
          <w:bCs/>
          <w:sz w:val="22"/>
          <w:szCs w:val="22"/>
        </w:rPr>
        <w:t>The Governance Framework</w:t>
      </w:r>
    </w:p>
    <w:p w:rsidR="0074704F" w:rsidRPr="00213F42" w:rsidRDefault="0074704F" w:rsidP="0074704F">
      <w:pPr>
        <w:autoSpaceDE w:val="0"/>
        <w:autoSpaceDN w:val="0"/>
        <w:adjustRightInd w:val="0"/>
        <w:jc w:val="both"/>
        <w:rPr>
          <w:rFonts w:cs="Arial"/>
          <w:b/>
          <w:bCs/>
          <w:sz w:val="22"/>
          <w:szCs w:val="22"/>
          <w:highlight w:val="yellow"/>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lastRenderedPageBreak/>
        <w:t>The Governance framework describes the key elements of the systems and processes that comprise the Authority’s governance arrangements in accordance with the s</w:t>
      </w:r>
      <w:r>
        <w:rPr>
          <w:rFonts w:cs="Arial"/>
          <w:sz w:val="22"/>
          <w:szCs w:val="22"/>
        </w:rPr>
        <w:t>even</w:t>
      </w:r>
      <w:r w:rsidRPr="00213F42">
        <w:rPr>
          <w:rFonts w:cs="Arial"/>
          <w:sz w:val="22"/>
          <w:szCs w:val="22"/>
        </w:rPr>
        <w:t xml:space="preserve"> principles of Corporate Governance included in our Code and include:-</w:t>
      </w:r>
    </w:p>
    <w:p w:rsidR="0074704F" w:rsidRPr="00213F42" w:rsidRDefault="0074704F" w:rsidP="0074704F">
      <w:pPr>
        <w:autoSpaceDE w:val="0"/>
        <w:autoSpaceDN w:val="0"/>
        <w:adjustRightInd w:val="0"/>
        <w:jc w:val="both"/>
        <w:rPr>
          <w:rFonts w:cs="Arial"/>
          <w:sz w:val="22"/>
          <w:szCs w:val="22"/>
        </w:rPr>
      </w:pPr>
    </w:p>
    <w:p w:rsidR="0074704F" w:rsidRPr="00F3555C" w:rsidRDefault="0074704F" w:rsidP="0074704F">
      <w:pPr>
        <w:numPr>
          <w:ilvl w:val="0"/>
          <w:numId w:val="40"/>
        </w:numPr>
        <w:jc w:val="both"/>
        <w:rPr>
          <w:rFonts w:cs="Arial"/>
          <w:sz w:val="22"/>
          <w:szCs w:val="22"/>
        </w:rPr>
      </w:pPr>
      <w:r w:rsidRPr="00F3555C">
        <w:rPr>
          <w:rFonts w:cs="Arial"/>
          <w:sz w:val="22"/>
          <w:szCs w:val="22"/>
        </w:rPr>
        <w:t>The Integrated Risk Management Plan (IRMP) describes our aims, priorities, equality objectives and values, sett</w:t>
      </w:r>
      <w:r>
        <w:rPr>
          <w:rFonts w:cs="Arial"/>
          <w:sz w:val="22"/>
          <w:szCs w:val="22"/>
        </w:rPr>
        <w:t>ing out our ambitions and how we</w:t>
      </w:r>
      <w:r w:rsidRPr="00F3555C">
        <w:rPr>
          <w:rFonts w:cs="Arial"/>
          <w:sz w:val="22"/>
          <w:szCs w:val="22"/>
        </w:rPr>
        <w:t xml:space="preserve"> will deliver them in the medium term. The current plan covering 2017-2022 was approved </w:t>
      </w:r>
      <w:r>
        <w:rPr>
          <w:rFonts w:cs="Arial"/>
          <w:sz w:val="22"/>
          <w:szCs w:val="22"/>
        </w:rPr>
        <w:t>last</w:t>
      </w:r>
      <w:r w:rsidRPr="00F3555C">
        <w:rPr>
          <w:rFonts w:cs="Arial"/>
          <w:sz w:val="22"/>
          <w:szCs w:val="22"/>
        </w:rPr>
        <w:t xml:space="preserve"> year and can be found on our website at </w:t>
      </w:r>
      <w:hyperlink r:id="rId16" w:history="1">
        <w:r w:rsidRPr="00A3481C">
          <w:rPr>
            <w:rStyle w:val="Hyperlink"/>
            <w:rFonts w:cs="Arial"/>
            <w:sz w:val="22"/>
            <w:szCs w:val="22"/>
          </w:rPr>
          <w:t>https://www.lancsfirerescue.org.uk/wp-content/uploads/2018/04/Integrated-Risk-Management-Plan.pdf</w:t>
        </w:r>
      </w:hyperlink>
    </w:p>
    <w:p w:rsidR="0074704F" w:rsidRPr="00F3555C" w:rsidRDefault="0074704F" w:rsidP="0074704F">
      <w:pPr>
        <w:jc w:val="both"/>
        <w:rPr>
          <w:rFonts w:cs="Arial"/>
          <w:sz w:val="22"/>
          <w:szCs w:val="22"/>
        </w:rPr>
      </w:pPr>
    </w:p>
    <w:p w:rsidR="0074704F" w:rsidRPr="00F3555C" w:rsidRDefault="0074704F" w:rsidP="0074704F">
      <w:pPr>
        <w:numPr>
          <w:ilvl w:val="0"/>
          <w:numId w:val="40"/>
        </w:numPr>
        <w:jc w:val="both"/>
        <w:rPr>
          <w:rFonts w:cs="Arial"/>
          <w:sz w:val="22"/>
          <w:szCs w:val="22"/>
        </w:rPr>
      </w:pPr>
      <w:r w:rsidRPr="00F3555C">
        <w:rPr>
          <w:rFonts w:cs="Arial"/>
          <w:sz w:val="22"/>
          <w:szCs w:val="22"/>
        </w:rPr>
        <w:t>Annual Service Plan details the activities we will undertake to deliver the str</w:t>
      </w:r>
      <w:r>
        <w:rPr>
          <w:rFonts w:cs="Arial"/>
          <w:sz w:val="22"/>
          <w:szCs w:val="22"/>
        </w:rPr>
        <w:t>at</w:t>
      </w:r>
      <w:r w:rsidRPr="00F3555C">
        <w:rPr>
          <w:rFonts w:cs="Arial"/>
          <w:sz w:val="22"/>
          <w:szCs w:val="22"/>
        </w:rPr>
        <w:t>egy set out in our IRMP. The current plan covering 201</w:t>
      </w:r>
      <w:r>
        <w:rPr>
          <w:rFonts w:cs="Arial"/>
          <w:sz w:val="22"/>
          <w:szCs w:val="22"/>
        </w:rPr>
        <w:t>8/19</w:t>
      </w:r>
      <w:r w:rsidRPr="00F3555C">
        <w:rPr>
          <w:rFonts w:cs="Arial"/>
          <w:sz w:val="22"/>
          <w:szCs w:val="22"/>
        </w:rPr>
        <w:t xml:space="preserve"> was approved this year and can be found on our website at </w:t>
      </w:r>
      <w:hyperlink r:id="rId17" w:history="1">
        <w:r w:rsidRPr="00A3481C">
          <w:rPr>
            <w:rStyle w:val="Hyperlink"/>
            <w:rFonts w:cs="Arial"/>
            <w:sz w:val="22"/>
            <w:szCs w:val="22"/>
          </w:rPr>
          <w:t>https://www.lancsfirerescue.org.uk/wp-content/uploads/2018/04/Integrated-Risk-Management-Plan.pdf</w:t>
        </w:r>
      </w:hyperlink>
    </w:p>
    <w:p w:rsidR="0074704F" w:rsidRPr="00F3555C" w:rsidRDefault="0074704F" w:rsidP="0074704F">
      <w:pPr>
        <w:pStyle w:val="ListParagrap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 xml:space="preserve">A Communication Strategy and the Consultation Strategy; </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 xml:space="preserve">A comprehensive performance management framework, with the Performance Committee and Service Management Team receiving regular reports on performance against targets and any corrective action taken to address any variances.  On an annual basis the Authority </w:t>
      </w:r>
      <w:r w:rsidRPr="00B10F3C">
        <w:rPr>
          <w:rFonts w:cs="Arial"/>
          <w:sz w:val="22"/>
          <w:szCs w:val="22"/>
        </w:rPr>
        <w:t>publishes an Annual Performance Report, setting out its overall performance against key performance indicators and</w:t>
      </w:r>
      <w:r w:rsidRPr="00213F42">
        <w:rPr>
          <w:rFonts w:cs="Arial"/>
          <w:sz w:val="22"/>
          <w:szCs w:val="22"/>
        </w:rPr>
        <w:t xml:space="preserve"> including summary financial information;</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Pr>
          <w:rFonts w:cs="Arial"/>
          <w:sz w:val="22"/>
          <w:szCs w:val="22"/>
        </w:rPr>
        <w:t>A</w:t>
      </w:r>
      <w:r w:rsidRPr="00213F42">
        <w:rPr>
          <w:rFonts w:cs="Arial"/>
          <w:sz w:val="22"/>
          <w:szCs w:val="22"/>
        </w:rPr>
        <w:t xml:space="preserve"> Corporate Programme Board </w:t>
      </w:r>
      <w:r>
        <w:rPr>
          <w:rFonts w:cs="Arial"/>
          <w:sz w:val="22"/>
          <w:szCs w:val="22"/>
        </w:rPr>
        <w:t xml:space="preserve">provides oversight across </w:t>
      </w:r>
      <w:r w:rsidRPr="00213F42">
        <w:rPr>
          <w:rFonts w:cs="Arial"/>
          <w:sz w:val="22"/>
          <w:szCs w:val="22"/>
        </w:rPr>
        <w:t xml:space="preserve">3 </w:t>
      </w:r>
      <w:r>
        <w:rPr>
          <w:rFonts w:cs="Arial"/>
          <w:sz w:val="22"/>
          <w:szCs w:val="22"/>
        </w:rPr>
        <w:t>areas</w:t>
      </w:r>
      <w:r w:rsidRPr="00213F42">
        <w:rPr>
          <w:rFonts w:cs="Arial"/>
          <w:sz w:val="22"/>
          <w:szCs w:val="22"/>
        </w:rPr>
        <w:t>:-</w:t>
      </w:r>
    </w:p>
    <w:p w:rsidR="0074704F" w:rsidRPr="00213F42" w:rsidRDefault="0074704F" w:rsidP="0074704F">
      <w:pPr>
        <w:numPr>
          <w:ilvl w:val="1"/>
          <w:numId w:val="40"/>
        </w:numPr>
        <w:jc w:val="both"/>
        <w:rPr>
          <w:rFonts w:cs="Arial"/>
          <w:sz w:val="22"/>
          <w:szCs w:val="22"/>
        </w:rPr>
      </w:pPr>
      <w:r w:rsidRPr="00213F42">
        <w:rPr>
          <w:rFonts w:cs="Arial"/>
          <w:sz w:val="22"/>
          <w:szCs w:val="22"/>
        </w:rPr>
        <w:t>Business Process Improvement Programme</w:t>
      </w:r>
    </w:p>
    <w:p w:rsidR="0074704F" w:rsidRPr="00213F42" w:rsidRDefault="0074704F" w:rsidP="0074704F">
      <w:pPr>
        <w:numPr>
          <w:ilvl w:val="1"/>
          <w:numId w:val="40"/>
        </w:numPr>
        <w:jc w:val="both"/>
        <w:rPr>
          <w:rFonts w:cs="Arial"/>
          <w:sz w:val="22"/>
          <w:szCs w:val="22"/>
        </w:rPr>
      </w:pPr>
      <w:r w:rsidRPr="00213F42">
        <w:rPr>
          <w:rFonts w:cs="Arial"/>
          <w:sz w:val="22"/>
          <w:szCs w:val="22"/>
        </w:rPr>
        <w:t>Workforce Development Programme</w:t>
      </w:r>
    </w:p>
    <w:p w:rsidR="0074704F" w:rsidRPr="00213F42" w:rsidRDefault="0074704F" w:rsidP="0074704F">
      <w:pPr>
        <w:numPr>
          <w:ilvl w:val="1"/>
          <w:numId w:val="40"/>
        </w:numPr>
        <w:jc w:val="both"/>
        <w:rPr>
          <w:rFonts w:cs="Arial"/>
          <w:sz w:val="22"/>
          <w:szCs w:val="22"/>
        </w:rPr>
      </w:pPr>
      <w:r w:rsidRPr="00213F42">
        <w:rPr>
          <w:rFonts w:cs="Arial"/>
          <w:sz w:val="22"/>
          <w:szCs w:val="22"/>
        </w:rPr>
        <w:t>Service Delivery Change Programme.</w:t>
      </w:r>
    </w:p>
    <w:p w:rsidR="0074704F" w:rsidRPr="00213F42" w:rsidRDefault="0074704F" w:rsidP="0074704F">
      <w:pPr>
        <w:ind w:left="284"/>
        <w:jc w:val="both"/>
        <w:rPr>
          <w:rFonts w:cs="Arial"/>
          <w:sz w:val="22"/>
          <w:szCs w:val="22"/>
        </w:rPr>
      </w:pPr>
      <w:r w:rsidRPr="00213F42">
        <w:rPr>
          <w:rFonts w:cs="Arial"/>
          <w:sz w:val="22"/>
          <w:szCs w:val="22"/>
        </w:rPr>
        <w:t>All major projects and reviews follow similar format and report to Corporate Programme Board</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The Authority operates a Committee Structure aligned to strategic objectives, within agreed Terms of Reference, as follows:-</w:t>
      </w:r>
    </w:p>
    <w:p w:rsidR="0074704F" w:rsidRPr="00213F42" w:rsidRDefault="0074704F" w:rsidP="0074704F">
      <w:pPr>
        <w:numPr>
          <w:ilvl w:val="1"/>
          <w:numId w:val="40"/>
        </w:numPr>
        <w:tabs>
          <w:tab w:val="num" w:pos="284"/>
        </w:tabs>
        <w:jc w:val="both"/>
        <w:rPr>
          <w:rFonts w:cs="Arial"/>
          <w:sz w:val="22"/>
          <w:szCs w:val="22"/>
        </w:rPr>
      </w:pPr>
      <w:r w:rsidRPr="00213F42">
        <w:rPr>
          <w:rFonts w:cs="Arial"/>
          <w:sz w:val="22"/>
          <w:szCs w:val="22"/>
        </w:rPr>
        <w:t>The Audit Committee - To advise on the adequacy and effectiveness of the Authority's Internal and External Audit Service and risk management arrangements, which operates in line with the core functions identified in CIPFAs Audit Committees – Practical Guidance for Local Authorities;</w:t>
      </w:r>
    </w:p>
    <w:p w:rsidR="0074704F" w:rsidRPr="00213F42" w:rsidRDefault="0074704F" w:rsidP="0074704F">
      <w:pPr>
        <w:numPr>
          <w:ilvl w:val="1"/>
          <w:numId w:val="40"/>
        </w:numPr>
        <w:tabs>
          <w:tab w:val="num" w:pos="284"/>
        </w:tabs>
        <w:jc w:val="both"/>
        <w:rPr>
          <w:rFonts w:cs="Arial"/>
          <w:sz w:val="22"/>
          <w:szCs w:val="22"/>
        </w:rPr>
      </w:pPr>
      <w:r w:rsidRPr="00213F42">
        <w:rPr>
          <w:rFonts w:cs="Arial"/>
          <w:sz w:val="22"/>
          <w:szCs w:val="22"/>
        </w:rPr>
        <w:t>The Resources Committee - To consider reports and make decisions relating to financial, human resources and property related issues</w:t>
      </w:r>
    </w:p>
    <w:p w:rsidR="0074704F" w:rsidRPr="00213F42" w:rsidRDefault="0074704F" w:rsidP="0074704F">
      <w:pPr>
        <w:numPr>
          <w:ilvl w:val="1"/>
          <w:numId w:val="40"/>
        </w:numPr>
        <w:tabs>
          <w:tab w:val="num" w:pos="284"/>
        </w:tabs>
        <w:jc w:val="both"/>
        <w:rPr>
          <w:rFonts w:cs="Arial"/>
          <w:sz w:val="22"/>
          <w:szCs w:val="22"/>
        </w:rPr>
      </w:pPr>
      <w:r w:rsidRPr="00213F42">
        <w:rPr>
          <w:rFonts w:cs="Arial"/>
          <w:sz w:val="22"/>
          <w:szCs w:val="22"/>
        </w:rPr>
        <w:t>The Planning Committee - To consider reports and make decisions relating to all aspect of planning arrangements, including consultation and communication arrangements</w:t>
      </w:r>
    </w:p>
    <w:p w:rsidR="0074704F" w:rsidRPr="00213F42" w:rsidRDefault="0074704F" w:rsidP="0074704F">
      <w:pPr>
        <w:numPr>
          <w:ilvl w:val="1"/>
          <w:numId w:val="40"/>
        </w:numPr>
        <w:tabs>
          <w:tab w:val="num" w:pos="284"/>
        </w:tabs>
        <w:jc w:val="both"/>
        <w:rPr>
          <w:rFonts w:cs="Arial"/>
          <w:sz w:val="22"/>
          <w:szCs w:val="22"/>
        </w:rPr>
      </w:pPr>
      <w:r w:rsidRPr="00213F42">
        <w:rPr>
          <w:rFonts w:cs="Arial"/>
          <w:sz w:val="22"/>
          <w:szCs w:val="22"/>
        </w:rPr>
        <w:t>The Performance Committee - To consider reports and make recommendations on all aspects of performance management,</w:t>
      </w:r>
    </w:p>
    <w:p w:rsidR="0074704F" w:rsidRPr="00213F42" w:rsidRDefault="0074704F" w:rsidP="0074704F">
      <w:pPr>
        <w:numPr>
          <w:ilvl w:val="1"/>
          <w:numId w:val="40"/>
        </w:numPr>
        <w:tabs>
          <w:tab w:val="num" w:pos="284"/>
        </w:tabs>
        <w:jc w:val="both"/>
        <w:rPr>
          <w:rFonts w:cs="Arial"/>
          <w:sz w:val="22"/>
          <w:szCs w:val="22"/>
        </w:rPr>
      </w:pPr>
      <w:r w:rsidRPr="00213F42">
        <w:rPr>
          <w:rFonts w:cs="Arial"/>
          <w:sz w:val="22"/>
          <w:szCs w:val="22"/>
        </w:rPr>
        <w:t>The Appeals Committee -To hear relevant appeals, grievances and complaints</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Clear management structure within the Service. The Executive Board, comprising the Chief Fire Officer (head of paid service), and 4 Executive Directors, is responsible for determining policy, monitoring performance and developing service plans in line with the Authority’s overall strategic objectives and is assisted in this process by the Service Management Team;</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The Combination Scheme Order, Standing Orders, Terms of Reference of individual Committees, Scheme of Delegation and Financial Regulations establish overall arrangements for policy setting and decision making and the delegation of powers to members and officers;</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Comprehensive suite of strategies and</w:t>
      </w:r>
      <w:r>
        <w:rPr>
          <w:rFonts w:cs="Arial"/>
          <w:sz w:val="22"/>
          <w:szCs w:val="22"/>
        </w:rPr>
        <w:t xml:space="preserve"> </w:t>
      </w:r>
      <w:r w:rsidRPr="00213F42">
        <w:rPr>
          <w:rFonts w:cs="Arial"/>
          <w:sz w:val="22"/>
          <w:szCs w:val="22"/>
        </w:rPr>
        <w:t>policies in place and regularly reviewed</w:t>
      </w:r>
    </w:p>
    <w:p w:rsidR="0074704F" w:rsidRPr="00213F42" w:rsidRDefault="0074704F" w:rsidP="0074704F">
      <w:pPr>
        <w:jc w:val="both"/>
        <w:rPr>
          <w:rFonts w:cs="Arial"/>
          <w:sz w:val="22"/>
          <w:szCs w:val="22"/>
        </w:rPr>
      </w:pPr>
    </w:p>
    <w:p w:rsidR="0074704F" w:rsidRPr="002D0B2E" w:rsidRDefault="0074704F" w:rsidP="0074704F">
      <w:pPr>
        <w:numPr>
          <w:ilvl w:val="0"/>
          <w:numId w:val="40"/>
        </w:numPr>
        <w:tabs>
          <w:tab w:val="clear" w:pos="360"/>
          <w:tab w:val="num" w:pos="284"/>
        </w:tabs>
        <w:ind w:left="284" w:hanging="284"/>
        <w:jc w:val="both"/>
        <w:rPr>
          <w:rFonts w:cs="Arial"/>
          <w:sz w:val="22"/>
          <w:szCs w:val="22"/>
        </w:rPr>
      </w:pPr>
      <w:r w:rsidRPr="002D0B2E">
        <w:rPr>
          <w:rFonts w:cs="Arial"/>
          <w:sz w:val="22"/>
          <w:szCs w:val="22"/>
        </w:rPr>
        <w:t>Codes of Conduct for members and officers, and member/officer protocol, that set out clear expectations for standards of behaviour;</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lastRenderedPageBreak/>
        <w:t>Both the Monitoring Officer and Treasurer are involved in the Authority’s decision making process, and ensure compliance with established policies, procedures, laws and regulations; All Authority reports are considered for human resource, financial, business risk, environmental and equality and diversity implications in order to identify key issues;</w:t>
      </w:r>
    </w:p>
    <w:p w:rsidR="0074704F" w:rsidRPr="00213F42" w:rsidRDefault="0074704F" w:rsidP="0074704F">
      <w:pPr>
        <w:jc w:val="both"/>
        <w:rPr>
          <w:rFonts w:cs="Arial"/>
          <w:sz w:val="22"/>
          <w:szCs w:val="22"/>
        </w:rPr>
      </w:pPr>
    </w:p>
    <w:p w:rsidR="0074704F" w:rsidRPr="002D0B2E" w:rsidRDefault="0074704F" w:rsidP="0074704F">
      <w:pPr>
        <w:numPr>
          <w:ilvl w:val="0"/>
          <w:numId w:val="40"/>
        </w:numPr>
        <w:tabs>
          <w:tab w:val="clear" w:pos="360"/>
          <w:tab w:val="num" w:pos="284"/>
        </w:tabs>
        <w:ind w:left="284" w:hanging="284"/>
        <w:jc w:val="both"/>
        <w:rPr>
          <w:rFonts w:cs="Arial"/>
          <w:sz w:val="22"/>
          <w:szCs w:val="22"/>
        </w:rPr>
      </w:pPr>
      <w:r w:rsidRPr="002D0B2E">
        <w:rPr>
          <w:rFonts w:cs="Arial"/>
          <w:sz w:val="22"/>
          <w:szCs w:val="22"/>
        </w:rPr>
        <w:t>The Treasurer’s role and financial management arrangements align with requirements set out in CIPFAs Statement on the Role of the Chief Financi</w:t>
      </w:r>
      <w:r>
        <w:rPr>
          <w:rFonts w:cs="Arial"/>
          <w:sz w:val="22"/>
          <w:szCs w:val="22"/>
        </w:rPr>
        <w:t>al Officer in Local Government</w:t>
      </w:r>
      <w:r w:rsidRPr="002D0B2E">
        <w:rPr>
          <w:rFonts w:cs="Arial"/>
          <w:sz w:val="22"/>
          <w:szCs w:val="22"/>
        </w:rPr>
        <w:t>;</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 xml:space="preserve">Well publicised arrangements for dealing with complaints and whistle-blowing, and for combating fraud and corruption; </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 xml:space="preserve">A Risk Management Strategy and framework which ensures that risks to the Service’s objectives are identified and appropriately managed </w:t>
      </w:r>
    </w:p>
    <w:p w:rsidR="0074704F" w:rsidRPr="00213F42" w:rsidRDefault="0074704F" w:rsidP="0074704F">
      <w:pPr>
        <w:jc w:val="both"/>
        <w:rPr>
          <w:rFonts w:cs="Arial"/>
          <w:sz w:val="22"/>
          <w:szCs w:val="22"/>
        </w:rPr>
      </w:pPr>
    </w:p>
    <w:p w:rsidR="0074704F" w:rsidRPr="002D0B2E" w:rsidRDefault="0074704F" w:rsidP="0074704F">
      <w:pPr>
        <w:numPr>
          <w:ilvl w:val="0"/>
          <w:numId w:val="40"/>
        </w:numPr>
        <w:tabs>
          <w:tab w:val="clear" w:pos="360"/>
          <w:tab w:val="num" w:pos="284"/>
        </w:tabs>
        <w:ind w:left="284" w:hanging="284"/>
        <w:jc w:val="both"/>
        <w:rPr>
          <w:rFonts w:cs="Arial"/>
          <w:sz w:val="22"/>
          <w:szCs w:val="22"/>
        </w:rPr>
      </w:pPr>
      <w:r w:rsidRPr="002D0B2E">
        <w:rPr>
          <w:rFonts w:cs="Arial"/>
          <w:sz w:val="22"/>
          <w:szCs w:val="22"/>
        </w:rPr>
        <w:t>Comprehensive Business Continuity arrangements in place, and tested on a regular basis</w:t>
      </w:r>
    </w:p>
    <w:p w:rsidR="0074704F" w:rsidRPr="00213F42" w:rsidRDefault="0074704F" w:rsidP="0074704F">
      <w:pPr>
        <w:jc w:val="both"/>
        <w:rPr>
          <w:rFonts w:cs="Arial"/>
          <w:sz w:val="22"/>
          <w:szCs w:val="22"/>
        </w:rPr>
      </w:pPr>
    </w:p>
    <w:p w:rsidR="0074704F" w:rsidRPr="001322E5" w:rsidRDefault="0074704F" w:rsidP="0074704F">
      <w:pPr>
        <w:numPr>
          <w:ilvl w:val="0"/>
          <w:numId w:val="40"/>
        </w:numPr>
        <w:tabs>
          <w:tab w:val="clear" w:pos="360"/>
          <w:tab w:val="num" w:pos="284"/>
        </w:tabs>
        <w:ind w:left="284" w:hanging="284"/>
        <w:jc w:val="both"/>
        <w:rPr>
          <w:rFonts w:cs="Arial"/>
          <w:sz w:val="22"/>
          <w:szCs w:val="22"/>
        </w:rPr>
      </w:pPr>
      <w:r w:rsidRPr="006D6556">
        <w:rPr>
          <w:rFonts w:cs="Arial"/>
          <w:sz w:val="22"/>
          <w:szCs w:val="22"/>
        </w:rPr>
        <w:t xml:space="preserve">A </w:t>
      </w:r>
      <w:r>
        <w:rPr>
          <w:rFonts w:cs="Arial"/>
          <w:sz w:val="22"/>
          <w:szCs w:val="22"/>
        </w:rPr>
        <w:t>f</w:t>
      </w:r>
      <w:r w:rsidRPr="001322E5">
        <w:rPr>
          <w:rFonts w:cs="Arial"/>
          <w:sz w:val="22"/>
          <w:szCs w:val="22"/>
        </w:rPr>
        <w:t xml:space="preserve">ramework to review potential partnership arrangements utilising set criteria prior to entering into </w:t>
      </w:r>
      <w:r>
        <w:rPr>
          <w:rFonts w:cs="Arial"/>
          <w:sz w:val="22"/>
          <w:szCs w:val="22"/>
        </w:rPr>
        <w:t xml:space="preserve">such </w:t>
      </w:r>
      <w:r w:rsidRPr="001322E5">
        <w:rPr>
          <w:rFonts w:cs="Arial"/>
          <w:sz w:val="22"/>
          <w:szCs w:val="22"/>
        </w:rPr>
        <w:t>arrangements;</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Compliance with data transparency req</w:t>
      </w:r>
      <w:r>
        <w:rPr>
          <w:rFonts w:cs="Arial"/>
          <w:sz w:val="22"/>
          <w:szCs w:val="22"/>
        </w:rPr>
        <w:t>u</w:t>
      </w:r>
      <w:r w:rsidRPr="00213F42">
        <w:rPr>
          <w:rFonts w:cs="Arial"/>
          <w:sz w:val="22"/>
          <w:szCs w:val="22"/>
        </w:rPr>
        <w:t>i</w:t>
      </w:r>
      <w:r>
        <w:rPr>
          <w:rFonts w:cs="Arial"/>
          <w:sz w:val="22"/>
          <w:szCs w:val="22"/>
        </w:rPr>
        <w:t>re</w:t>
      </w:r>
      <w:r w:rsidRPr="00213F42">
        <w:rPr>
          <w:rFonts w:cs="Arial"/>
          <w:sz w:val="22"/>
          <w:szCs w:val="22"/>
        </w:rPr>
        <w:t>ments, including publication of all key documents, committee agenda and minutes, pay policy and publication scheme on the internet.</w:t>
      </w:r>
    </w:p>
    <w:p w:rsidR="0074704F" w:rsidRPr="00213F42" w:rsidRDefault="0074704F" w:rsidP="0074704F">
      <w:pPr>
        <w:jc w:val="bot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Regular asse</w:t>
      </w:r>
      <w:r>
        <w:rPr>
          <w:rFonts w:cs="Arial"/>
          <w:sz w:val="22"/>
          <w:szCs w:val="22"/>
        </w:rPr>
        <w:t>ss</w:t>
      </w:r>
      <w:r w:rsidRPr="00213F42">
        <w:rPr>
          <w:rFonts w:cs="Arial"/>
          <w:sz w:val="22"/>
          <w:szCs w:val="22"/>
        </w:rPr>
        <w:t xml:space="preserve">ment of training &amp; development needs of both members and officers, </w:t>
      </w:r>
      <w:r w:rsidRPr="002D0B2E">
        <w:rPr>
          <w:rFonts w:cs="Arial"/>
          <w:sz w:val="22"/>
          <w:szCs w:val="22"/>
        </w:rPr>
        <w:t>including appropriate appraisal system.</w:t>
      </w:r>
      <w:r w:rsidRPr="00213F42">
        <w:rPr>
          <w:rFonts w:cs="Arial"/>
          <w:sz w:val="22"/>
          <w:szCs w:val="22"/>
        </w:rPr>
        <w:t xml:space="preserve"> Suffici</w:t>
      </w:r>
      <w:r>
        <w:rPr>
          <w:rFonts w:cs="Arial"/>
          <w:sz w:val="22"/>
          <w:szCs w:val="22"/>
        </w:rPr>
        <w:t>ent</w:t>
      </w:r>
      <w:r w:rsidRPr="00213F42">
        <w:rPr>
          <w:rFonts w:cs="Arial"/>
          <w:sz w:val="22"/>
          <w:szCs w:val="22"/>
        </w:rPr>
        <w:t xml:space="preserve"> budget to meet relevant training requirements. </w:t>
      </w:r>
    </w:p>
    <w:p w:rsidR="0074704F" w:rsidRPr="00213F42" w:rsidRDefault="0074704F" w:rsidP="0074704F">
      <w:pPr>
        <w:jc w:val="both"/>
        <w:rPr>
          <w:rFonts w:cs="Arial"/>
          <w:sz w:val="22"/>
          <w:szCs w:val="22"/>
        </w:rPr>
      </w:pPr>
    </w:p>
    <w:p w:rsidR="0074704F" w:rsidRPr="006D6556" w:rsidRDefault="0074704F" w:rsidP="0074704F">
      <w:pPr>
        <w:numPr>
          <w:ilvl w:val="0"/>
          <w:numId w:val="40"/>
        </w:numPr>
        <w:tabs>
          <w:tab w:val="clear" w:pos="360"/>
          <w:tab w:val="num" w:pos="284"/>
        </w:tabs>
        <w:ind w:left="284" w:hanging="284"/>
        <w:jc w:val="both"/>
        <w:rPr>
          <w:rFonts w:cs="Arial"/>
          <w:sz w:val="22"/>
          <w:szCs w:val="22"/>
        </w:rPr>
      </w:pPr>
      <w:r w:rsidRPr="006D6556">
        <w:rPr>
          <w:rFonts w:cs="Arial"/>
          <w:sz w:val="22"/>
          <w:szCs w:val="22"/>
        </w:rPr>
        <w:t xml:space="preserve">Comprehensive service review process in place, comprising external views in the form of </w:t>
      </w:r>
      <w:r>
        <w:rPr>
          <w:rFonts w:cs="Arial"/>
          <w:sz w:val="22"/>
          <w:szCs w:val="22"/>
        </w:rPr>
        <w:t>HMICFRS Inspection/</w:t>
      </w:r>
      <w:r w:rsidRPr="006D6556">
        <w:rPr>
          <w:rFonts w:cs="Arial"/>
          <w:sz w:val="22"/>
          <w:szCs w:val="22"/>
        </w:rPr>
        <w:t>Peer Assessment/Operational Assurance review, External Audit reviews, Internal Audit reviews and internal reviews undertaken by our own staff. Ultimately these culminate in the production, and publication, of an Annual Assurance Statement.</w:t>
      </w:r>
    </w:p>
    <w:p w:rsidR="006B4BE1" w:rsidRPr="00D01BAD" w:rsidRDefault="006B4BE1" w:rsidP="006B4BE1">
      <w:pPr>
        <w:autoSpaceDE w:val="0"/>
        <w:autoSpaceDN w:val="0"/>
        <w:adjustRightInd w:val="0"/>
        <w:jc w:val="both"/>
        <w:rPr>
          <w:rFonts w:cs="Arial"/>
          <w:b/>
          <w:bCs/>
          <w:sz w:val="22"/>
          <w:szCs w:val="22"/>
          <w:highlight w:val="yellow"/>
        </w:rPr>
      </w:pPr>
    </w:p>
    <w:p w:rsidR="0074704F" w:rsidRPr="00213F42" w:rsidRDefault="0074704F" w:rsidP="0074704F">
      <w:pPr>
        <w:autoSpaceDE w:val="0"/>
        <w:autoSpaceDN w:val="0"/>
        <w:adjustRightInd w:val="0"/>
        <w:jc w:val="both"/>
        <w:outlineLvl w:val="0"/>
        <w:rPr>
          <w:rFonts w:cs="Arial"/>
          <w:b/>
          <w:bCs/>
          <w:sz w:val="22"/>
          <w:szCs w:val="22"/>
        </w:rPr>
      </w:pPr>
      <w:r w:rsidRPr="00213F42">
        <w:rPr>
          <w:rFonts w:cs="Arial"/>
          <w:b/>
          <w:bCs/>
          <w:sz w:val="22"/>
          <w:szCs w:val="22"/>
        </w:rPr>
        <w:t>Review of effectiveness</w:t>
      </w:r>
    </w:p>
    <w:p w:rsidR="0074704F" w:rsidRPr="00213F42" w:rsidRDefault="0074704F" w:rsidP="0074704F">
      <w:pPr>
        <w:autoSpaceDE w:val="0"/>
        <w:autoSpaceDN w:val="0"/>
        <w:adjustRightInd w:val="0"/>
        <w:jc w:val="both"/>
        <w:rPr>
          <w:rFonts w:cs="Arial"/>
          <w:sz w:val="22"/>
          <w:szCs w:val="22"/>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t xml:space="preserve">The Authority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Internal Auditors annual report, and also by comments made by the external auditors and other review agencies and inspectorates. </w:t>
      </w:r>
    </w:p>
    <w:p w:rsidR="0074704F" w:rsidRPr="00213F42" w:rsidRDefault="0074704F" w:rsidP="0074704F">
      <w:pPr>
        <w:autoSpaceDE w:val="0"/>
        <w:autoSpaceDN w:val="0"/>
        <w:adjustRightInd w:val="0"/>
        <w:jc w:val="both"/>
        <w:rPr>
          <w:rFonts w:cs="Arial"/>
          <w:sz w:val="22"/>
          <w:szCs w:val="22"/>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t>A statement of assurance has been discussed and approved by the Executive Board as to the effectiveness of the governance arrangements for which it is responsible, including the system of internal control. The statement of assurance covers all the principles set out in the Authority’s Code of Corporate Governance. The statement of assurance reveals no areas of weakness in the Authority’s corporate governance arrangements; the arrangements are in all cases at least adequate and in the majority of areas good.</w:t>
      </w:r>
    </w:p>
    <w:p w:rsidR="0074704F" w:rsidRPr="00213F42" w:rsidRDefault="0074704F" w:rsidP="0074704F">
      <w:pPr>
        <w:autoSpaceDE w:val="0"/>
        <w:autoSpaceDN w:val="0"/>
        <w:adjustRightInd w:val="0"/>
        <w:jc w:val="both"/>
        <w:rPr>
          <w:rFonts w:cs="Arial"/>
          <w:sz w:val="22"/>
          <w:szCs w:val="22"/>
        </w:rPr>
      </w:pPr>
    </w:p>
    <w:p w:rsidR="0074704F" w:rsidRPr="00213F42" w:rsidRDefault="0074704F" w:rsidP="0074704F">
      <w:pPr>
        <w:jc w:val="both"/>
        <w:rPr>
          <w:rFonts w:cs="Arial"/>
          <w:sz w:val="22"/>
          <w:szCs w:val="22"/>
        </w:rPr>
      </w:pPr>
      <w:r w:rsidRPr="00213F42">
        <w:rPr>
          <w:rFonts w:cs="Arial"/>
          <w:sz w:val="22"/>
          <w:szCs w:val="22"/>
        </w:rPr>
        <w:t xml:space="preserve">In maintaining and reviewing the effectiveness of the Authority’s governance arrangements the following have been considered:- </w:t>
      </w:r>
    </w:p>
    <w:p w:rsidR="0074704F" w:rsidRPr="00213F42" w:rsidRDefault="0074704F" w:rsidP="0074704F">
      <w:pPr>
        <w:jc w:val="both"/>
        <w:rPr>
          <w:rFonts w:cs="Arial"/>
          <w:sz w:val="22"/>
          <w:szCs w:val="22"/>
        </w:rPr>
      </w:pPr>
    </w:p>
    <w:p w:rsidR="0074704F" w:rsidRPr="00A43CBB" w:rsidRDefault="0074704F" w:rsidP="0074704F">
      <w:pPr>
        <w:numPr>
          <w:ilvl w:val="0"/>
          <w:numId w:val="40"/>
        </w:numPr>
        <w:tabs>
          <w:tab w:val="clear" w:pos="360"/>
          <w:tab w:val="num" w:pos="284"/>
        </w:tabs>
        <w:ind w:left="284" w:hanging="284"/>
        <w:jc w:val="both"/>
        <w:rPr>
          <w:rFonts w:cs="Arial"/>
          <w:sz w:val="22"/>
          <w:szCs w:val="22"/>
        </w:rPr>
      </w:pPr>
      <w:r>
        <w:rPr>
          <w:rFonts w:cs="Arial"/>
          <w:sz w:val="22"/>
          <w:szCs w:val="22"/>
        </w:rPr>
        <w:t xml:space="preserve">The </w:t>
      </w:r>
      <w:r w:rsidRPr="00A43CBB">
        <w:rPr>
          <w:rFonts w:cs="Arial"/>
          <w:sz w:val="22"/>
          <w:szCs w:val="22"/>
        </w:rPr>
        <w:t xml:space="preserve">Integrated Risk </w:t>
      </w:r>
      <w:r>
        <w:rPr>
          <w:rFonts w:cs="Arial"/>
          <w:sz w:val="22"/>
          <w:szCs w:val="22"/>
        </w:rPr>
        <w:t>M</w:t>
      </w:r>
      <w:r w:rsidRPr="00A43CBB">
        <w:rPr>
          <w:rFonts w:cs="Arial"/>
          <w:sz w:val="22"/>
          <w:szCs w:val="22"/>
        </w:rPr>
        <w:t>anagement</w:t>
      </w:r>
      <w:r>
        <w:rPr>
          <w:rFonts w:cs="Arial"/>
          <w:sz w:val="22"/>
          <w:szCs w:val="22"/>
        </w:rPr>
        <w:t xml:space="preserve"> P</w:t>
      </w:r>
      <w:r w:rsidRPr="00A43CBB">
        <w:rPr>
          <w:rFonts w:cs="Arial"/>
          <w:sz w:val="22"/>
          <w:szCs w:val="22"/>
        </w:rPr>
        <w:t>l</w:t>
      </w:r>
      <w:r>
        <w:rPr>
          <w:rFonts w:cs="Arial"/>
          <w:sz w:val="22"/>
          <w:szCs w:val="22"/>
        </w:rPr>
        <w:t>a</w:t>
      </w:r>
      <w:r w:rsidRPr="00A43CBB">
        <w:rPr>
          <w:rFonts w:cs="Arial"/>
          <w:sz w:val="22"/>
          <w:szCs w:val="22"/>
        </w:rPr>
        <w:t>n cover</w:t>
      </w:r>
      <w:r>
        <w:rPr>
          <w:rFonts w:cs="Arial"/>
          <w:sz w:val="22"/>
          <w:szCs w:val="22"/>
        </w:rPr>
        <w:t>s</w:t>
      </w:r>
      <w:r w:rsidRPr="00A43CBB">
        <w:rPr>
          <w:rFonts w:cs="Arial"/>
          <w:sz w:val="22"/>
          <w:szCs w:val="22"/>
        </w:rPr>
        <w:t xml:space="preserve"> </w:t>
      </w:r>
      <w:r>
        <w:rPr>
          <w:rFonts w:cs="Arial"/>
          <w:sz w:val="22"/>
          <w:szCs w:val="22"/>
        </w:rPr>
        <w:t xml:space="preserve">the five year period </w:t>
      </w:r>
      <w:r w:rsidRPr="00A43CBB">
        <w:rPr>
          <w:rFonts w:cs="Arial"/>
          <w:sz w:val="22"/>
          <w:szCs w:val="22"/>
        </w:rPr>
        <w:t>2017-2022.</w:t>
      </w:r>
    </w:p>
    <w:p w:rsidR="0074704F" w:rsidRPr="00A43CBB" w:rsidRDefault="0074704F" w:rsidP="0074704F">
      <w:pPr>
        <w:jc w:val="both"/>
        <w:rPr>
          <w:rFonts w:cs="Arial"/>
          <w:sz w:val="22"/>
          <w:szCs w:val="22"/>
        </w:rPr>
      </w:pPr>
    </w:p>
    <w:p w:rsidR="0074704F" w:rsidRDefault="0074704F" w:rsidP="0074704F">
      <w:pPr>
        <w:numPr>
          <w:ilvl w:val="0"/>
          <w:numId w:val="40"/>
        </w:numPr>
        <w:tabs>
          <w:tab w:val="clear" w:pos="360"/>
          <w:tab w:val="num" w:pos="284"/>
        </w:tabs>
        <w:ind w:left="284" w:hanging="284"/>
        <w:jc w:val="both"/>
        <w:rPr>
          <w:rFonts w:cs="Arial"/>
          <w:sz w:val="22"/>
          <w:szCs w:val="22"/>
        </w:rPr>
      </w:pPr>
      <w:r>
        <w:rPr>
          <w:rFonts w:cs="Arial"/>
          <w:sz w:val="22"/>
          <w:szCs w:val="22"/>
        </w:rPr>
        <w:t>We updated our Strategic Assessment of Risk and completed an Emergency Cover Review.</w:t>
      </w:r>
    </w:p>
    <w:p w:rsidR="0074704F" w:rsidRDefault="0074704F" w:rsidP="0074704F">
      <w:pPr>
        <w:pStyle w:val="ListParagraph"/>
        <w:rPr>
          <w:rFonts w:cs="Arial"/>
          <w:sz w:val="22"/>
          <w:szCs w:val="22"/>
        </w:rPr>
      </w:pPr>
    </w:p>
    <w:p w:rsidR="0074704F" w:rsidRDefault="0074704F" w:rsidP="0074704F">
      <w:pPr>
        <w:numPr>
          <w:ilvl w:val="0"/>
          <w:numId w:val="40"/>
        </w:numPr>
        <w:tabs>
          <w:tab w:val="clear" w:pos="360"/>
          <w:tab w:val="num" w:pos="284"/>
        </w:tabs>
        <w:ind w:left="284" w:hanging="284"/>
        <w:jc w:val="both"/>
        <w:rPr>
          <w:rFonts w:cs="Arial"/>
          <w:sz w:val="22"/>
          <w:szCs w:val="22"/>
        </w:rPr>
      </w:pPr>
      <w:r w:rsidRPr="000D473F">
        <w:rPr>
          <w:rFonts w:cs="Arial"/>
          <w:sz w:val="22"/>
          <w:szCs w:val="22"/>
        </w:rPr>
        <w:t xml:space="preserve">A revised Annual Service Plan has been agreed for 2018/19, providing clarity, both internally and externally, on our priorities set out in the IRMP and describes what our ambitions are for each priority, </w:t>
      </w:r>
      <w:r w:rsidRPr="000D473F">
        <w:rPr>
          <w:rFonts w:cs="Arial"/>
          <w:sz w:val="22"/>
          <w:szCs w:val="22"/>
        </w:rPr>
        <w:lastRenderedPageBreak/>
        <w:t xml:space="preserve">as well as setting out the projects and actions that will be delivered, developed or reviewed during the coming year against each of our priorities. This is supported by Local </w:t>
      </w:r>
      <w:r>
        <w:rPr>
          <w:rFonts w:cs="Arial"/>
          <w:sz w:val="22"/>
          <w:szCs w:val="22"/>
        </w:rPr>
        <w:t>D</w:t>
      </w:r>
      <w:r w:rsidRPr="000D473F">
        <w:rPr>
          <w:rFonts w:cs="Arial"/>
          <w:sz w:val="22"/>
          <w:szCs w:val="22"/>
        </w:rPr>
        <w:t>elivery Plans</w:t>
      </w:r>
      <w:r>
        <w:rPr>
          <w:rFonts w:cs="Arial"/>
          <w:sz w:val="22"/>
          <w:szCs w:val="22"/>
        </w:rPr>
        <w:t>.</w:t>
      </w:r>
    </w:p>
    <w:p w:rsidR="0074704F" w:rsidRDefault="0074704F" w:rsidP="0074704F">
      <w:pPr>
        <w:pStyle w:val="ListParagraph"/>
        <w:rPr>
          <w:rFonts w:cs="Arial"/>
          <w:sz w:val="22"/>
          <w:szCs w:val="22"/>
        </w:rPr>
      </w:pPr>
    </w:p>
    <w:p w:rsidR="0074704F" w:rsidRDefault="0074704F" w:rsidP="0074704F">
      <w:pPr>
        <w:numPr>
          <w:ilvl w:val="0"/>
          <w:numId w:val="40"/>
        </w:numPr>
        <w:tabs>
          <w:tab w:val="clear" w:pos="360"/>
          <w:tab w:val="num" w:pos="284"/>
        </w:tabs>
        <w:ind w:left="284" w:hanging="284"/>
        <w:jc w:val="both"/>
        <w:rPr>
          <w:rFonts w:cs="Arial"/>
          <w:sz w:val="22"/>
          <w:szCs w:val="22"/>
        </w:rPr>
      </w:pPr>
      <w:r w:rsidRPr="00914377">
        <w:rPr>
          <w:rFonts w:cs="Arial"/>
          <w:sz w:val="22"/>
          <w:szCs w:val="22"/>
        </w:rPr>
        <w:t xml:space="preserve">A framework has been developed to review potential partnership arrangements utilising the following criteria: </w:t>
      </w:r>
    </w:p>
    <w:p w:rsidR="0074704F" w:rsidRDefault="0074704F" w:rsidP="0074704F">
      <w:pPr>
        <w:pStyle w:val="ListParagraph"/>
        <w:rPr>
          <w:rFonts w:cs="Arial"/>
          <w:sz w:val="22"/>
          <w:szCs w:val="22"/>
        </w:rPr>
      </w:pPr>
    </w:p>
    <w:p w:rsidR="0074704F" w:rsidRPr="00914377" w:rsidRDefault="0074704F" w:rsidP="0074704F">
      <w:pPr>
        <w:numPr>
          <w:ilvl w:val="1"/>
          <w:numId w:val="40"/>
        </w:numPr>
        <w:jc w:val="both"/>
        <w:rPr>
          <w:rFonts w:cs="Arial"/>
          <w:sz w:val="22"/>
          <w:szCs w:val="22"/>
        </w:rPr>
      </w:pPr>
      <w:r w:rsidRPr="00914377">
        <w:rPr>
          <w:rFonts w:cs="Arial"/>
          <w:sz w:val="22"/>
          <w:szCs w:val="22"/>
        </w:rPr>
        <w:t xml:space="preserve">Will it make Lancashire Safer? </w:t>
      </w:r>
    </w:p>
    <w:p w:rsidR="0074704F" w:rsidRPr="00914377" w:rsidRDefault="0074704F" w:rsidP="0074704F">
      <w:pPr>
        <w:numPr>
          <w:ilvl w:val="1"/>
          <w:numId w:val="40"/>
        </w:numPr>
        <w:jc w:val="both"/>
        <w:rPr>
          <w:rFonts w:cs="Arial"/>
          <w:sz w:val="22"/>
          <w:szCs w:val="22"/>
        </w:rPr>
      </w:pPr>
      <w:r w:rsidRPr="00914377">
        <w:rPr>
          <w:rFonts w:cs="Arial"/>
          <w:sz w:val="22"/>
          <w:szCs w:val="22"/>
        </w:rPr>
        <w:t xml:space="preserve">Will undertaking the activity potentially damage our brand? </w:t>
      </w:r>
    </w:p>
    <w:p w:rsidR="0074704F" w:rsidRPr="00914377" w:rsidRDefault="0074704F" w:rsidP="0074704F">
      <w:pPr>
        <w:numPr>
          <w:ilvl w:val="1"/>
          <w:numId w:val="40"/>
        </w:numPr>
        <w:jc w:val="both"/>
        <w:rPr>
          <w:rFonts w:cs="Arial"/>
          <w:sz w:val="22"/>
          <w:szCs w:val="22"/>
        </w:rPr>
      </w:pPr>
      <w:r w:rsidRPr="00914377">
        <w:rPr>
          <w:rFonts w:cs="Arial"/>
          <w:sz w:val="22"/>
          <w:szCs w:val="22"/>
        </w:rPr>
        <w:t xml:space="preserve">Does it fit with the public image of the FRS? </w:t>
      </w:r>
    </w:p>
    <w:p w:rsidR="0074704F" w:rsidRPr="00914377" w:rsidRDefault="0074704F" w:rsidP="0074704F">
      <w:pPr>
        <w:numPr>
          <w:ilvl w:val="1"/>
          <w:numId w:val="40"/>
        </w:numPr>
        <w:jc w:val="both"/>
        <w:rPr>
          <w:rFonts w:cs="Arial"/>
          <w:sz w:val="22"/>
          <w:szCs w:val="22"/>
        </w:rPr>
      </w:pPr>
      <w:r w:rsidRPr="00914377">
        <w:rPr>
          <w:rFonts w:cs="Arial"/>
          <w:sz w:val="22"/>
          <w:szCs w:val="22"/>
        </w:rPr>
        <w:t xml:space="preserve">Will it detract from our ability to undertake other operational or preventative functions, if so to what extent? </w:t>
      </w:r>
    </w:p>
    <w:p w:rsidR="0074704F" w:rsidRPr="00914377" w:rsidRDefault="0074704F" w:rsidP="0074704F">
      <w:pPr>
        <w:numPr>
          <w:ilvl w:val="1"/>
          <w:numId w:val="40"/>
        </w:numPr>
        <w:jc w:val="both"/>
        <w:rPr>
          <w:rFonts w:cs="Arial"/>
          <w:sz w:val="22"/>
          <w:szCs w:val="22"/>
        </w:rPr>
      </w:pPr>
      <w:r w:rsidRPr="00914377">
        <w:rPr>
          <w:rFonts w:cs="Arial"/>
          <w:sz w:val="22"/>
          <w:szCs w:val="22"/>
        </w:rPr>
        <w:t>Is there a significant negative financial impact?</w:t>
      </w:r>
    </w:p>
    <w:p w:rsidR="0074704F" w:rsidRPr="00914377" w:rsidRDefault="0074704F" w:rsidP="0074704F">
      <w:pPr>
        <w:numPr>
          <w:ilvl w:val="1"/>
          <w:numId w:val="40"/>
        </w:numPr>
        <w:jc w:val="both"/>
        <w:rPr>
          <w:rFonts w:cs="Arial"/>
          <w:sz w:val="22"/>
          <w:szCs w:val="22"/>
        </w:rPr>
      </w:pPr>
      <w:r w:rsidRPr="00914377">
        <w:rPr>
          <w:rFonts w:cs="Arial"/>
          <w:sz w:val="22"/>
          <w:szCs w:val="22"/>
        </w:rPr>
        <w:t xml:space="preserve">Is the activity likely to fit comfortably with our stakeholders (Trade Unions, Firefighters, CFS staff, Partners, Home Office, etc.)? </w:t>
      </w:r>
    </w:p>
    <w:p w:rsidR="0074704F" w:rsidRPr="00062A7B" w:rsidRDefault="0074704F" w:rsidP="0074704F">
      <w:pPr>
        <w:jc w:val="both"/>
        <w:rPr>
          <w:rFonts w:cs="Arial"/>
          <w:sz w:val="22"/>
          <w:szCs w:val="22"/>
        </w:rPr>
      </w:pPr>
    </w:p>
    <w:p w:rsidR="0074704F" w:rsidRDefault="0074704F" w:rsidP="0074704F">
      <w:pPr>
        <w:numPr>
          <w:ilvl w:val="0"/>
          <w:numId w:val="40"/>
        </w:numPr>
        <w:tabs>
          <w:tab w:val="clear" w:pos="360"/>
          <w:tab w:val="num" w:pos="284"/>
        </w:tabs>
        <w:ind w:left="284" w:hanging="284"/>
        <w:jc w:val="both"/>
        <w:rPr>
          <w:rFonts w:cs="Arial"/>
          <w:sz w:val="22"/>
          <w:szCs w:val="22"/>
        </w:rPr>
      </w:pPr>
      <w:r w:rsidRPr="00BF2959">
        <w:rPr>
          <w:rFonts w:cs="Arial"/>
          <w:sz w:val="22"/>
          <w:szCs w:val="22"/>
        </w:rPr>
        <w:t xml:space="preserve">Statement of Intent: Enhanced Collaboration between LFRS and Constabulary drafted and approved at Joint Exec Board. </w:t>
      </w:r>
      <w:r>
        <w:rPr>
          <w:rFonts w:cs="Arial"/>
          <w:sz w:val="22"/>
          <w:szCs w:val="22"/>
        </w:rPr>
        <w:t xml:space="preserve">Joint </w:t>
      </w:r>
      <w:r w:rsidRPr="00BF2959">
        <w:rPr>
          <w:rFonts w:cs="Arial"/>
          <w:sz w:val="22"/>
          <w:szCs w:val="22"/>
        </w:rPr>
        <w:t>Collaboration group established</w:t>
      </w:r>
      <w:r>
        <w:rPr>
          <w:rFonts w:cs="Arial"/>
          <w:sz w:val="22"/>
          <w:szCs w:val="22"/>
        </w:rPr>
        <w:t>, reporting through to Members.</w:t>
      </w:r>
    </w:p>
    <w:p w:rsidR="0074704F" w:rsidRDefault="0074704F" w:rsidP="0074704F">
      <w:pPr>
        <w:jc w:val="both"/>
        <w:rPr>
          <w:rFonts w:cs="Arial"/>
          <w:sz w:val="22"/>
          <w:szCs w:val="22"/>
        </w:rPr>
      </w:pPr>
    </w:p>
    <w:p w:rsidR="0074704F" w:rsidRPr="00062A7B" w:rsidRDefault="0074704F" w:rsidP="0074704F">
      <w:pPr>
        <w:numPr>
          <w:ilvl w:val="0"/>
          <w:numId w:val="40"/>
        </w:numPr>
        <w:tabs>
          <w:tab w:val="clear" w:pos="360"/>
          <w:tab w:val="num" w:pos="284"/>
        </w:tabs>
        <w:ind w:left="284" w:hanging="284"/>
        <w:jc w:val="both"/>
        <w:rPr>
          <w:rFonts w:cs="Arial"/>
          <w:sz w:val="22"/>
          <w:szCs w:val="22"/>
        </w:rPr>
      </w:pPr>
      <w:r w:rsidRPr="00062A7B">
        <w:rPr>
          <w:rFonts w:cs="Arial"/>
          <w:sz w:val="22"/>
          <w:szCs w:val="22"/>
        </w:rPr>
        <w:t xml:space="preserve">An Operational Assurance Team </w:t>
      </w:r>
      <w:r>
        <w:rPr>
          <w:rFonts w:cs="Arial"/>
          <w:sz w:val="22"/>
          <w:szCs w:val="22"/>
        </w:rPr>
        <w:t xml:space="preserve">undertake </w:t>
      </w:r>
      <w:r w:rsidRPr="00062A7B">
        <w:rPr>
          <w:rFonts w:cs="Arial"/>
          <w:sz w:val="22"/>
          <w:szCs w:val="22"/>
        </w:rPr>
        <w:t xml:space="preserve">a programme of service wide station assurance visits to identify areas for improvement and track these through to completion, </w:t>
      </w:r>
      <w:r>
        <w:rPr>
          <w:rFonts w:cs="Arial"/>
          <w:sz w:val="22"/>
          <w:szCs w:val="22"/>
        </w:rPr>
        <w:t xml:space="preserve">and publicise any improvements through a regular newsletter, </w:t>
      </w:r>
      <w:r w:rsidRPr="00062A7B">
        <w:rPr>
          <w:rFonts w:cs="Arial"/>
          <w:sz w:val="22"/>
          <w:szCs w:val="22"/>
        </w:rPr>
        <w:t xml:space="preserve">thus enhancing operational preparedness, operational response and operational learning.  </w:t>
      </w:r>
    </w:p>
    <w:p w:rsidR="0074704F" w:rsidRPr="00062A7B" w:rsidRDefault="0074704F" w:rsidP="0074704F">
      <w:pPr>
        <w:jc w:val="both"/>
        <w:rPr>
          <w:rFonts w:cs="Arial"/>
          <w:sz w:val="22"/>
          <w:szCs w:val="22"/>
        </w:rPr>
      </w:pPr>
    </w:p>
    <w:p w:rsidR="0074704F" w:rsidRPr="000D473F" w:rsidRDefault="0074704F" w:rsidP="0074704F">
      <w:pPr>
        <w:numPr>
          <w:ilvl w:val="0"/>
          <w:numId w:val="40"/>
        </w:numPr>
        <w:tabs>
          <w:tab w:val="clear" w:pos="360"/>
          <w:tab w:val="num" w:pos="284"/>
        </w:tabs>
        <w:ind w:left="284" w:hanging="284"/>
        <w:jc w:val="both"/>
        <w:rPr>
          <w:rFonts w:cs="Arial"/>
          <w:sz w:val="22"/>
          <w:szCs w:val="22"/>
        </w:rPr>
      </w:pPr>
      <w:r>
        <w:rPr>
          <w:rFonts w:cs="Arial"/>
          <w:sz w:val="22"/>
          <w:szCs w:val="22"/>
        </w:rPr>
        <w:t>A revised p</w:t>
      </w:r>
      <w:r w:rsidRPr="000D473F">
        <w:rPr>
          <w:rFonts w:cs="Arial"/>
          <w:sz w:val="22"/>
          <w:szCs w:val="22"/>
        </w:rPr>
        <w:t xml:space="preserve">erformance appraisal incorporating values was implemented and rolled out across </w:t>
      </w:r>
      <w:r>
        <w:rPr>
          <w:rFonts w:cs="Arial"/>
          <w:sz w:val="22"/>
          <w:szCs w:val="22"/>
        </w:rPr>
        <w:t>the</w:t>
      </w:r>
      <w:r w:rsidRPr="000D473F">
        <w:rPr>
          <w:rFonts w:cs="Arial"/>
          <w:sz w:val="22"/>
          <w:szCs w:val="22"/>
        </w:rPr>
        <w:t xml:space="preserve"> Ser</w:t>
      </w:r>
      <w:r>
        <w:rPr>
          <w:rFonts w:cs="Arial"/>
          <w:sz w:val="22"/>
          <w:szCs w:val="22"/>
        </w:rPr>
        <w:t>vi</w:t>
      </w:r>
      <w:r w:rsidRPr="000D473F">
        <w:rPr>
          <w:rFonts w:cs="Arial"/>
          <w:sz w:val="22"/>
          <w:szCs w:val="22"/>
        </w:rPr>
        <w:t>ce</w:t>
      </w:r>
    </w:p>
    <w:p w:rsidR="0074704F" w:rsidRDefault="0074704F" w:rsidP="0074704F">
      <w:pPr>
        <w:pStyle w:val="ListParagraph"/>
        <w:rPr>
          <w:rFonts w:cs="Arial"/>
          <w:sz w:val="22"/>
          <w:szCs w:val="22"/>
        </w:rPr>
      </w:pPr>
    </w:p>
    <w:p w:rsidR="0074704F" w:rsidRPr="00213F42"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Internal Audit services were provided by Lancashire County Council</w:t>
      </w:r>
      <w:proofErr w:type="gramStart"/>
      <w:r w:rsidRPr="00213F42">
        <w:rPr>
          <w:rFonts w:cs="Arial"/>
          <w:sz w:val="22"/>
          <w:szCs w:val="22"/>
        </w:rPr>
        <w:t>,  who</w:t>
      </w:r>
      <w:proofErr w:type="gramEnd"/>
      <w:r w:rsidRPr="00213F42">
        <w:rPr>
          <w:rFonts w:cs="Arial"/>
          <w:sz w:val="22"/>
          <w:szCs w:val="22"/>
        </w:rPr>
        <w:t xml:space="preserve"> comply with CIPFA’s Code of Internal Audit Practice. The service is designed to give assurance that the Authority maintains adequate systems of internal control and to make recommendations on ways to enhance these where felt necessary. </w:t>
      </w:r>
    </w:p>
    <w:p w:rsidR="0074704F" w:rsidRPr="00213F42" w:rsidRDefault="0074704F" w:rsidP="0074704F">
      <w:pPr>
        <w:pStyle w:val="ListParagraph"/>
        <w:rPr>
          <w:rFonts w:cs="Arial"/>
          <w:sz w:val="22"/>
          <w:szCs w:val="22"/>
        </w:rPr>
      </w:pPr>
    </w:p>
    <w:p w:rsidR="0074704F" w:rsidRDefault="0074704F" w:rsidP="0074704F">
      <w:pPr>
        <w:numPr>
          <w:ilvl w:val="0"/>
          <w:numId w:val="40"/>
        </w:numPr>
        <w:tabs>
          <w:tab w:val="clear" w:pos="360"/>
          <w:tab w:val="num" w:pos="284"/>
          <w:tab w:val="num" w:pos="880"/>
        </w:tabs>
        <w:ind w:left="284" w:hanging="284"/>
        <w:jc w:val="both"/>
        <w:rPr>
          <w:rFonts w:cs="Arial"/>
          <w:sz w:val="22"/>
          <w:szCs w:val="22"/>
        </w:rPr>
      </w:pPr>
      <w:r>
        <w:rPr>
          <w:rFonts w:cs="Arial"/>
          <w:sz w:val="22"/>
          <w:szCs w:val="22"/>
        </w:rPr>
        <w:t xml:space="preserve">We have undertaken an Assurance mapping exercise, with our Internal Auditors, which has confirmed that a strong assurance framework is in place. </w:t>
      </w:r>
    </w:p>
    <w:p w:rsidR="0074704F" w:rsidRDefault="0074704F" w:rsidP="0074704F">
      <w:pPr>
        <w:pStyle w:val="ListParagraph"/>
        <w:rPr>
          <w:rFonts w:cs="Arial"/>
          <w:sz w:val="22"/>
          <w:szCs w:val="22"/>
        </w:rPr>
      </w:pPr>
    </w:p>
    <w:p w:rsidR="0074704F" w:rsidRPr="00E97985" w:rsidRDefault="0074704F" w:rsidP="0074704F">
      <w:pPr>
        <w:numPr>
          <w:ilvl w:val="0"/>
          <w:numId w:val="40"/>
        </w:numPr>
        <w:tabs>
          <w:tab w:val="clear" w:pos="360"/>
          <w:tab w:val="num" w:pos="284"/>
          <w:tab w:val="num" w:pos="880"/>
        </w:tabs>
        <w:ind w:left="284" w:hanging="284"/>
        <w:jc w:val="both"/>
        <w:rPr>
          <w:rFonts w:cs="Arial"/>
          <w:sz w:val="22"/>
          <w:szCs w:val="22"/>
        </w:rPr>
      </w:pPr>
      <w:r w:rsidRPr="0082612F">
        <w:rPr>
          <w:rFonts w:cs="Arial"/>
          <w:sz w:val="22"/>
          <w:szCs w:val="22"/>
        </w:rPr>
        <w:t>As part of the 201</w:t>
      </w:r>
      <w:r>
        <w:rPr>
          <w:rFonts w:cs="Arial"/>
          <w:sz w:val="22"/>
          <w:szCs w:val="22"/>
        </w:rPr>
        <w:t>7/18</w:t>
      </w:r>
      <w:r w:rsidRPr="0082612F">
        <w:rPr>
          <w:rFonts w:cs="Arial"/>
          <w:sz w:val="22"/>
          <w:szCs w:val="22"/>
        </w:rPr>
        <w:t xml:space="preserve"> audit plan the auditors undertook various reviews and gave the overall opinion that they can “</w:t>
      </w:r>
      <w:r w:rsidRPr="00E97985">
        <w:rPr>
          <w:rFonts w:cs="Arial"/>
          <w:i/>
          <w:sz w:val="22"/>
          <w:szCs w:val="22"/>
        </w:rPr>
        <w:t xml:space="preserve">provide substantial assurance over the framework of governance, risk management and control for 2017/18” </w:t>
      </w:r>
      <w:r w:rsidRPr="00E97985">
        <w:rPr>
          <w:rFonts w:cs="Arial"/>
          <w:sz w:val="22"/>
          <w:szCs w:val="22"/>
        </w:rPr>
        <w:t>and</w:t>
      </w:r>
      <w:r w:rsidRPr="00E97985">
        <w:rPr>
          <w:rFonts w:cs="Arial"/>
          <w:i/>
          <w:sz w:val="22"/>
          <w:szCs w:val="22"/>
        </w:rPr>
        <w:t xml:space="preserve"> “that there is a generally sound system of internal control, adequately designed to meet the objectives of Lancashire Combined Fire Authority and controls were generally applied consistently</w:t>
      </w:r>
      <w:r w:rsidRPr="00E97985">
        <w:rPr>
          <w:rFonts w:cs="Arial"/>
          <w:sz w:val="22"/>
          <w:szCs w:val="22"/>
        </w:rPr>
        <w:t>.”</w:t>
      </w:r>
    </w:p>
    <w:p w:rsidR="0074704F" w:rsidRPr="00213F42" w:rsidRDefault="0074704F" w:rsidP="0074704F">
      <w:pPr>
        <w:jc w:val="both"/>
        <w:rPr>
          <w:rFonts w:cs="Arial"/>
          <w:sz w:val="22"/>
          <w:szCs w:val="22"/>
        </w:rPr>
      </w:pPr>
    </w:p>
    <w:p w:rsidR="0074704F" w:rsidRPr="00CE2839" w:rsidRDefault="0074704F" w:rsidP="0074704F">
      <w:pPr>
        <w:numPr>
          <w:ilvl w:val="0"/>
          <w:numId w:val="40"/>
        </w:numPr>
        <w:tabs>
          <w:tab w:val="clear" w:pos="360"/>
          <w:tab w:val="num" w:pos="284"/>
        </w:tabs>
        <w:ind w:left="284" w:hanging="284"/>
        <w:jc w:val="both"/>
        <w:rPr>
          <w:rFonts w:cs="Arial"/>
          <w:sz w:val="22"/>
          <w:szCs w:val="22"/>
        </w:rPr>
      </w:pPr>
      <w:r w:rsidRPr="00213F42">
        <w:rPr>
          <w:rFonts w:cs="Arial"/>
          <w:sz w:val="22"/>
          <w:szCs w:val="22"/>
        </w:rPr>
        <w:t xml:space="preserve">Grant Thornton </w:t>
      </w:r>
      <w:proofErr w:type="gramStart"/>
      <w:r w:rsidRPr="00213F42">
        <w:rPr>
          <w:rFonts w:cs="Arial"/>
          <w:sz w:val="22"/>
          <w:szCs w:val="22"/>
        </w:rPr>
        <w:t>provide</w:t>
      </w:r>
      <w:proofErr w:type="gramEnd"/>
      <w:r w:rsidRPr="00213F42">
        <w:rPr>
          <w:rFonts w:cs="Arial"/>
          <w:sz w:val="22"/>
          <w:szCs w:val="22"/>
        </w:rPr>
        <w:t xml:space="preserve"> an external audit service to the Authority, and as such the effectiveness of the system of internal controls is also informed by their work. The latest Annual Audit letter did not identify any significant weaknesses in internal control arrangement and provided</w:t>
      </w:r>
      <w:r>
        <w:rPr>
          <w:rFonts w:cs="Arial"/>
          <w:sz w:val="22"/>
          <w:szCs w:val="22"/>
        </w:rPr>
        <w:t xml:space="preserve"> </w:t>
      </w:r>
      <w:r w:rsidRPr="00213F42">
        <w:rPr>
          <w:rFonts w:cs="Arial"/>
          <w:sz w:val="22"/>
          <w:szCs w:val="22"/>
        </w:rPr>
        <w:t>the following audit conclusions in relation to 201</w:t>
      </w:r>
      <w:r>
        <w:rPr>
          <w:rFonts w:cs="Arial"/>
          <w:sz w:val="22"/>
          <w:szCs w:val="22"/>
        </w:rPr>
        <w:t>6/17</w:t>
      </w:r>
      <w:r w:rsidRPr="00213F42">
        <w:rPr>
          <w:rFonts w:cs="Arial"/>
          <w:sz w:val="22"/>
          <w:szCs w:val="22"/>
        </w:rPr>
        <w:t>:</w:t>
      </w:r>
      <w:r w:rsidRPr="00CE2839">
        <w:rPr>
          <w:rFonts w:cs="Arial"/>
          <w:sz w:val="22"/>
          <w:szCs w:val="22"/>
        </w:rPr>
        <w:t xml:space="preserve"> </w:t>
      </w:r>
    </w:p>
    <w:p w:rsidR="0074704F" w:rsidRPr="00E97985" w:rsidRDefault="0074704F" w:rsidP="0074704F">
      <w:pPr>
        <w:numPr>
          <w:ilvl w:val="1"/>
          <w:numId w:val="40"/>
        </w:numPr>
        <w:jc w:val="both"/>
        <w:rPr>
          <w:rFonts w:cs="Arial"/>
          <w:sz w:val="22"/>
          <w:szCs w:val="22"/>
        </w:rPr>
      </w:pPr>
      <w:r w:rsidRPr="00E97985">
        <w:rPr>
          <w:rFonts w:cs="Arial"/>
          <w:sz w:val="22"/>
          <w:szCs w:val="22"/>
        </w:rPr>
        <w:t>Financial statements – “</w:t>
      </w:r>
      <w:r w:rsidRPr="00E97985">
        <w:rPr>
          <w:rFonts w:cs="Arial"/>
          <w:i/>
          <w:sz w:val="22"/>
          <w:szCs w:val="22"/>
        </w:rPr>
        <w:t>We gave an unqualified opinion on the Authority's financial statements</w:t>
      </w:r>
      <w:r w:rsidRPr="00E97985">
        <w:rPr>
          <w:rFonts w:cs="Arial"/>
          <w:sz w:val="22"/>
          <w:szCs w:val="22"/>
        </w:rPr>
        <w:t>”</w:t>
      </w:r>
    </w:p>
    <w:p w:rsidR="0074704F" w:rsidRPr="00E97985" w:rsidRDefault="0074704F" w:rsidP="0074704F">
      <w:pPr>
        <w:numPr>
          <w:ilvl w:val="1"/>
          <w:numId w:val="40"/>
        </w:numPr>
        <w:tabs>
          <w:tab w:val="num" w:pos="284"/>
        </w:tabs>
        <w:jc w:val="both"/>
        <w:rPr>
          <w:rFonts w:cs="Arial"/>
          <w:sz w:val="22"/>
          <w:szCs w:val="22"/>
        </w:rPr>
      </w:pPr>
      <w:r w:rsidRPr="00E97985">
        <w:rPr>
          <w:rFonts w:cs="Arial"/>
          <w:sz w:val="22"/>
          <w:szCs w:val="22"/>
        </w:rPr>
        <w:t>Value for money conclusion – “</w:t>
      </w:r>
      <w:r w:rsidRPr="00E97985">
        <w:rPr>
          <w:rFonts w:cs="Arial"/>
          <w:i/>
          <w:sz w:val="22"/>
          <w:szCs w:val="22"/>
        </w:rPr>
        <w:t>We were satisfied that the Authority put in place proper arrangements to ensure economy, efficiency and effectiveness in its use of resources during the year</w:t>
      </w:r>
      <w:r w:rsidRPr="00E97985">
        <w:rPr>
          <w:rFonts w:cs="Arial"/>
          <w:sz w:val="22"/>
          <w:szCs w:val="22"/>
        </w:rPr>
        <w:t>”</w:t>
      </w:r>
      <w:r w:rsidRPr="00E97985">
        <w:rPr>
          <w:sz w:val="22"/>
          <w:szCs w:val="22"/>
        </w:rPr>
        <w:t xml:space="preserve"> </w:t>
      </w:r>
    </w:p>
    <w:p w:rsidR="0074704F" w:rsidRPr="00E97985" w:rsidRDefault="0074704F" w:rsidP="0074704F">
      <w:pPr>
        <w:tabs>
          <w:tab w:val="num" w:pos="284"/>
        </w:tabs>
        <w:jc w:val="both"/>
        <w:rPr>
          <w:rFonts w:cs="Arial"/>
          <w:sz w:val="22"/>
          <w:szCs w:val="22"/>
        </w:rPr>
      </w:pPr>
    </w:p>
    <w:p w:rsidR="003E0FBC" w:rsidRDefault="003E0FBC">
      <w:pPr>
        <w:rPr>
          <w:rFonts w:cs="Arial"/>
          <w:sz w:val="22"/>
          <w:szCs w:val="22"/>
        </w:rPr>
      </w:pPr>
      <w:r>
        <w:rPr>
          <w:rFonts w:cs="Arial"/>
          <w:sz w:val="22"/>
          <w:szCs w:val="22"/>
        </w:rPr>
        <w:br w:type="page"/>
      </w:r>
    </w:p>
    <w:p w:rsidR="0074704F" w:rsidRDefault="0074704F" w:rsidP="0074704F">
      <w:pPr>
        <w:jc w:val="both"/>
        <w:rPr>
          <w:rFonts w:cs="Arial"/>
          <w:sz w:val="22"/>
          <w:szCs w:val="22"/>
        </w:rPr>
      </w:pPr>
      <w:r w:rsidRPr="00213F42">
        <w:rPr>
          <w:rFonts w:cs="Arial"/>
          <w:sz w:val="22"/>
          <w:szCs w:val="22"/>
        </w:rPr>
        <w:lastRenderedPageBreak/>
        <w:t xml:space="preserve">Last year’s Annual Governance Statement identified </w:t>
      </w:r>
      <w:r>
        <w:rPr>
          <w:rFonts w:cs="Arial"/>
          <w:sz w:val="22"/>
          <w:szCs w:val="22"/>
        </w:rPr>
        <w:t xml:space="preserve">a number of areas </w:t>
      </w:r>
      <w:r w:rsidRPr="00213F42">
        <w:rPr>
          <w:rFonts w:cs="Arial"/>
          <w:sz w:val="22"/>
          <w:szCs w:val="22"/>
        </w:rPr>
        <w:t>for improvement</w:t>
      </w:r>
      <w:r>
        <w:rPr>
          <w:rFonts w:cs="Arial"/>
          <w:sz w:val="22"/>
          <w:szCs w:val="22"/>
        </w:rPr>
        <w:t>, and progress against these are set out below</w:t>
      </w:r>
      <w:r w:rsidRPr="00213F42">
        <w:rPr>
          <w:rFonts w:cs="Arial"/>
          <w:sz w:val="22"/>
          <w:szCs w:val="22"/>
        </w:rPr>
        <w:t>:-</w:t>
      </w:r>
    </w:p>
    <w:p w:rsidR="0074704F" w:rsidRDefault="0074704F" w:rsidP="0074704F">
      <w:pPr>
        <w:jc w:val="both"/>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418"/>
        <w:gridCol w:w="1417"/>
      </w:tblGrid>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Area for Improvement</w:t>
            </w: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Action to date</w:t>
            </w:r>
          </w:p>
        </w:tc>
        <w:tc>
          <w:tcPr>
            <w:tcW w:w="1418"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Completed/</w:t>
            </w:r>
          </w:p>
          <w:p w:rsidR="0074704F" w:rsidRPr="00E40A27" w:rsidRDefault="0074704F" w:rsidP="00B6512C">
            <w:pPr>
              <w:jc w:val="both"/>
              <w:rPr>
                <w:rFonts w:cs="Arial"/>
                <w:color w:val="000000"/>
                <w:sz w:val="20"/>
              </w:rPr>
            </w:pPr>
            <w:r w:rsidRPr="00E40A27">
              <w:rPr>
                <w:rFonts w:cs="Arial"/>
                <w:color w:val="000000"/>
                <w:sz w:val="20"/>
              </w:rPr>
              <w:t>On-going</w:t>
            </w:r>
          </w:p>
        </w:tc>
        <w:tc>
          <w:tcPr>
            <w:tcW w:w="1417" w:type="dxa"/>
          </w:tcPr>
          <w:p w:rsidR="0074704F" w:rsidRPr="00E40A27" w:rsidRDefault="0074704F" w:rsidP="00B6512C">
            <w:pPr>
              <w:rPr>
                <w:rFonts w:cs="Arial"/>
                <w:color w:val="000000"/>
                <w:sz w:val="20"/>
              </w:rPr>
            </w:pPr>
            <w:r w:rsidRPr="00E40A27">
              <w:rPr>
                <w:rFonts w:cs="Arial"/>
                <w:color w:val="000000"/>
                <w:sz w:val="20"/>
              </w:rPr>
              <w:t>Owner</w:t>
            </w:r>
          </w:p>
        </w:tc>
      </w:tr>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The Services Information Management Strategy needs to be reviewed and updated to take account of changing requirements.</w:t>
            </w: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 xml:space="preserve">Information Management Strategy and a number of underpinning policies agreed. </w:t>
            </w:r>
          </w:p>
          <w:p w:rsidR="0074704F" w:rsidRPr="00E40A27" w:rsidRDefault="0074704F" w:rsidP="00B6512C">
            <w:pPr>
              <w:jc w:val="both"/>
              <w:rPr>
                <w:rFonts w:cs="Arial"/>
                <w:color w:val="000000"/>
                <w:sz w:val="20"/>
              </w:rPr>
            </w:pPr>
            <w:r w:rsidRPr="00E40A27">
              <w:rPr>
                <w:rFonts w:cs="Arial"/>
                <w:color w:val="000000"/>
                <w:sz w:val="20"/>
              </w:rPr>
              <w:t>A road map of work to be undertaken has been produced based around 3 key themes which set the direction of travel for the Service.</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Governance</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Quality</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Delivery</w:t>
            </w:r>
          </w:p>
          <w:p w:rsidR="0074704F" w:rsidRPr="00E40A27" w:rsidRDefault="0074704F" w:rsidP="00B6512C">
            <w:pPr>
              <w:jc w:val="both"/>
              <w:rPr>
                <w:rFonts w:cs="Arial"/>
                <w:sz w:val="20"/>
              </w:rPr>
            </w:pPr>
            <w:r w:rsidRPr="00E40A27">
              <w:rPr>
                <w:rFonts w:cs="Arial"/>
                <w:color w:val="000000"/>
                <w:sz w:val="20"/>
              </w:rPr>
              <w:t>Key projects</w:t>
            </w:r>
            <w:r>
              <w:rPr>
                <w:rFonts w:cs="Arial"/>
                <w:color w:val="000000"/>
                <w:sz w:val="20"/>
              </w:rPr>
              <w:t xml:space="preserve"> agreed</w:t>
            </w:r>
          </w:p>
          <w:p w:rsidR="0074704F" w:rsidRPr="00E40A27" w:rsidRDefault="0074704F" w:rsidP="00B6512C">
            <w:pPr>
              <w:ind w:left="317"/>
              <w:jc w:val="both"/>
              <w:rPr>
                <w:rFonts w:cs="Arial"/>
                <w:color w:val="000000"/>
                <w:sz w:val="20"/>
              </w:rPr>
            </w:pPr>
          </w:p>
        </w:tc>
        <w:tc>
          <w:tcPr>
            <w:tcW w:w="1418" w:type="dxa"/>
            <w:shd w:val="clear" w:color="auto" w:fill="auto"/>
          </w:tcPr>
          <w:p w:rsidR="0074704F" w:rsidRPr="00E40A27" w:rsidRDefault="0074704F" w:rsidP="00B6512C">
            <w:pPr>
              <w:jc w:val="both"/>
              <w:rPr>
                <w:rFonts w:cs="Arial"/>
                <w:color w:val="000000"/>
                <w:sz w:val="20"/>
              </w:rPr>
            </w:pPr>
            <w:r>
              <w:rPr>
                <w:rFonts w:cs="Arial"/>
                <w:color w:val="000000"/>
                <w:sz w:val="20"/>
              </w:rPr>
              <w:t>Complete</w:t>
            </w:r>
          </w:p>
          <w:p w:rsidR="0074704F" w:rsidRPr="00E40A27" w:rsidRDefault="0074704F" w:rsidP="00B6512C">
            <w:pPr>
              <w:jc w:val="both"/>
              <w:rPr>
                <w:rFonts w:cs="Arial"/>
                <w:color w:val="000000"/>
                <w:sz w:val="20"/>
              </w:rPr>
            </w:pPr>
          </w:p>
          <w:p w:rsidR="0074704F" w:rsidRPr="00E40A27" w:rsidRDefault="0074704F" w:rsidP="00B6512C">
            <w:pPr>
              <w:jc w:val="both"/>
              <w:rPr>
                <w:rFonts w:cs="Arial"/>
                <w:color w:val="000000"/>
                <w:sz w:val="20"/>
              </w:rPr>
            </w:pPr>
          </w:p>
          <w:p w:rsidR="0074704F" w:rsidRPr="00E40A27" w:rsidRDefault="0074704F" w:rsidP="00B6512C">
            <w:pPr>
              <w:jc w:val="both"/>
              <w:rPr>
                <w:rFonts w:cs="Arial"/>
                <w:color w:val="000000"/>
                <w:sz w:val="20"/>
              </w:rPr>
            </w:pPr>
          </w:p>
          <w:p w:rsidR="0074704F" w:rsidRDefault="0074704F" w:rsidP="00B6512C">
            <w:pPr>
              <w:jc w:val="both"/>
              <w:rPr>
                <w:rFonts w:cs="Arial"/>
                <w:color w:val="000000"/>
                <w:sz w:val="20"/>
              </w:rPr>
            </w:pPr>
          </w:p>
          <w:p w:rsidR="0074704F" w:rsidRDefault="0074704F" w:rsidP="00B6512C">
            <w:pPr>
              <w:jc w:val="both"/>
              <w:rPr>
                <w:rFonts w:cs="Arial"/>
                <w:color w:val="000000"/>
                <w:sz w:val="20"/>
              </w:rPr>
            </w:pPr>
          </w:p>
          <w:p w:rsidR="0074704F" w:rsidRDefault="0074704F" w:rsidP="00B6512C">
            <w:pPr>
              <w:jc w:val="both"/>
              <w:rPr>
                <w:rFonts w:cs="Arial"/>
                <w:color w:val="000000"/>
                <w:sz w:val="20"/>
              </w:rPr>
            </w:pPr>
          </w:p>
          <w:p w:rsidR="0074704F" w:rsidRPr="00E40A27" w:rsidRDefault="0074704F" w:rsidP="00B6512C">
            <w:pPr>
              <w:jc w:val="both"/>
              <w:rPr>
                <w:rFonts w:cs="Arial"/>
                <w:color w:val="000000"/>
                <w:sz w:val="20"/>
              </w:rPr>
            </w:pPr>
          </w:p>
        </w:tc>
        <w:tc>
          <w:tcPr>
            <w:tcW w:w="1417" w:type="dxa"/>
          </w:tcPr>
          <w:p w:rsidR="0074704F" w:rsidRPr="00E40A27" w:rsidRDefault="0074704F" w:rsidP="00B6512C">
            <w:pPr>
              <w:rPr>
                <w:rFonts w:cs="Arial"/>
                <w:color w:val="000000"/>
                <w:sz w:val="20"/>
              </w:rPr>
            </w:pPr>
            <w:r w:rsidRPr="00E40A27">
              <w:rPr>
                <w:rFonts w:cs="Arial"/>
                <w:color w:val="000000"/>
                <w:sz w:val="20"/>
              </w:rPr>
              <w:t>Head of Service Development</w:t>
            </w:r>
          </w:p>
        </w:tc>
      </w:tr>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Undertake a Governance review, including Committee Terms of Reference, Standing Orders, Scheme of Delegation and Financial Regulations</w:t>
            </w: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Review of Committees Terms of Reference complete and agreed at CFA in April.</w:t>
            </w:r>
          </w:p>
          <w:p w:rsidR="0074704F" w:rsidRPr="00E40A27" w:rsidRDefault="0074704F" w:rsidP="00B6512C">
            <w:pPr>
              <w:jc w:val="both"/>
              <w:rPr>
                <w:rFonts w:cs="Arial"/>
                <w:color w:val="000000"/>
                <w:sz w:val="20"/>
              </w:rPr>
            </w:pPr>
            <w:r w:rsidRPr="00E40A27">
              <w:rPr>
                <w:rFonts w:cs="Arial"/>
                <w:color w:val="000000"/>
                <w:sz w:val="20"/>
              </w:rPr>
              <w:t>Review of Contract Standing Orders and Financial Regulations complete and agreed at Audit Committee in March.</w:t>
            </w:r>
          </w:p>
          <w:p w:rsidR="0074704F" w:rsidRPr="00E40A27" w:rsidRDefault="0074704F" w:rsidP="00B6512C">
            <w:pPr>
              <w:jc w:val="both"/>
              <w:rPr>
                <w:rFonts w:cs="Arial"/>
                <w:color w:val="000000"/>
                <w:sz w:val="20"/>
              </w:rPr>
            </w:pPr>
            <w:r w:rsidRPr="00E40A27">
              <w:rPr>
                <w:rFonts w:cs="Arial"/>
                <w:color w:val="000000"/>
                <w:sz w:val="20"/>
              </w:rPr>
              <w:t>Procedural Standing Orders reviewed but no changes identified.</w:t>
            </w:r>
          </w:p>
          <w:p w:rsidR="0074704F" w:rsidRPr="00E40A27" w:rsidRDefault="00103E3D" w:rsidP="00B6512C">
            <w:pPr>
              <w:jc w:val="both"/>
              <w:rPr>
                <w:rFonts w:cs="Arial"/>
                <w:color w:val="000000"/>
                <w:sz w:val="20"/>
              </w:rPr>
            </w:pPr>
            <w:r w:rsidRPr="00E40A27">
              <w:rPr>
                <w:rFonts w:cs="Arial"/>
                <w:color w:val="000000"/>
                <w:sz w:val="20"/>
              </w:rPr>
              <w:t xml:space="preserve">Review of Scheme of Delegation complete and </w:t>
            </w:r>
            <w:r>
              <w:rPr>
                <w:rFonts w:cs="Arial"/>
                <w:color w:val="000000"/>
                <w:sz w:val="20"/>
              </w:rPr>
              <w:t>due to be reported to Audit Committee in July</w:t>
            </w:r>
          </w:p>
        </w:tc>
        <w:tc>
          <w:tcPr>
            <w:tcW w:w="1418"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Complete</w:t>
            </w:r>
          </w:p>
        </w:tc>
        <w:tc>
          <w:tcPr>
            <w:tcW w:w="1417" w:type="dxa"/>
          </w:tcPr>
          <w:p w:rsidR="0074704F" w:rsidRPr="00E40A27" w:rsidRDefault="0074704F" w:rsidP="00B6512C">
            <w:pPr>
              <w:rPr>
                <w:rFonts w:cs="Arial"/>
                <w:color w:val="000000"/>
                <w:sz w:val="20"/>
              </w:rPr>
            </w:pPr>
            <w:r w:rsidRPr="00E40A27">
              <w:rPr>
                <w:rFonts w:cs="Arial"/>
                <w:color w:val="000000"/>
                <w:sz w:val="20"/>
              </w:rPr>
              <w:t>Clerk</w:t>
            </w:r>
          </w:p>
        </w:tc>
      </w:tr>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Review partnership engagement and opportunities, including develop strategic alliance with Lancashire Constabulary</w:t>
            </w:r>
          </w:p>
          <w:p w:rsidR="0074704F" w:rsidRPr="00E40A27" w:rsidRDefault="0074704F" w:rsidP="00B6512C">
            <w:pPr>
              <w:rPr>
                <w:rFonts w:cs="Arial"/>
                <w:color w:val="000000"/>
                <w:sz w:val="20"/>
              </w:rPr>
            </w:pP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A framework has been developed to review potential partnership arrangements utilising the following criteria:</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Will it make Lancashire Safer?</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Will undertaking the activity potentially damage our brand?</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Does it fit with the public image of the FRS?</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Will it detract from our ability to undertake other operational or preventative functions, if so to what extent?</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Is there a significant negative financial impact?</w:t>
            </w:r>
          </w:p>
          <w:p w:rsidR="0074704F" w:rsidRPr="00E40A27" w:rsidRDefault="0074704F" w:rsidP="0074704F">
            <w:pPr>
              <w:numPr>
                <w:ilvl w:val="0"/>
                <w:numId w:val="41"/>
              </w:numPr>
              <w:ind w:left="317" w:hanging="218"/>
              <w:jc w:val="both"/>
              <w:rPr>
                <w:rFonts w:cs="Arial"/>
                <w:color w:val="000000"/>
                <w:sz w:val="20"/>
              </w:rPr>
            </w:pPr>
            <w:r w:rsidRPr="00E40A27">
              <w:rPr>
                <w:rFonts w:cs="Arial"/>
                <w:color w:val="000000"/>
                <w:sz w:val="20"/>
              </w:rPr>
              <w:t xml:space="preserve">Is the activity likely to fit comfortably with our stakeholders (Trade Unions, Firefighters, CFS staff, Partners, Home Office, </w:t>
            </w:r>
            <w:proofErr w:type="spellStart"/>
            <w:r w:rsidRPr="00E40A27">
              <w:rPr>
                <w:rFonts w:cs="Arial"/>
                <w:color w:val="000000"/>
                <w:sz w:val="20"/>
              </w:rPr>
              <w:t>etc</w:t>
            </w:r>
            <w:proofErr w:type="spellEnd"/>
            <w:r w:rsidRPr="00E40A27">
              <w:rPr>
                <w:rFonts w:cs="Arial"/>
                <w:color w:val="000000"/>
                <w:sz w:val="20"/>
              </w:rPr>
              <w:t>)?</w:t>
            </w:r>
          </w:p>
          <w:p w:rsidR="0074704F" w:rsidRPr="00E40A27" w:rsidRDefault="0074704F" w:rsidP="00B6512C">
            <w:pPr>
              <w:jc w:val="both"/>
              <w:rPr>
                <w:rFonts w:cs="Arial"/>
                <w:color w:val="000000"/>
                <w:sz w:val="20"/>
              </w:rPr>
            </w:pPr>
            <w:r w:rsidRPr="00E40A27">
              <w:rPr>
                <w:rFonts w:cs="Arial"/>
                <w:color w:val="000000"/>
                <w:sz w:val="20"/>
              </w:rPr>
              <w:t>Statement of Intent: Enhanced Collaboration between LFRS and Constabulary drafted and approved at Joint Exec Board.</w:t>
            </w:r>
          </w:p>
          <w:p w:rsidR="0074704F" w:rsidRDefault="0074704F" w:rsidP="00B6512C">
            <w:pPr>
              <w:jc w:val="both"/>
              <w:rPr>
                <w:rFonts w:cs="Arial"/>
                <w:color w:val="000000"/>
                <w:sz w:val="20"/>
              </w:rPr>
            </w:pPr>
            <w:r w:rsidRPr="00E40A27">
              <w:rPr>
                <w:rFonts w:cs="Arial"/>
                <w:color w:val="000000"/>
                <w:sz w:val="20"/>
              </w:rPr>
              <w:t xml:space="preserve">Programme managers appointed within </w:t>
            </w:r>
            <w:proofErr w:type="gramStart"/>
            <w:r w:rsidRPr="00E40A27">
              <w:rPr>
                <w:rFonts w:cs="Arial"/>
                <w:color w:val="000000"/>
                <w:sz w:val="20"/>
              </w:rPr>
              <w:t>both  LFRS</w:t>
            </w:r>
            <w:proofErr w:type="gramEnd"/>
            <w:r w:rsidRPr="00E40A27">
              <w:rPr>
                <w:rFonts w:cs="Arial"/>
                <w:color w:val="000000"/>
                <w:sz w:val="20"/>
              </w:rPr>
              <w:t xml:space="preserve"> and Constabulary</w:t>
            </w:r>
            <w:r>
              <w:rPr>
                <w:rFonts w:cs="Arial"/>
                <w:color w:val="000000"/>
                <w:sz w:val="20"/>
              </w:rPr>
              <w:t>.</w:t>
            </w:r>
          </w:p>
          <w:p w:rsidR="0074704F" w:rsidRDefault="0074704F" w:rsidP="00B6512C">
            <w:pPr>
              <w:jc w:val="both"/>
              <w:rPr>
                <w:rFonts w:cs="Arial"/>
                <w:color w:val="000000"/>
                <w:sz w:val="20"/>
              </w:rPr>
            </w:pPr>
            <w:r w:rsidRPr="00E40A27">
              <w:rPr>
                <w:rFonts w:cs="Arial"/>
                <w:color w:val="000000"/>
                <w:sz w:val="20"/>
              </w:rPr>
              <w:t xml:space="preserve">Collaboration group established and opportunities </w:t>
            </w:r>
            <w:r>
              <w:rPr>
                <w:rFonts w:cs="Arial"/>
                <w:color w:val="000000"/>
                <w:sz w:val="20"/>
              </w:rPr>
              <w:t>for review agreed.</w:t>
            </w:r>
          </w:p>
          <w:p w:rsidR="0074704F" w:rsidRPr="00E40A27" w:rsidRDefault="0074704F" w:rsidP="00B6512C">
            <w:pPr>
              <w:jc w:val="both"/>
              <w:rPr>
                <w:rFonts w:cs="Arial"/>
                <w:color w:val="000000"/>
                <w:sz w:val="20"/>
              </w:rPr>
            </w:pPr>
            <w:r w:rsidRPr="00E40A27">
              <w:rPr>
                <w:rFonts w:cs="Arial"/>
                <w:color w:val="000000"/>
                <w:sz w:val="20"/>
              </w:rPr>
              <w:t>This will form part of on-going programme</w:t>
            </w:r>
          </w:p>
        </w:tc>
        <w:tc>
          <w:tcPr>
            <w:tcW w:w="1418"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Complete</w:t>
            </w:r>
          </w:p>
        </w:tc>
        <w:tc>
          <w:tcPr>
            <w:tcW w:w="1417" w:type="dxa"/>
          </w:tcPr>
          <w:p w:rsidR="0074704F" w:rsidRPr="00E40A27" w:rsidRDefault="0074704F" w:rsidP="00B6512C">
            <w:pPr>
              <w:rPr>
                <w:rFonts w:cs="Arial"/>
                <w:color w:val="000000"/>
                <w:sz w:val="20"/>
              </w:rPr>
            </w:pPr>
            <w:r w:rsidRPr="00E40A27">
              <w:rPr>
                <w:rFonts w:cs="Arial"/>
                <w:color w:val="000000"/>
                <w:sz w:val="20"/>
              </w:rPr>
              <w:t>Head of Service Delivery</w:t>
            </w:r>
          </w:p>
        </w:tc>
      </w:tr>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Implement revised staff induction programme</w:t>
            </w: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 xml:space="preserve">The staff induction programme has been revised and updated.  A learn pro induction module </w:t>
            </w:r>
            <w:r>
              <w:rPr>
                <w:rFonts w:cs="Arial"/>
                <w:color w:val="000000"/>
                <w:sz w:val="20"/>
              </w:rPr>
              <w:t xml:space="preserve">has been </w:t>
            </w:r>
            <w:r w:rsidRPr="00E40A27">
              <w:rPr>
                <w:rFonts w:cs="Arial"/>
                <w:color w:val="000000"/>
                <w:sz w:val="20"/>
              </w:rPr>
              <w:t>develop</w:t>
            </w:r>
            <w:r>
              <w:rPr>
                <w:rFonts w:cs="Arial"/>
                <w:color w:val="000000"/>
                <w:sz w:val="20"/>
              </w:rPr>
              <w:t>ed to support this process.</w:t>
            </w:r>
            <w:r w:rsidRPr="00E40A27">
              <w:rPr>
                <w:rFonts w:cs="Arial"/>
                <w:color w:val="000000"/>
                <w:sz w:val="20"/>
              </w:rPr>
              <w:t xml:space="preserve"> </w:t>
            </w:r>
          </w:p>
          <w:p w:rsidR="0074704F" w:rsidRPr="00E40A27" w:rsidRDefault="0074704F" w:rsidP="00B6512C">
            <w:pPr>
              <w:jc w:val="both"/>
              <w:rPr>
                <w:rFonts w:cs="Arial"/>
                <w:color w:val="000000"/>
                <w:sz w:val="20"/>
              </w:rPr>
            </w:pPr>
          </w:p>
        </w:tc>
        <w:tc>
          <w:tcPr>
            <w:tcW w:w="1418"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Complete</w:t>
            </w:r>
          </w:p>
        </w:tc>
        <w:tc>
          <w:tcPr>
            <w:tcW w:w="1417" w:type="dxa"/>
          </w:tcPr>
          <w:p w:rsidR="0074704F" w:rsidRPr="00E40A27" w:rsidRDefault="0074704F" w:rsidP="00B6512C">
            <w:pPr>
              <w:rPr>
                <w:rFonts w:cs="Arial"/>
                <w:color w:val="000000"/>
                <w:sz w:val="20"/>
              </w:rPr>
            </w:pPr>
            <w:r w:rsidRPr="00E40A27">
              <w:rPr>
                <w:rFonts w:cs="Arial"/>
                <w:color w:val="000000"/>
                <w:sz w:val="20"/>
              </w:rPr>
              <w:t>Head of Human Resources</w:t>
            </w:r>
          </w:p>
        </w:tc>
      </w:tr>
      <w:tr w:rsidR="0074704F" w:rsidRPr="00E40A27" w:rsidTr="00854EFD">
        <w:tc>
          <w:tcPr>
            <w:tcW w:w="1809" w:type="dxa"/>
            <w:shd w:val="clear" w:color="auto" w:fill="auto"/>
          </w:tcPr>
          <w:p w:rsidR="0074704F" w:rsidRPr="00E40A27" w:rsidRDefault="0074704F" w:rsidP="00B6512C">
            <w:pPr>
              <w:rPr>
                <w:rFonts w:cs="Arial"/>
                <w:color w:val="000000"/>
                <w:sz w:val="20"/>
              </w:rPr>
            </w:pPr>
            <w:r w:rsidRPr="00E40A27">
              <w:rPr>
                <w:rFonts w:cs="Arial"/>
                <w:color w:val="000000"/>
                <w:sz w:val="20"/>
              </w:rPr>
              <w:t>Implement Leadership Conference</w:t>
            </w:r>
          </w:p>
        </w:tc>
        <w:tc>
          <w:tcPr>
            <w:tcW w:w="5103"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Three Leadership conferences delivered, Spring 2017, Autumn 2017 and Spring 201</w:t>
            </w:r>
            <w:r>
              <w:rPr>
                <w:rFonts w:cs="Arial"/>
                <w:color w:val="000000"/>
                <w:sz w:val="20"/>
              </w:rPr>
              <w:t>8</w:t>
            </w:r>
            <w:r w:rsidRPr="00E40A27">
              <w:rPr>
                <w:rFonts w:cs="Arial"/>
                <w:color w:val="000000"/>
                <w:sz w:val="20"/>
              </w:rPr>
              <w:t>.</w:t>
            </w:r>
          </w:p>
          <w:p w:rsidR="0074704F" w:rsidRPr="00E40A27" w:rsidRDefault="0074704F" w:rsidP="00B6512C">
            <w:pPr>
              <w:jc w:val="both"/>
              <w:rPr>
                <w:rFonts w:cs="Arial"/>
                <w:color w:val="000000"/>
                <w:sz w:val="20"/>
              </w:rPr>
            </w:pPr>
            <w:r w:rsidRPr="00E40A27">
              <w:rPr>
                <w:rFonts w:cs="Arial"/>
                <w:color w:val="000000"/>
                <w:sz w:val="20"/>
              </w:rPr>
              <w:t xml:space="preserve">The focus of the Conference was the promotion of a strong culture and one where equality, diversity and Inclusion are valued.  The feedback from the Conference was excellent with the majority of participants reflecting on LFRS core values and competencies and their own personal contribution to those values. </w:t>
            </w:r>
          </w:p>
          <w:p w:rsidR="0074704F" w:rsidRPr="00E40A27" w:rsidRDefault="0074704F" w:rsidP="00B6512C">
            <w:pPr>
              <w:jc w:val="both"/>
              <w:rPr>
                <w:rFonts w:cs="Arial"/>
                <w:color w:val="000000"/>
                <w:sz w:val="20"/>
              </w:rPr>
            </w:pPr>
          </w:p>
        </w:tc>
        <w:tc>
          <w:tcPr>
            <w:tcW w:w="1418" w:type="dxa"/>
            <w:shd w:val="clear" w:color="auto" w:fill="auto"/>
          </w:tcPr>
          <w:p w:rsidR="0074704F" w:rsidRPr="00E40A27" w:rsidRDefault="0074704F" w:rsidP="00B6512C">
            <w:pPr>
              <w:jc w:val="both"/>
              <w:rPr>
                <w:rFonts w:cs="Arial"/>
                <w:color w:val="000000"/>
                <w:sz w:val="20"/>
              </w:rPr>
            </w:pPr>
            <w:r w:rsidRPr="00E40A27">
              <w:rPr>
                <w:rFonts w:cs="Arial"/>
                <w:color w:val="000000"/>
                <w:sz w:val="20"/>
              </w:rPr>
              <w:t>Complete</w:t>
            </w:r>
          </w:p>
        </w:tc>
        <w:tc>
          <w:tcPr>
            <w:tcW w:w="1417" w:type="dxa"/>
          </w:tcPr>
          <w:p w:rsidR="0074704F" w:rsidRPr="00E40A27" w:rsidRDefault="0074704F" w:rsidP="00B6512C">
            <w:pPr>
              <w:rPr>
                <w:rFonts w:cs="Arial"/>
                <w:color w:val="000000"/>
                <w:sz w:val="20"/>
              </w:rPr>
            </w:pPr>
            <w:r w:rsidRPr="00E40A27">
              <w:rPr>
                <w:rFonts w:cs="Arial"/>
                <w:color w:val="000000"/>
                <w:sz w:val="20"/>
              </w:rPr>
              <w:t>Head of Human Resources</w:t>
            </w:r>
          </w:p>
        </w:tc>
      </w:tr>
      <w:tr w:rsidR="0074704F" w:rsidRPr="00E40A27" w:rsidTr="00854EFD">
        <w:tc>
          <w:tcPr>
            <w:tcW w:w="1809" w:type="dxa"/>
            <w:tcBorders>
              <w:top w:val="single" w:sz="4" w:space="0" w:color="auto"/>
              <w:left w:val="single" w:sz="4" w:space="0" w:color="auto"/>
              <w:bottom w:val="single" w:sz="4" w:space="0" w:color="auto"/>
              <w:right w:val="single" w:sz="4" w:space="0" w:color="auto"/>
            </w:tcBorders>
            <w:shd w:val="clear" w:color="auto" w:fill="auto"/>
          </w:tcPr>
          <w:p w:rsidR="0074704F" w:rsidRPr="00E40A27" w:rsidRDefault="0074704F" w:rsidP="00B6512C">
            <w:pPr>
              <w:rPr>
                <w:rFonts w:cs="Arial"/>
                <w:color w:val="000000"/>
                <w:sz w:val="20"/>
              </w:rPr>
            </w:pPr>
            <w:r w:rsidRPr="00E40A27">
              <w:rPr>
                <w:rFonts w:cs="Arial"/>
                <w:color w:val="000000"/>
                <w:sz w:val="20"/>
              </w:rPr>
              <w:lastRenderedPageBreak/>
              <w:t>Complete review of staff recognition</w:t>
            </w:r>
          </w:p>
          <w:p w:rsidR="0074704F" w:rsidRPr="00E40A27" w:rsidRDefault="0074704F" w:rsidP="00B6512C">
            <w:pPr>
              <w:rPr>
                <w:rFonts w:cs="Arial"/>
                <w:color w:val="000000"/>
                <w:sz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704F" w:rsidRPr="00137742" w:rsidRDefault="0074704F" w:rsidP="00B6512C">
            <w:pPr>
              <w:jc w:val="both"/>
              <w:rPr>
                <w:rFonts w:cs="Arial"/>
                <w:color w:val="000000"/>
                <w:sz w:val="20"/>
              </w:rPr>
            </w:pPr>
            <w:r w:rsidRPr="00137742">
              <w:rPr>
                <w:rFonts w:cs="Arial"/>
                <w:color w:val="000000"/>
                <w:sz w:val="20"/>
              </w:rPr>
              <w:t xml:space="preserve">Review of   staff recognition and development of staff sounding boards has been undertaken. </w:t>
            </w:r>
            <w:r>
              <w:rPr>
                <w:rFonts w:cs="Arial"/>
                <w:color w:val="000000"/>
                <w:sz w:val="20"/>
              </w:rPr>
              <w:t>This was p</w:t>
            </w:r>
            <w:r w:rsidRPr="00137742">
              <w:rPr>
                <w:rFonts w:cs="Arial"/>
                <w:color w:val="000000"/>
                <w:sz w:val="20"/>
              </w:rPr>
              <w:t>laced on hold due to staff changes and pending recruitment of additional resources.</w:t>
            </w:r>
            <w:r>
              <w:rPr>
                <w:rFonts w:cs="Arial"/>
                <w:color w:val="000000"/>
                <w:sz w:val="20"/>
              </w:rPr>
              <w:t xml:space="preserve"> The additional r</w:t>
            </w:r>
            <w:r w:rsidRPr="00137742">
              <w:rPr>
                <w:rFonts w:cs="Arial"/>
                <w:color w:val="000000"/>
                <w:sz w:val="20"/>
              </w:rPr>
              <w:t xml:space="preserve">esource </w:t>
            </w:r>
            <w:r>
              <w:rPr>
                <w:rFonts w:cs="Arial"/>
                <w:color w:val="000000"/>
                <w:sz w:val="20"/>
              </w:rPr>
              <w:t xml:space="preserve">is </w:t>
            </w:r>
            <w:r w:rsidRPr="00137742">
              <w:rPr>
                <w:rFonts w:cs="Arial"/>
                <w:color w:val="000000"/>
                <w:sz w:val="20"/>
              </w:rPr>
              <w:t xml:space="preserve">now in place and </w:t>
            </w:r>
            <w:r>
              <w:rPr>
                <w:rFonts w:cs="Arial"/>
                <w:color w:val="000000"/>
                <w:sz w:val="20"/>
              </w:rPr>
              <w:t xml:space="preserve">an </w:t>
            </w:r>
            <w:r w:rsidRPr="00137742">
              <w:rPr>
                <w:rFonts w:cs="Arial"/>
                <w:color w:val="000000"/>
                <w:sz w:val="20"/>
              </w:rPr>
              <w:t xml:space="preserve">updated project plan </w:t>
            </w:r>
            <w:r>
              <w:rPr>
                <w:rFonts w:cs="Arial"/>
                <w:color w:val="000000"/>
                <w:sz w:val="20"/>
              </w:rPr>
              <w:t>is being developed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704F" w:rsidRPr="00B10F3C" w:rsidRDefault="0074704F" w:rsidP="00B6512C">
            <w:pPr>
              <w:jc w:val="both"/>
              <w:rPr>
                <w:rFonts w:cs="Arial"/>
                <w:color w:val="000000"/>
                <w:sz w:val="20"/>
              </w:rPr>
            </w:pPr>
            <w:r w:rsidRPr="00B10F3C">
              <w:rPr>
                <w:rFonts w:cs="Arial"/>
                <w:color w:val="000000"/>
                <w:sz w:val="20"/>
              </w:rPr>
              <w:t>On-going, target date for completion December 2018</w:t>
            </w:r>
          </w:p>
        </w:tc>
        <w:tc>
          <w:tcPr>
            <w:tcW w:w="1417" w:type="dxa"/>
            <w:tcBorders>
              <w:top w:val="single" w:sz="4" w:space="0" w:color="auto"/>
              <w:left w:val="single" w:sz="4" w:space="0" w:color="auto"/>
              <w:bottom w:val="single" w:sz="4" w:space="0" w:color="auto"/>
              <w:right w:val="single" w:sz="4" w:space="0" w:color="auto"/>
            </w:tcBorders>
          </w:tcPr>
          <w:p w:rsidR="0074704F" w:rsidRPr="00E40A27" w:rsidRDefault="0074704F" w:rsidP="00B6512C">
            <w:pPr>
              <w:rPr>
                <w:rFonts w:cs="Arial"/>
                <w:color w:val="000000"/>
                <w:sz w:val="20"/>
              </w:rPr>
            </w:pPr>
            <w:r w:rsidRPr="00E40A27">
              <w:rPr>
                <w:rFonts w:cs="Arial"/>
                <w:color w:val="000000"/>
                <w:sz w:val="20"/>
              </w:rPr>
              <w:t xml:space="preserve">Head of Corporate </w:t>
            </w:r>
            <w:proofErr w:type="spellStart"/>
            <w:r w:rsidRPr="00E40A27">
              <w:rPr>
                <w:rFonts w:cs="Arial"/>
                <w:color w:val="000000"/>
                <w:sz w:val="20"/>
              </w:rPr>
              <w:t>Comms</w:t>
            </w:r>
            <w:proofErr w:type="spellEnd"/>
          </w:p>
        </w:tc>
      </w:tr>
    </w:tbl>
    <w:p w:rsidR="0074704F" w:rsidRDefault="0074704F" w:rsidP="0074704F">
      <w:pPr>
        <w:jc w:val="both"/>
        <w:rPr>
          <w:rFonts w:cs="Arial"/>
          <w:sz w:val="22"/>
          <w:szCs w:val="22"/>
        </w:rPr>
      </w:pPr>
    </w:p>
    <w:p w:rsidR="0074704F" w:rsidRPr="00213F42" w:rsidRDefault="0074704F" w:rsidP="0074704F">
      <w:pPr>
        <w:jc w:val="both"/>
        <w:rPr>
          <w:rFonts w:cs="Arial"/>
          <w:sz w:val="22"/>
          <w:szCs w:val="22"/>
        </w:rPr>
      </w:pPr>
      <w:r w:rsidRPr="00213F42">
        <w:rPr>
          <w:rFonts w:cs="Arial"/>
          <w:sz w:val="22"/>
          <w:szCs w:val="22"/>
        </w:rPr>
        <w:t>We have been advised on the implications of the result of the review of the effectiveness of the governance framework by the Audit Committee and a plan to address weaknesses and ensure continuous improvement of the system is in place.</w:t>
      </w:r>
    </w:p>
    <w:p w:rsidR="006E71A8" w:rsidRPr="00D01BAD" w:rsidRDefault="006E71A8" w:rsidP="006E71A8">
      <w:pPr>
        <w:autoSpaceDE w:val="0"/>
        <w:autoSpaceDN w:val="0"/>
        <w:adjustRightInd w:val="0"/>
        <w:jc w:val="both"/>
        <w:rPr>
          <w:rFonts w:cs="Arial"/>
          <w:sz w:val="22"/>
          <w:szCs w:val="22"/>
          <w:highlight w:val="yellow"/>
        </w:rPr>
      </w:pPr>
    </w:p>
    <w:p w:rsidR="0074704F" w:rsidRPr="00213F42" w:rsidRDefault="0074704F" w:rsidP="0074704F">
      <w:pPr>
        <w:autoSpaceDE w:val="0"/>
        <w:autoSpaceDN w:val="0"/>
        <w:adjustRightInd w:val="0"/>
        <w:jc w:val="both"/>
        <w:outlineLvl w:val="0"/>
        <w:rPr>
          <w:rFonts w:cs="Arial"/>
          <w:b/>
          <w:bCs/>
          <w:sz w:val="22"/>
          <w:szCs w:val="22"/>
        </w:rPr>
      </w:pPr>
      <w:r w:rsidRPr="00213F42">
        <w:rPr>
          <w:rFonts w:cs="Arial"/>
          <w:b/>
          <w:bCs/>
          <w:sz w:val="22"/>
          <w:szCs w:val="22"/>
        </w:rPr>
        <w:t>Significant governance issues</w:t>
      </w:r>
    </w:p>
    <w:p w:rsidR="0074704F" w:rsidRPr="00213F42" w:rsidRDefault="0074704F" w:rsidP="0074704F">
      <w:pPr>
        <w:jc w:val="both"/>
        <w:rPr>
          <w:rFonts w:cs="Arial"/>
          <w:sz w:val="22"/>
          <w:szCs w:val="22"/>
        </w:rPr>
      </w:pPr>
    </w:p>
    <w:p w:rsidR="0074704F" w:rsidRPr="00213F42" w:rsidRDefault="0074704F" w:rsidP="0074704F">
      <w:pPr>
        <w:jc w:val="both"/>
        <w:rPr>
          <w:rFonts w:cs="Arial"/>
          <w:sz w:val="22"/>
          <w:szCs w:val="22"/>
        </w:rPr>
      </w:pPr>
      <w:r w:rsidRPr="00213F42">
        <w:rPr>
          <w:rFonts w:cs="Arial"/>
          <w:sz w:val="22"/>
          <w:szCs w:val="22"/>
        </w:rPr>
        <w:t>On the basis of the review of the sources of assurance set out in this statement, we are satisfied that Lancashire Combined Fire Authority and Lancashire Fire and Rescue Service has in place a satisfactory system of internal control which facilitates the effective exercise of its functions and which includes arrangements for the management of risk.</w:t>
      </w:r>
    </w:p>
    <w:p w:rsidR="0074704F" w:rsidRPr="00213F42" w:rsidRDefault="0074704F" w:rsidP="0074704F">
      <w:pPr>
        <w:jc w:val="both"/>
        <w:rPr>
          <w:rFonts w:cs="Arial"/>
          <w:sz w:val="22"/>
          <w:szCs w:val="22"/>
        </w:rPr>
      </w:pPr>
    </w:p>
    <w:p w:rsidR="0074704F" w:rsidRPr="00213F42" w:rsidRDefault="0074704F" w:rsidP="0074704F">
      <w:pPr>
        <w:jc w:val="both"/>
        <w:rPr>
          <w:rFonts w:cs="Arial"/>
          <w:sz w:val="22"/>
          <w:szCs w:val="22"/>
        </w:rPr>
      </w:pPr>
      <w:r w:rsidRPr="00213F42">
        <w:rPr>
          <w:rFonts w:cs="Arial"/>
          <w:sz w:val="22"/>
          <w:szCs w:val="22"/>
        </w:rPr>
        <w:t xml:space="preserve">Whilst no significant governance issues were identified, </w:t>
      </w:r>
      <w:r>
        <w:rPr>
          <w:rFonts w:cs="Arial"/>
          <w:sz w:val="22"/>
          <w:szCs w:val="22"/>
        </w:rPr>
        <w:t xml:space="preserve">the following new areas for improvement, and </w:t>
      </w:r>
      <w:r w:rsidRPr="00213F42">
        <w:rPr>
          <w:rFonts w:cs="Arial"/>
          <w:sz w:val="22"/>
          <w:szCs w:val="22"/>
        </w:rPr>
        <w:t>outstanding recommendation</w:t>
      </w:r>
      <w:r>
        <w:rPr>
          <w:rFonts w:cs="Arial"/>
          <w:sz w:val="22"/>
          <w:szCs w:val="22"/>
        </w:rPr>
        <w:t>s</w:t>
      </w:r>
      <w:r w:rsidRPr="00213F42">
        <w:rPr>
          <w:rFonts w:cs="Arial"/>
          <w:sz w:val="22"/>
          <w:szCs w:val="22"/>
        </w:rPr>
        <w:t xml:space="preserve"> from last year’s statement, </w:t>
      </w:r>
      <w:r>
        <w:rPr>
          <w:rFonts w:cs="Arial"/>
          <w:sz w:val="22"/>
          <w:szCs w:val="22"/>
        </w:rPr>
        <w:t>are listed below</w:t>
      </w:r>
      <w:r w:rsidRPr="00213F42">
        <w:rPr>
          <w:rFonts w:cs="Arial"/>
          <w:sz w:val="22"/>
          <w:szCs w:val="22"/>
        </w:rPr>
        <w:t>:</w:t>
      </w:r>
    </w:p>
    <w:p w:rsidR="0074704F" w:rsidRPr="00213F42" w:rsidRDefault="0074704F" w:rsidP="0074704F">
      <w:pPr>
        <w:jc w:val="both"/>
        <w:rPr>
          <w:rFonts w:cs="Arial"/>
          <w:sz w:val="22"/>
          <w:szCs w:val="22"/>
        </w:rPr>
      </w:pPr>
    </w:p>
    <w:p w:rsidR="0074704F" w:rsidRDefault="0074704F" w:rsidP="0074704F">
      <w:pPr>
        <w:numPr>
          <w:ilvl w:val="0"/>
          <w:numId w:val="39"/>
        </w:numPr>
        <w:jc w:val="both"/>
        <w:rPr>
          <w:rFonts w:cs="Arial"/>
          <w:color w:val="000000"/>
          <w:sz w:val="22"/>
          <w:szCs w:val="22"/>
        </w:rPr>
      </w:pPr>
      <w:r w:rsidRPr="00677D67">
        <w:rPr>
          <w:rFonts w:cs="Arial"/>
          <w:color w:val="000000"/>
          <w:sz w:val="22"/>
          <w:szCs w:val="22"/>
        </w:rPr>
        <w:t>Complete review of Scheme of Delegation</w:t>
      </w:r>
    </w:p>
    <w:p w:rsidR="0074704F" w:rsidRDefault="0074704F" w:rsidP="0074704F">
      <w:pPr>
        <w:numPr>
          <w:ilvl w:val="0"/>
          <w:numId w:val="39"/>
        </w:numPr>
        <w:jc w:val="both"/>
        <w:rPr>
          <w:rFonts w:cs="Arial"/>
          <w:color w:val="000000"/>
          <w:sz w:val="22"/>
          <w:szCs w:val="22"/>
        </w:rPr>
      </w:pPr>
      <w:r>
        <w:rPr>
          <w:rFonts w:cs="Arial"/>
          <w:color w:val="000000"/>
          <w:sz w:val="22"/>
          <w:szCs w:val="22"/>
        </w:rPr>
        <w:t>Complete review of staff recognition</w:t>
      </w:r>
    </w:p>
    <w:p w:rsidR="0074704F" w:rsidRPr="007611A1" w:rsidRDefault="0074704F" w:rsidP="0074704F">
      <w:pPr>
        <w:numPr>
          <w:ilvl w:val="0"/>
          <w:numId w:val="39"/>
        </w:numPr>
        <w:jc w:val="both"/>
        <w:rPr>
          <w:rFonts w:cs="Arial"/>
          <w:color w:val="000000"/>
          <w:sz w:val="22"/>
          <w:szCs w:val="22"/>
        </w:rPr>
      </w:pPr>
      <w:r>
        <w:rPr>
          <w:rFonts w:cs="Arial"/>
          <w:color w:val="000000"/>
          <w:sz w:val="22"/>
          <w:szCs w:val="22"/>
        </w:rPr>
        <w:t>Create a new Intranet, incorporating social networking to connect staff across the service</w:t>
      </w:r>
    </w:p>
    <w:p w:rsidR="0074704F" w:rsidRPr="00213F42" w:rsidRDefault="0074704F" w:rsidP="0074704F">
      <w:pPr>
        <w:jc w:val="both"/>
        <w:rPr>
          <w:rFonts w:cs="Arial"/>
          <w:sz w:val="22"/>
          <w:szCs w:val="22"/>
        </w:rPr>
      </w:pPr>
    </w:p>
    <w:p w:rsidR="0074704F" w:rsidRPr="00213F42" w:rsidRDefault="0074704F" w:rsidP="0074704F">
      <w:pPr>
        <w:autoSpaceDE w:val="0"/>
        <w:autoSpaceDN w:val="0"/>
        <w:adjustRightInd w:val="0"/>
        <w:jc w:val="both"/>
        <w:rPr>
          <w:rFonts w:cs="Arial"/>
          <w:sz w:val="22"/>
          <w:szCs w:val="22"/>
        </w:rPr>
      </w:pPr>
      <w:r w:rsidRPr="00213F42">
        <w:rPr>
          <w:rFonts w:cs="Arial"/>
          <w:sz w:val="22"/>
          <w:szCs w:val="22"/>
        </w:rPr>
        <w:t>We propose over the coming year to take steps to address the above matter to further enhance our governance arrangements.  We are satisfied that these steps will address the need for improvements that were identified in our review of effectiveness and will monitor their implementation and operation as part of our next annual review.</w:t>
      </w:r>
    </w:p>
    <w:p w:rsidR="0074704F" w:rsidRPr="00213F42" w:rsidRDefault="0074704F" w:rsidP="0074704F">
      <w:pPr>
        <w:autoSpaceDE w:val="0"/>
        <w:autoSpaceDN w:val="0"/>
        <w:adjustRightInd w:val="0"/>
        <w:jc w:val="both"/>
        <w:rPr>
          <w:rFonts w:cs="Arial"/>
          <w:sz w:val="22"/>
          <w:szCs w:val="22"/>
          <w:highlight w:val="yellow"/>
        </w:rPr>
      </w:pPr>
    </w:p>
    <w:p w:rsidR="0074704F" w:rsidRPr="00213F42" w:rsidRDefault="0074704F" w:rsidP="0074704F">
      <w:pPr>
        <w:jc w:val="both"/>
        <w:outlineLvl w:val="0"/>
        <w:rPr>
          <w:rFonts w:cs="Arial"/>
          <w:b/>
          <w:bCs/>
          <w:sz w:val="22"/>
          <w:szCs w:val="22"/>
        </w:rPr>
      </w:pPr>
      <w:r w:rsidRPr="00213F42">
        <w:rPr>
          <w:rFonts w:cs="Arial"/>
          <w:b/>
          <w:bCs/>
          <w:sz w:val="22"/>
          <w:szCs w:val="22"/>
        </w:rPr>
        <w:t xml:space="preserve">Signed: </w:t>
      </w:r>
    </w:p>
    <w:p w:rsidR="006E71A8" w:rsidRPr="00D01BAD" w:rsidRDefault="006E71A8" w:rsidP="006E71A8">
      <w:pPr>
        <w:jc w:val="both"/>
        <w:outlineLvl w:val="0"/>
        <w:rPr>
          <w:rFonts w:cs="Arial"/>
          <w:b/>
          <w:bCs/>
          <w:sz w:val="22"/>
          <w:szCs w:val="22"/>
          <w:highlight w:val="yellow"/>
        </w:rPr>
      </w:pPr>
    </w:p>
    <w:p w:rsidR="006E71A8" w:rsidRPr="00D01BAD" w:rsidRDefault="006E71A8" w:rsidP="006E71A8">
      <w:pPr>
        <w:jc w:val="both"/>
        <w:outlineLvl w:val="0"/>
        <w:rPr>
          <w:rFonts w:cs="Arial"/>
          <w:b/>
          <w:bCs/>
          <w:sz w:val="22"/>
          <w:szCs w:val="22"/>
          <w:highlight w:val="yellow"/>
        </w:rPr>
      </w:pPr>
    </w:p>
    <w:p w:rsidR="006E71A8" w:rsidRPr="00D01BAD" w:rsidRDefault="006E71A8" w:rsidP="006E71A8">
      <w:pPr>
        <w:jc w:val="both"/>
        <w:outlineLvl w:val="0"/>
        <w:rPr>
          <w:rFonts w:cs="Arial"/>
          <w:b/>
          <w:bCs/>
          <w:sz w:val="22"/>
          <w:szCs w:val="22"/>
          <w:highlight w:val="yellow"/>
        </w:rPr>
      </w:pPr>
    </w:p>
    <w:p w:rsidR="006E71A8" w:rsidRPr="00D01BAD" w:rsidRDefault="006E71A8" w:rsidP="006E71A8">
      <w:pPr>
        <w:jc w:val="both"/>
        <w:outlineLvl w:val="0"/>
        <w:rPr>
          <w:rFonts w:cs="Arial"/>
          <w:b/>
          <w:bCs/>
          <w:sz w:val="22"/>
          <w:szCs w:val="22"/>
          <w:highlight w:val="yellow"/>
        </w:rPr>
      </w:pPr>
    </w:p>
    <w:p w:rsidR="006E71A8" w:rsidRPr="00D01BAD" w:rsidRDefault="006E71A8" w:rsidP="006E71A8">
      <w:pPr>
        <w:jc w:val="both"/>
        <w:outlineLvl w:val="0"/>
        <w:rPr>
          <w:rFonts w:cs="Arial"/>
          <w:b/>
          <w:bCs/>
          <w:sz w:val="22"/>
          <w:szCs w:val="22"/>
          <w:highlight w:val="yellow"/>
        </w:rPr>
      </w:pPr>
    </w:p>
    <w:p w:rsidR="006E71A8" w:rsidRPr="00D01BAD" w:rsidRDefault="006E71A8" w:rsidP="006E71A8">
      <w:pPr>
        <w:jc w:val="both"/>
        <w:outlineLvl w:val="0"/>
        <w:rPr>
          <w:rFonts w:cs="Arial"/>
          <w:sz w:val="22"/>
          <w:szCs w:val="22"/>
          <w:highlight w:val="yellow"/>
        </w:rPr>
      </w:pPr>
    </w:p>
    <w:tbl>
      <w:tblPr>
        <w:tblW w:w="9889" w:type="dxa"/>
        <w:tblLayout w:type="fixed"/>
        <w:tblLook w:val="0000" w:firstRow="0" w:lastRow="0" w:firstColumn="0" w:lastColumn="0" w:noHBand="0" w:noVBand="0"/>
      </w:tblPr>
      <w:tblGrid>
        <w:gridCol w:w="3227"/>
        <w:gridCol w:w="283"/>
        <w:gridCol w:w="2977"/>
        <w:gridCol w:w="284"/>
        <w:gridCol w:w="3118"/>
      </w:tblGrid>
      <w:tr w:rsidR="006E71A8" w:rsidRPr="00213F42" w:rsidTr="0037293D">
        <w:trPr>
          <w:trHeight w:val="1477"/>
        </w:trPr>
        <w:tc>
          <w:tcPr>
            <w:tcW w:w="3227" w:type="dxa"/>
          </w:tcPr>
          <w:p w:rsidR="006E71A8" w:rsidRPr="0074704F" w:rsidRDefault="006E71A8" w:rsidP="0037293D">
            <w:pPr>
              <w:rPr>
                <w:rFonts w:cs="Arial"/>
                <w:sz w:val="22"/>
                <w:szCs w:val="22"/>
              </w:rPr>
            </w:pPr>
            <w:r w:rsidRPr="0074704F">
              <w:rPr>
                <w:rFonts w:cs="Arial"/>
                <w:sz w:val="22"/>
                <w:szCs w:val="22"/>
              </w:rPr>
              <w:t xml:space="preserve">County Councillor F </w:t>
            </w:r>
            <w:proofErr w:type="spellStart"/>
            <w:r w:rsidRPr="0074704F">
              <w:rPr>
                <w:rFonts w:cs="Arial"/>
                <w:sz w:val="22"/>
                <w:szCs w:val="22"/>
              </w:rPr>
              <w:t>DeMolfetta</w:t>
            </w:r>
            <w:proofErr w:type="spellEnd"/>
            <w:r w:rsidRPr="0074704F">
              <w:rPr>
                <w:rFonts w:cs="Arial"/>
                <w:sz w:val="22"/>
                <w:szCs w:val="22"/>
              </w:rPr>
              <w:t>, Chairman, Lancashire Combined Fire Authority</w:t>
            </w:r>
          </w:p>
          <w:p w:rsidR="006E71A8" w:rsidRPr="0074704F" w:rsidRDefault="003C3FC1" w:rsidP="0037293D">
            <w:pPr>
              <w:rPr>
                <w:rFonts w:cs="Arial"/>
                <w:sz w:val="22"/>
                <w:szCs w:val="22"/>
              </w:rPr>
            </w:pPr>
            <w:r>
              <w:rPr>
                <w:rFonts w:cs="Arial"/>
                <w:sz w:val="22"/>
                <w:szCs w:val="22"/>
              </w:rPr>
              <w:t>29</w:t>
            </w:r>
            <w:r w:rsidRPr="0074704F">
              <w:rPr>
                <w:rFonts w:cs="Arial"/>
                <w:sz w:val="22"/>
                <w:szCs w:val="22"/>
              </w:rPr>
              <w:t xml:space="preserve"> </w:t>
            </w:r>
            <w:r w:rsidR="0074704F" w:rsidRPr="0074704F">
              <w:rPr>
                <w:rFonts w:cs="Arial"/>
                <w:sz w:val="22"/>
                <w:szCs w:val="22"/>
              </w:rPr>
              <w:t>May 2018</w:t>
            </w:r>
          </w:p>
        </w:tc>
        <w:tc>
          <w:tcPr>
            <w:tcW w:w="283" w:type="dxa"/>
          </w:tcPr>
          <w:p w:rsidR="006E71A8" w:rsidRPr="0074704F" w:rsidRDefault="006E71A8" w:rsidP="0037293D">
            <w:pPr>
              <w:rPr>
                <w:rFonts w:cs="Arial"/>
                <w:sz w:val="22"/>
                <w:szCs w:val="22"/>
              </w:rPr>
            </w:pPr>
          </w:p>
        </w:tc>
        <w:tc>
          <w:tcPr>
            <w:tcW w:w="2977" w:type="dxa"/>
          </w:tcPr>
          <w:p w:rsidR="006E71A8" w:rsidRPr="0074704F" w:rsidRDefault="006E71A8" w:rsidP="0037293D">
            <w:pPr>
              <w:rPr>
                <w:rFonts w:cs="Arial"/>
                <w:sz w:val="22"/>
                <w:szCs w:val="22"/>
              </w:rPr>
            </w:pPr>
            <w:r w:rsidRPr="0074704F">
              <w:rPr>
                <w:rFonts w:cs="Arial"/>
                <w:sz w:val="22"/>
                <w:szCs w:val="22"/>
              </w:rPr>
              <w:t>C Kenny,</w:t>
            </w:r>
          </w:p>
          <w:p w:rsidR="006E71A8" w:rsidRPr="0074704F" w:rsidRDefault="006E71A8" w:rsidP="0037293D">
            <w:pPr>
              <w:rPr>
                <w:rFonts w:cs="Arial"/>
                <w:sz w:val="22"/>
                <w:szCs w:val="22"/>
              </w:rPr>
            </w:pPr>
            <w:r w:rsidRPr="0074704F">
              <w:rPr>
                <w:rFonts w:cs="Arial"/>
                <w:sz w:val="22"/>
                <w:szCs w:val="22"/>
              </w:rPr>
              <w:t>Chief Fire Officer, Lancashire Fire and Rescue Service</w:t>
            </w:r>
          </w:p>
          <w:p w:rsidR="006E71A8" w:rsidRPr="0074704F" w:rsidRDefault="003C3FC1" w:rsidP="0037293D">
            <w:pPr>
              <w:pStyle w:val="Footer"/>
              <w:tabs>
                <w:tab w:val="clear" w:pos="4153"/>
                <w:tab w:val="clear" w:pos="8306"/>
              </w:tabs>
              <w:rPr>
                <w:rFonts w:cs="Arial"/>
                <w:sz w:val="22"/>
                <w:szCs w:val="22"/>
              </w:rPr>
            </w:pPr>
            <w:r>
              <w:rPr>
                <w:rFonts w:cs="Arial"/>
                <w:sz w:val="22"/>
                <w:szCs w:val="22"/>
              </w:rPr>
              <w:t>29</w:t>
            </w:r>
            <w:r w:rsidRPr="0074704F">
              <w:rPr>
                <w:rFonts w:cs="Arial"/>
                <w:sz w:val="22"/>
                <w:szCs w:val="22"/>
              </w:rPr>
              <w:t xml:space="preserve"> </w:t>
            </w:r>
            <w:r w:rsidR="0074704F" w:rsidRPr="0074704F">
              <w:rPr>
                <w:rFonts w:cs="Arial"/>
                <w:sz w:val="22"/>
                <w:szCs w:val="22"/>
              </w:rPr>
              <w:t>May 2018</w:t>
            </w:r>
          </w:p>
        </w:tc>
        <w:tc>
          <w:tcPr>
            <w:tcW w:w="284" w:type="dxa"/>
          </w:tcPr>
          <w:p w:rsidR="006E71A8" w:rsidRPr="0074704F" w:rsidRDefault="006E71A8" w:rsidP="0037293D">
            <w:pPr>
              <w:rPr>
                <w:rFonts w:cs="Arial"/>
                <w:sz w:val="22"/>
                <w:szCs w:val="22"/>
              </w:rPr>
            </w:pPr>
          </w:p>
        </w:tc>
        <w:tc>
          <w:tcPr>
            <w:tcW w:w="3118" w:type="dxa"/>
          </w:tcPr>
          <w:p w:rsidR="006E71A8" w:rsidRPr="0074704F" w:rsidRDefault="006E71A8" w:rsidP="0037293D">
            <w:pPr>
              <w:rPr>
                <w:rFonts w:cs="Arial"/>
                <w:sz w:val="22"/>
                <w:szCs w:val="22"/>
              </w:rPr>
            </w:pPr>
            <w:r w:rsidRPr="0074704F">
              <w:rPr>
                <w:rFonts w:cs="Arial"/>
                <w:sz w:val="22"/>
                <w:szCs w:val="22"/>
              </w:rPr>
              <w:t>K Mattinson    CPFA,</w:t>
            </w:r>
          </w:p>
          <w:p w:rsidR="006E71A8" w:rsidRPr="0074704F" w:rsidRDefault="006E71A8" w:rsidP="0037293D">
            <w:pPr>
              <w:rPr>
                <w:rFonts w:cs="Arial"/>
                <w:sz w:val="22"/>
                <w:szCs w:val="22"/>
              </w:rPr>
            </w:pPr>
            <w:r w:rsidRPr="0074704F">
              <w:rPr>
                <w:rFonts w:cs="Arial"/>
                <w:sz w:val="22"/>
                <w:szCs w:val="22"/>
              </w:rPr>
              <w:t>Treasurer, Lancashire Combined Fire Authority</w:t>
            </w:r>
          </w:p>
          <w:p w:rsidR="006E71A8" w:rsidRPr="0074704F" w:rsidRDefault="003C3FC1" w:rsidP="0037293D">
            <w:pPr>
              <w:rPr>
                <w:rFonts w:cs="Arial"/>
                <w:sz w:val="22"/>
                <w:szCs w:val="22"/>
              </w:rPr>
            </w:pPr>
            <w:r>
              <w:rPr>
                <w:rFonts w:cs="Arial"/>
                <w:sz w:val="22"/>
                <w:szCs w:val="22"/>
              </w:rPr>
              <w:t>29</w:t>
            </w:r>
            <w:r w:rsidRPr="0074704F">
              <w:rPr>
                <w:rFonts w:cs="Arial"/>
                <w:sz w:val="22"/>
                <w:szCs w:val="22"/>
              </w:rPr>
              <w:t xml:space="preserve"> </w:t>
            </w:r>
            <w:r w:rsidR="0074704F" w:rsidRPr="0074704F">
              <w:rPr>
                <w:rFonts w:cs="Arial"/>
                <w:sz w:val="22"/>
                <w:szCs w:val="22"/>
              </w:rPr>
              <w:t>May 2018</w:t>
            </w:r>
          </w:p>
        </w:tc>
      </w:tr>
    </w:tbl>
    <w:p w:rsidR="006B4BE1" w:rsidRPr="00F82E2E" w:rsidRDefault="006B4BE1" w:rsidP="006B4BE1">
      <w:pPr>
        <w:jc w:val="both"/>
        <w:rPr>
          <w:rFonts w:cs="Arial"/>
          <w:sz w:val="22"/>
          <w:szCs w:val="22"/>
          <w:highlight w:val="yellow"/>
        </w:rPr>
      </w:pPr>
    </w:p>
    <w:p w:rsidR="006B4BE1" w:rsidRPr="00301221" w:rsidRDefault="006B4BE1" w:rsidP="006B4BE1">
      <w:pPr>
        <w:rPr>
          <w:rFonts w:cs="Arial"/>
          <w:b/>
          <w:color w:val="000000" w:themeColor="text1"/>
          <w:sz w:val="22"/>
          <w:szCs w:val="22"/>
        </w:rPr>
      </w:pPr>
      <w:r w:rsidRPr="00F82E2E">
        <w:rPr>
          <w:rFonts w:cs="Arial"/>
          <w:sz w:val="22"/>
          <w:szCs w:val="22"/>
          <w:highlight w:val="yellow"/>
        </w:rPr>
        <w:br w:type="page"/>
      </w:r>
      <w:r w:rsidRPr="00301221">
        <w:rPr>
          <w:rFonts w:cs="Arial"/>
          <w:b/>
          <w:color w:val="000000" w:themeColor="text1"/>
          <w:sz w:val="22"/>
          <w:szCs w:val="22"/>
        </w:rPr>
        <w:lastRenderedPageBreak/>
        <w:t>INDEPENDENT AUDITOR’S REPORT TO THE MEMBERS OF LANCASHIRE COMBINED FIRE AUTHORITY</w:t>
      </w:r>
    </w:p>
    <w:p w:rsidR="006B4BE1" w:rsidRPr="00301221" w:rsidRDefault="006B4BE1" w:rsidP="006B4BE1">
      <w:pPr>
        <w:rPr>
          <w:rFonts w:cs="Arial"/>
          <w:b/>
          <w:color w:val="000000" w:themeColor="text1"/>
          <w:sz w:val="22"/>
          <w:szCs w:val="22"/>
        </w:rPr>
      </w:pPr>
    </w:p>
    <w:p w:rsidR="00301221" w:rsidRPr="00301221" w:rsidRDefault="00301221" w:rsidP="00301221">
      <w:pPr>
        <w:rPr>
          <w:rFonts w:cs="Arial"/>
          <w:b/>
          <w:color w:val="000000" w:themeColor="text1"/>
          <w:sz w:val="22"/>
          <w:szCs w:val="22"/>
          <w:lang w:eastAsia="en-GB"/>
        </w:rPr>
      </w:pPr>
      <w:r w:rsidRPr="00301221">
        <w:rPr>
          <w:rFonts w:cs="Arial"/>
          <w:b/>
          <w:color w:val="000000" w:themeColor="text1"/>
          <w:sz w:val="22"/>
          <w:szCs w:val="22"/>
          <w:lang w:eastAsia="en-GB"/>
        </w:rPr>
        <w:t>Report on the Audit of the Financial Statements</w:t>
      </w:r>
    </w:p>
    <w:p w:rsidR="00301221" w:rsidRPr="00301221" w:rsidRDefault="00301221" w:rsidP="00301221">
      <w:pPr>
        <w:rPr>
          <w:rFonts w:cs="Arial"/>
          <w:b/>
          <w:color w:val="000000" w:themeColor="text1"/>
          <w:sz w:val="22"/>
          <w:szCs w:val="22"/>
          <w:lang w:eastAsia="en-GB"/>
        </w:rPr>
      </w:pPr>
    </w:p>
    <w:p w:rsidR="00301221" w:rsidRDefault="00301221" w:rsidP="00301221">
      <w:pPr>
        <w:rPr>
          <w:rFonts w:cs="Arial"/>
          <w:b/>
          <w:color w:val="000000" w:themeColor="text1"/>
          <w:sz w:val="22"/>
          <w:szCs w:val="22"/>
          <w:lang w:eastAsia="en-GB"/>
        </w:rPr>
      </w:pPr>
      <w:r w:rsidRPr="00301221">
        <w:rPr>
          <w:rFonts w:cs="Arial"/>
          <w:b/>
          <w:color w:val="000000" w:themeColor="text1"/>
          <w:sz w:val="22"/>
          <w:szCs w:val="22"/>
          <w:lang w:eastAsia="en-GB"/>
        </w:rPr>
        <w:t>Opinion</w:t>
      </w:r>
    </w:p>
    <w:p w:rsidR="00301221" w:rsidRPr="00301221" w:rsidRDefault="00301221" w:rsidP="00301221">
      <w:pPr>
        <w:rPr>
          <w:rFonts w:cs="Arial"/>
          <w:b/>
          <w:color w:val="000000" w:themeColor="text1"/>
          <w:sz w:val="22"/>
          <w:szCs w:val="22"/>
          <w:lang w:eastAsia="en-GB"/>
        </w:rPr>
      </w:pPr>
    </w:p>
    <w:p w:rsidR="00301221" w:rsidRPr="00301221" w:rsidRDefault="00301221" w:rsidP="00301221">
      <w:pPr>
        <w:rPr>
          <w:rFonts w:cs="Arial"/>
          <w:color w:val="000000" w:themeColor="text1"/>
          <w:sz w:val="22"/>
          <w:szCs w:val="22"/>
          <w:lang w:eastAsia="en-GB"/>
        </w:rPr>
      </w:pPr>
      <w:r w:rsidRPr="00301221">
        <w:rPr>
          <w:rFonts w:cs="Arial"/>
          <w:color w:val="000000" w:themeColor="text1"/>
          <w:sz w:val="22"/>
          <w:szCs w:val="22"/>
          <w:lang w:eastAsia="en-GB"/>
        </w:rPr>
        <w:t>We have audited the financial statements of Lancashire Combined Fire Authority (the ‘Authority’) for the year ended 31 March 2018 which comprise the Comprehensive Income and Expenditure Statement, the Movement in Reserves Statement, the Balance Sheet, the Cash Flow Statement and notes to the financial statements, including a summary of significant accounting policies, and including the firefighters' pension fund financial statements comprising the Fund Account, the Net Assets Statement and notes to the financial statements. The financial reporting framework that has been applied in their preparation is applicable law and the CIPFA/LASAAC code of practice on local authority accounting in the United Kingdom 2017/18.</w:t>
      </w:r>
    </w:p>
    <w:p w:rsidR="00301221" w:rsidRPr="00301221" w:rsidRDefault="00301221" w:rsidP="00301221">
      <w:pPr>
        <w:rPr>
          <w:rFonts w:cs="Arial"/>
          <w:color w:val="000000" w:themeColor="text1"/>
          <w:sz w:val="22"/>
          <w:szCs w:val="22"/>
          <w:lang w:eastAsia="en-GB"/>
        </w:rPr>
      </w:pPr>
    </w:p>
    <w:p w:rsidR="00301221" w:rsidRPr="00301221" w:rsidRDefault="00301221" w:rsidP="00301221">
      <w:p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In our opinion the financial statements:</w:t>
      </w:r>
    </w:p>
    <w:p w:rsidR="00301221" w:rsidRPr="00301221" w:rsidRDefault="00301221" w:rsidP="00301221">
      <w:pPr>
        <w:numPr>
          <w:ilvl w:val="0"/>
          <w:numId w:val="47"/>
        </w:num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 xml:space="preserve">give a true and fair view of the financial position of the Authority as at 31 March 2018 and of its expenditure and income for the year then ended; </w:t>
      </w:r>
    </w:p>
    <w:p w:rsidR="00301221" w:rsidRPr="00301221" w:rsidRDefault="00301221" w:rsidP="00301221">
      <w:pPr>
        <w:numPr>
          <w:ilvl w:val="0"/>
          <w:numId w:val="47"/>
        </w:num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 xml:space="preserve">have been prepared properly in accordance with the CIPFA/LASAAC </w:t>
      </w:r>
      <w:r w:rsidRPr="00301221">
        <w:rPr>
          <w:rFonts w:cs="Arial"/>
          <w:iCs/>
          <w:color w:val="000000" w:themeColor="text1"/>
          <w:sz w:val="22"/>
          <w:szCs w:val="22"/>
          <w:lang w:eastAsia="en-GB"/>
        </w:rPr>
        <w:t xml:space="preserve">code of practice on local authority accounting in the United Kingdom 2017/18; and </w:t>
      </w:r>
    </w:p>
    <w:p w:rsidR="00301221" w:rsidRPr="00301221" w:rsidRDefault="00301221" w:rsidP="00301221">
      <w:pPr>
        <w:numPr>
          <w:ilvl w:val="0"/>
          <w:numId w:val="47"/>
        </w:numPr>
        <w:autoSpaceDE w:val="0"/>
        <w:autoSpaceDN w:val="0"/>
        <w:adjustRightInd w:val="0"/>
        <w:rPr>
          <w:rFonts w:cs="Arial"/>
          <w:color w:val="000000" w:themeColor="text1"/>
          <w:sz w:val="22"/>
          <w:szCs w:val="22"/>
          <w:lang w:eastAsia="en-GB"/>
        </w:rPr>
      </w:pPr>
      <w:proofErr w:type="gramStart"/>
      <w:r w:rsidRPr="00301221">
        <w:rPr>
          <w:rFonts w:cs="Arial"/>
          <w:iCs/>
          <w:color w:val="000000" w:themeColor="text1"/>
          <w:sz w:val="22"/>
          <w:szCs w:val="22"/>
          <w:lang w:eastAsia="en-GB"/>
        </w:rPr>
        <w:t>have</w:t>
      </w:r>
      <w:proofErr w:type="gramEnd"/>
      <w:r w:rsidRPr="00301221">
        <w:rPr>
          <w:rFonts w:cs="Arial"/>
          <w:iCs/>
          <w:color w:val="000000" w:themeColor="text1"/>
          <w:sz w:val="22"/>
          <w:szCs w:val="22"/>
          <w:lang w:eastAsia="en-GB"/>
        </w:rPr>
        <w:t xml:space="preserve"> been prepared in accordance with the requirements of the Local Audit and Accountability Act 2014.</w:t>
      </w:r>
    </w:p>
    <w:p w:rsidR="00301221" w:rsidRPr="00301221" w:rsidRDefault="00301221" w:rsidP="00301221">
      <w:pPr>
        <w:rPr>
          <w:rFonts w:cs="Arial"/>
          <w:color w:val="000000" w:themeColor="text1"/>
          <w:sz w:val="22"/>
          <w:szCs w:val="22"/>
          <w:lang w:eastAsia="en-GB"/>
        </w:rPr>
      </w:pPr>
    </w:p>
    <w:p w:rsidR="00301221" w:rsidRDefault="00301221" w:rsidP="00301221">
      <w:pPr>
        <w:keepNext/>
        <w:spacing w:line="260" w:lineRule="atLeast"/>
        <w:outlineLvl w:val="1"/>
        <w:rPr>
          <w:rFonts w:cs="Arial"/>
          <w:b/>
          <w:iCs/>
          <w:color w:val="000000" w:themeColor="text1"/>
          <w:kern w:val="32"/>
          <w:sz w:val="22"/>
          <w:szCs w:val="22"/>
        </w:rPr>
      </w:pPr>
      <w:r w:rsidRPr="00301221">
        <w:rPr>
          <w:rFonts w:cs="Arial"/>
          <w:b/>
          <w:iCs/>
          <w:color w:val="000000" w:themeColor="text1"/>
          <w:kern w:val="32"/>
          <w:sz w:val="22"/>
          <w:szCs w:val="22"/>
        </w:rPr>
        <w:t>Basis for opinion</w:t>
      </w:r>
    </w:p>
    <w:p w:rsidR="00301221" w:rsidRPr="00301221" w:rsidRDefault="00301221" w:rsidP="00301221">
      <w:pPr>
        <w:keepNext/>
        <w:spacing w:line="260" w:lineRule="atLeast"/>
        <w:outlineLvl w:val="1"/>
        <w:rPr>
          <w:rFonts w:cs="Arial"/>
          <w:b/>
          <w:iCs/>
          <w:color w:val="000000" w:themeColor="text1"/>
          <w:kern w:val="32"/>
          <w:sz w:val="22"/>
          <w:szCs w:val="22"/>
        </w:rPr>
      </w:pPr>
    </w:p>
    <w:p w:rsidR="00301221" w:rsidRPr="00301221" w:rsidRDefault="00301221" w:rsidP="00301221">
      <w:pPr>
        <w:spacing w:after="284"/>
        <w:rPr>
          <w:rFonts w:cs="Arial"/>
          <w:color w:val="000000" w:themeColor="text1"/>
          <w:sz w:val="22"/>
          <w:szCs w:val="22"/>
        </w:rPr>
      </w:pPr>
      <w:r w:rsidRPr="00301221">
        <w:rPr>
          <w:rFonts w:cs="Arial"/>
          <w:color w:val="000000" w:themeColor="text1"/>
          <w:sz w:val="22"/>
          <w:szCs w:val="22"/>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Authority in accordance with the ethical requirements that are relevant to our audit of the financial statements in the UK, including the Financial Reporting Council (FRC)’s Ethical Standard, and we have fulfilled our other ethical responsibilities in accordance with these requirements. We believe that the audit evidence we have obtained is sufficient and appropriate to provide a basis for our opinion.</w:t>
      </w:r>
    </w:p>
    <w:p w:rsidR="00301221" w:rsidRDefault="00301221" w:rsidP="00301221">
      <w:pPr>
        <w:rPr>
          <w:rFonts w:cs="Arial"/>
          <w:b/>
          <w:color w:val="000000" w:themeColor="text1"/>
          <w:sz w:val="22"/>
          <w:szCs w:val="22"/>
          <w:lang w:eastAsia="en-GB"/>
        </w:rPr>
      </w:pPr>
      <w:r w:rsidRPr="00301221">
        <w:rPr>
          <w:rFonts w:cs="Arial"/>
          <w:b/>
          <w:color w:val="000000" w:themeColor="text1"/>
          <w:sz w:val="22"/>
          <w:szCs w:val="22"/>
          <w:lang w:eastAsia="en-GB"/>
        </w:rPr>
        <w:t>Who we are reporting to</w:t>
      </w:r>
    </w:p>
    <w:p w:rsidR="00301221" w:rsidRPr="00301221" w:rsidRDefault="00301221" w:rsidP="00301221">
      <w:pPr>
        <w:rPr>
          <w:rFonts w:cs="Arial"/>
          <w:b/>
          <w:color w:val="000000" w:themeColor="text1"/>
          <w:sz w:val="22"/>
          <w:szCs w:val="22"/>
          <w:lang w:eastAsia="en-GB"/>
        </w:rPr>
      </w:pPr>
    </w:p>
    <w:p w:rsidR="00301221" w:rsidRPr="00301221" w:rsidRDefault="00301221" w:rsidP="00301221">
      <w:pPr>
        <w:rPr>
          <w:rFonts w:cs="Arial"/>
          <w:color w:val="000000" w:themeColor="text1"/>
          <w:sz w:val="22"/>
          <w:szCs w:val="22"/>
          <w:lang w:eastAsia="en-GB"/>
        </w:rPr>
      </w:pPr>
      <w:r w:rsidRPr="00301221">
        <w:rPr>
          <w:rFonts w:cs="Arial"/>
          <w:color w:val="000000" w:themeColor="text1"/>
          <w:sz w:val="22"/>
          <w:szCs w:val="22"/>
          <w:lang w:eastAsia="en-GB"/>
        </w:rPr>
        <w:t>This report is made solely to the members of the Authority, as a body, in accordance with Part 5 of the Local Audit and Accountability Act 2014 and as set out in paragraph 43 of the Statement of Responsibilities of Auditors and Audited Bodies published by Public Sector Audit Appointments Limited.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rsidR="00301221" w:rsidRPr="00301221" w:rsidRDefault="00301221" w:rsidP="00301221">
      <w:pPr>
        <w:rPr>
          <w:rFonts w:cs="Arial"/>
          <w:color w:val="000000" w:themeColor="text1"/>
          <w:sz w:val="22"/>
          <w:szCs w:val="22"/>
          <w:lang w:eastAsia="en-GB"/>
        </w:rPr>
      </w:pPr>
    </w:p>
    <w:p w:rsidR="00301221" w:rsidRDefault="00301221" w:rsidP="00301221">
      <w:pPr>
        <w:keepNext/>
        <w:spacing w:line="260" w:lineRule="atLeast"/>
        <w:outlineLvl w:val="1"/>
        <w:rPr>
          <w:rFonts w:cs="Arial"/>
          <w:b/>
          <w:iCs/>
          <w:color w:val="000000" w:themeColor="text1"/>
          <w:kern w:val="32"/>
          <w:sz w:val="22"/>
          <w:szCs w:val="22"/>
        </w:rPr>
      </w:pPr>
      <w:r w:rsidRPr="00301221">
        <w:rPr>
          <w:rFonts w:cs="Arial"/>
          <w:b/>
          <w:iCs/>
          <w:color w:val="000000" w:themeColor="text1"/>
          <w:kern w:val="32"/>
          <w:sz w:val="22"/>
          <w:szCs w:val="22"/>
        </w:rPr>
        <w:t>Conclusions relating to going concern</w:t>
      </w:r>
    </w:p>
    <w:p w:rsidR="00301221" w:rsidRPr="00301221" w:rsidRDefault="00301221" w:rsidP="00301221">
      <w:pPr>
        <w:keepNext/>
        <w:spacing w:line="260" w:lineRule="atLeast"/>
        <w:outlineLvl w:val="1"/>
        <w:rPr>
          <w:rFonts w:cs="Arial"/>
          <w:b/>
          <w:iCs/>
          <w:color w:val="000000" w:themeColor="text1"/>
          <w:kern w:val="32"/>
          <w:sz w:val="22"/>
          <w:szCs w:val="22"/>
        </w:rPr>
      </w:pPr>
    </w:p>
    <w:p w:rsidR="00301221" w:rsidRPr="00301221" w:rsidRDefault="00301221" w:rsidP="00301221">
      <w:pPr>
        <w:rPr>
          <w:rFonts w:cs="Arial"/>
          <w:color w:val="000000" w:themeColor="text1"/>
          <w:sz w:val="22"/>
          <w:szCs w:val="22"/>
        </w:rPr>
      </w:pPr>
      <w:r w:rsidRPr="00301221">
        <w:rPr>
          <w:rFonts w:cs="Arial"/>
          <w:color w:val="000000" w:themeColor="text1"/>
          <w:sz w:val="22"/>
          <w:szCs w:val="22"/>
        </w:rPr>
        <w:t xml:space="preserve">We have nothing to report in respect of the following matters in relation to which the ISAs (UK) require us to report to you </w:t>
      </w:r>
      <w:proofErr w:type="spellStart"/>
      <w:r w:rsidRPr="00301221">
        <w:rPr>
          <w:rFonts w:cs="Arial"/>
          <w:color w:val="000000" w:themeColor="text1"/>
          <w:sz w:val="22"/>
          <w:szCs w:val="22"/>
        </w:rPr>
        <w:t>where</w:t>
      </w:r>
      <w:proofErr w:type="spellEnd"/>
      <w:r w:rsidRPr="00301221">
        <w:rPr>
          <w:rFonts w:cs="Arial"/>
          <w:color w:val="000000" w:themeColor="text1"/>
          <w:sz w:val="22"/>
          <w:szCs w:val="22"/>
        </w:rPr>
        <w:t>:</w:t>
      </w:r>
    </w:p>
    <w:p w:rsidR="00301221" w:rsidRPr="00301221" w:rsidRDefault="00301221" w:rsidP="00301221">
      <w:pPr>
        <w:numPr>
          <w:ilvl w:val="0"/>
          <w:numId w:val="49"/>
        </w:numPr>
        <w:contextualSpacing/>
        <w:rPr>
          <w:rFonts w:cs="Arial"/>
          <w:color w:val="000000" w:themeColor="text1"/>
          <w:sz w:val="22"/>
          <w:szCs w:val="22"/>
        </w:rPr>
      </w:pPr>
      <w:r w:rsidRPr="00301221">
        <w:rPr>
          <w:rFonts w:cs="Arial"/>
          <w:color w:val="000000" w:themeColor="text1"/>
          <w:sz w:val="22"/>
          <w:szCs w:val="22"/>
        </w:rPr>
        <w:t xml:space="preserve">the </w:t>
      </w:r>
      <w:r w:rsidRPr="00301221">
        <w:rPr>
          <w:rFonts w:cs="Arial"/>
          <w:color w:val="000000" w:themeColor="text1"/>
          <w:sz w:val="22"/>
          <w:szCs w:val="22"/>
          <w:lang w:eastAsia="en-GB"/>
        </w:rPr>
        <w:t>Treasurer</w:t>
      </w:r>
      <w:r w:rsidRPr="00301221">
        <w:rPr>
          <w:rFonts w:cs="Arial"/>
          <w:color w:val="000000" w:themeColor="text1"/>
          <w:sz w:val="22"/>
          <w:szCs w:val="22"/>
        </w:rPr>
        <w:t>’s use of the going concern basis of accounting in the preparation of the financial statements is not appropriate; or</w:t>
      </w:r>
    </w:p>
    <w:p w:rsidR="00301221" w:rsidRPr="00301221" w:rsidRDefault="00301221" w:rsidP="00301221">
      <w:pPr>
        <w:numPr>
          <w:ilvl w:val="0"/>
          <w:numId w:val="49"/>
        </w:numPr>
        <w:contextualSpacing/>
        <w:rPr>
          <w:rFonts w:cs="Arial"/>
          <w:color w:val="000000" w:themeColor="text1"/>
          <w:sz w:val="22"/>
          <w:szCs w:val="22"/>
        </w:rPr>
      </w:pPr>
      <w:proofErr w:type="gramStart"/>
      <w:r w:rsidRPr="00301221">
        <w:rPr>
          <w:rFonts w:cs="Arial"/>
          <w:color w:val="000000" w:themeColor="text1"/>
          <w:sz w:val="22"/>
          <w:szCs w:val="22"/>
        </w:rPr>
        <w:t>the</w:t>
      </w:r>
      <w:proofErr w:type="gramEnd"/>
      <w:r w:rsidRPr="00301221">
        <w:rPr>
          <w:rFonts w:cs="Arial"/>
          <w:color w:val="000000" w:themeColor="text1"/>
          <w:sz w:val="22"/>
          <w:szCs w:val="22"/>
        </w:rPr>
        <w:t xml:space="preserve"> Treasurer has not disclosed in the financial statements any identified material uncertainties that may cast significant doubt about the Authority’s ability to continue to adopt the going concern basis of accounting for a period of at least twelve months from the date when the financial statements are authorised for issue.</w:t>
      </w:r>
    </w:p>
    <w:p w:rsidR="00301221" w:rsidRPr="00301221" w:rsidRDefault="00301221" w:rsidP="00301221">
      <w:pPr>
        <w:keepNext/>
        <w:spacing w:line="260" w:lineRule="atLeast"/>
        <w:outlineLvl w:val="1"/>
        <w:rPr>
          <w:rFonts w:cs="Arial"/>
          <w:b/>
          <w:iCs/>
          <w:color w:val="000000" w:themeColor="text1"/>
          <w:kern w:val="32"/>
          <w:sz w:val="22"/>
          <w:szCs w:val="22"/>
        </w:rPr>
      </w:pPr>
    </w:p>
    <w:p w:rsidR="00301221" w:rsidRDefault="00301221" w:rsidP="00301221">
      <w:pPr>
        <w:keepNext/>
        <w:spacing w:line="260" w:lineRule="atLeast"/>
        <w:outlineLvl w:val="1"/>
        <w:rPr>
          <w:rFonts w:cs="Arial"/>
          <w:b/>
          <w:iCs/>
          <w:color w:val="000000" w:themeColor="text1"/>
          <w:kern w:val="32"/>
          <w:sz w:val="22"/>
          <w:szCs w:val="22"/>
        </w:rPr>
      </w:pPr>
      <w:r w:rsidRPr="00301221">
        <w:rPr>
          <w:rFonts w:cs="Arial"/>
          <w:b/>
          <w:iCs/>
          <w:color w:val="000000" w:themeColor="text1"/>
          <w:kern w:val="32"/>
          <w:sz w:val="22"/>
          <w:szCs w:val="22"/>
        </w:rPr>
        <w:t>Other information</w:t>
      </w:r>
    </w:p>
    <w:p w:rsidR="00301221" w:rsidRPr="00301221" w:rsidRDefault="00301221" w:rsidP="00301221">
      <w:pPr>
        <w:keepNext/>
        <w:spacing w:line="260" w:lineRule="atLeast"/>
        <w:outlineLvl w:val="1"/>
        <w:rPr>
          <w:rFonts w:cs="Arial"/>
          <w:b/>
          <w:iCs/>
          <w:color w:val="000000" w:themeColor="text1"/>
          <w:kern w:val="32"/>
          <w:sz w:val="22"/>
          <w:szCs w:val="22"/>
        </w:rPr>
      </w:pPr>
    </w:p>
    <w:p w:rsidR="00301221" w:rsidRPr="00301221" w:rsidRDefault="00301221" w:rsidP="00301221">
      <w:pPr>
        <w:spacing w:after="284"/>
        <w:rPr>
          <w:rFonts w:cs="Arial"/>
          <w:color w:val="000000" w:themeColor="text1"/>
          <w:sz w:val="22"/>
          <w:szCs w:val="22"/>
        </w:rPr>
      </w:pPr>
      <w:r w:rsidRPr="00301221">
        <w:rPr>
          <w:rFonts w:cs="Arial"/>
          <w:color w:val="000000" w:themeColor="text1"/>
          <w:sz w:val="22"/>
          <w:szCs w:val="22"/>
        </w:rPr>
        <w:t xml:space="preserve">The </w:t>
      </w:r>
      <w:r w:rsidRPr="00301221">
        <w:rPr>
          <w:rFonts w:cs="Arial"/>
          <w:color w:val="000000" w:themeColor="text1"/>
          <w:sz w:val="22"/>
          <w:szCs w:val="22"/>
          <w:lang w:eastAsia="en-GB"/>
        </w:rPr>
        <w:t>Treasurer</w:t>
      </w:r>
      <w:r w:rsidRPr="00301221">
        <w:rPr>
          <w:rFonts w:cs="Arial"/>
          <w:b/>
          <w:color w:val="000000" w:themeColor="text1"/>
          <w:sz w:val="22"/>
          <w:szCs w:val="22"/>
          <w:lang w:eastAsia="en-GB"/>
        </w:rPr>
        <w:t xml:space="preserve"> </w:t>
      </w:r>
      <w:r w:rsidRPr="00301221">
        <w:rPr>
          <w:rFonts w:cs="Arial"/>
          <w:color w:val="000000" w:themeColor="text1"/>
          <w:sz w:val="22"/>
          <w:szCs w:val="22"/>
          <w:lang w:eastAsia="en-GB"/>
        </w:rPr>
        <w:t>is</w:t>
      </w:r>
      <w:r w:rsidRPr="00301221">
        <w:rPr>
          <w:rFonts w:cs="Arial"/>
          <w:color w:val="000000" w:themeColor="text1"/>
          <w:sz w:val="22"/>
          <w:szCs w:val="22"/>
        </w:rPr>
        <w:t xml:space="preserve"> responsible for the other information. The other information comprises the information included in the Statement of Accounts </w:t>
      </w:r>
      <w:r w:rsidRPr="00301221">
        <w:rPr>
          <w:rFonts w:cs="Arial"/>
          <w:color w:val="000000" w:themeColor="text1"/>
          <w:sz w:val="22"/>
          <w:szCs w:val="22"/>
          <w:lang w:eastAsia="en-GB"/>
        </w:rPr>
        <w:t xml:space="preserve">set out on pages 1 to 14, </w:t>
      </w:r>
      <w:r w:rsidRPr="00301221">
        <w:rPr>
          <w:rFonts w:cs="Arial"/>
          <w:color w:val="000000" w:themeColor="text1"/>
          <w:sz w:val="22"/>
          <w:szCs w:val="22"/>
        </w:rPr>
        <w:t xml:space="preserve">the </w:t>
      </w:r>
      <w:r w:rsidRPr="00301221">
        <w:rPr>
          <w:rFonts w:cs="Arial"/>
          <w:color w:val="000000" w:themeColor="text1"/>
          <w:sz w:val="22"/>
          <w:szCs w:val="22"/>
          <w:lang w:eastAsia="en-GB"/>
        </w:rPr>
        <w:t xml:space="preserve">Narrative Report and the Statement </w:t>
      </w:r>
      <w:r w:rsidRPr="00301221">
        <w:rPr>
          <w:rFonts w:cs="Arial"/>
          <w:color w:val="000000" w:themeColor="text1"/>
          <w:sz w:val="22"/>
          <w:szCs w:val="22"/>
          <w:lang w:eastAsia="en-GB"/>
        </w:rPr>
        <w:lastRenderedPageBreak/>
        <w:t>on Annual Governance Arrangements</w:t>
      </w:r>
      <w:r w:rsidRPr="00301221">
        <w:rPr>
          <w:rFonts w:cs="Arial"/>
          <w:color w:val="000000" w:themeColor="text1"/>
          <w:sz w:val="22"/>
          <w:szCs w:val="22"/>
        </w:rPr>
        <w:t xml:space="preserve"> other than the financial statements and our auditor’s report thereon. Our opinion on the financial statements does not cover the other information and, except to the extent otherwise explicitly stated in our report, we do not express any form of assurance conclusion thereon. </w:t>
      </w:r>
    </w:p>
    <w:p w:rsidR="00301221" w:rsidRPr="00301221" w:rsidRDefault="00301221" w:rsidP="00301221">
      <w:pPr>
        <w:spacing w:after="284"/>
        <w:rPr>
          <w:rFonts w:cs="Arial"/>
          <w:color w:val="000000" w:themeColor="text1"/>
          <w:sz w:val="22"/>
          <w:szCs w:val="22"/>
        </w:rPr>
      </w:pPr>
      <w:r w:rsidRPr="00301221">
        <w:rPr>
          <w:rFonts w:cs="Arial"/>
          <w:color w:val="000000" w:themeColor="text1"/>
          <w:sz w:val="22"/>
          <w:szCs w:val="22"/>
        </w:rPr>
        <w:t xml:space="preserve">In connection with our audit of the financial statements, our responsibility is to read the other information and, in doing so, consider whether the other information is materially inconsistent with the financial statements or our knowledge of the Authority obtained in the course of our work including that gained through work in relation to the Authority’s arrangements for securing value for money through economy, efficiency and effectiveness in the use of its resources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w:t>
      </w:r>
      <w:proofErr w:type="gramStart"/>
      <w:r w:rsidRPr="00301221">
        <w:rPr>
          <w:rFonts w:cs="Arial"/>
          <w:color w:val="000000" w:themeColor="text1"/>
          <w:sz w:val="22"/>
          <w:szCs w:val="22"/>
        </w:rPr>
        <w:t>information,</w:t>
      </w:r>
      <w:proofErr w:type="gramEnd"/>
      <w:r w:rsidRPr="00301221">
        <w:rPr>
          <w:rFonts w:cs="Arial"/>
          <w:color w:val="000000" w:themeColor="text1"/>
          <w:sz w:val="22"/>
          <w:szCs w:val="22"/>
        </w:rPr>
        <w:t xml:space="preserve"> we are required to report that fact.</w:t>
      </w:r>
    </w:p>
    <w:p w:rsidR="00301221" w:rsidRPr="00301221" w:rsidRDefault="00301221" w:rsidP="00301221">
      <w:pPr>
        <w:rPr>
          <w:rFonts w:cs="Arial"/>
          <w:color w:val="000000" w:themeColor="text1"/>
          <w:sz w:val="22"/>
          <w:szCs w:val="22"/>
        </w:rPr>
      </w:pPr>
      <w:r w:rsidRPr="00301221">
        <w:rPr>
          <w:rFonts w:cs="Arial"/>
          <w:color w:val="000000" w:themeColor="text1"/>
          <w:sz w:val="22"/>
          <w:szCs w:val="22"/>
        </w:rPr>
        <w:t>We have nothing to report in this regard.</w:t>
      </w:r>
    </w:p>
    <w:p w:rsidR="00301221" w:rsidRPr="00301221" w:rsidRDefault="00301221" w:rsidP="00301221">
      <w:pPr>
        <w:rPr>
          <w:rFonts w:cs="Arial"/>
          <w:color w:val="000000" w:themeColor="text1"/>
          <w:sz w:val="22"/>
          <w:szCs w:val="22"/>
        </w:rPr>
      </w:pPr>
    </w:p>
    <w:p w:rsidR="00301221" w:rsidRDefault="00301221" w:rsidP="00301221">
      <w:pPr>
        <w:keepNext/>
        <w:spacing w:line="260" w:lineRule="atLeast"/>
        <w:outlineLvl w:val="1"/>
        <w:rPr>
          <w:rFonts w:cs="Arial"/>
          <w:b/>
          <w:bCs/>
          <w:color w:val="000000" w:themeColor="text1"/>
          <w:kern w:val="32"/>
          <w:sz w:val="22"/>
          <w:szCs w:val="22"/>
        </w:rPr>
      </w:pPr>
      <w:r w:rsidRPr="00301221">
        <w:rPr>
          <w:rFonts w:cs="Arial"/>
          <w:b/>
          <w:bCs/>
          <w:color w:val="000000" w:themeColor="text1"/>
          <w:kern w:val="32"/>
          <w:sz w:val="22"/>
          <w:szCs w:val="22"/>
        </w:rPr>
        <w:t>Other information we are required to report on by exception under the Code of Audit Practice</w:t>
      </w:r>
    </w:p>
    <w:p w:rsidR="00301221" w:rsidRPr="00301221" w:rsidRDefault="00301221" w:rsidP="00301221">
      <w:pPr>
        <w:keepNext/>
        <w:spacing w:line="260" w:lineRule="atLeast"/>
        <w:outlineLvl w:val="1"/>
        <w:rPr>
          <w:rFonts w:cs="Arial"/>
          <w:b/>
          <w:bCs/>
          <w:color w:val="000000" w:themeColor="text1"/>
          <w:kern w:val="32"/>
          <w:sz w:val="22"/>
          <w:szCs w:val="22"/>
        </w:rPr>
      </w:pPr>
    </w:p>
    <w:p w:rsidR="00301221" w:rsidRPr="00301221" w:rsidRDefault="00301221" w:rsidP="00301221">
      <w:pPr>
        <w:autoSpaceDE w:val="0"/>
        <w:autoSpaceDN w:val="0"/>
        <w:adjustRightInd w:val="0"/>
        <w:rPr>
          <w:rFonts w:cs="Arial"/>
          <w:color w:val="000000" w:themeColor="text1"/>
          <w:sz w:val="22"/>
          <w:szCs w:val="22"/>
          <w:lang w:eastAsia="en-GB"/>
        </w:rPr>
      </w:pPr>
      <w:r w:rsidRPr="00301221">
        <w:rPr>
          <w:rFonts w:cs="Arial"/>
          <w:bCs/>
          <w:color w:val="000000" w:themeColor="text1"/>
          <w:sz w:val="22"/>
          <w:szCs w:val="22"/>
          <w:lang w:eastAsia="en-GB"/>
        </w:rPr>
        <w:t xml:space="preserve">Under the Code of Audit Practice published by the National Audit Office on behalf of the Comptroller and Auditor General (the Code of Audit Practice) </w:t>
      </w:r>
      <w:r w:rsidRPr="00301221">
        <w:rPr>
          <w:rFonts w:cs="Arial"/>
          <w:color w:val="000000" w:themeColor="text1"/>
          <w:sz w:val="22"/>
          <w:szCs w:val="22"/>
          <w:lang w:eastAsia="en-GB"/>
        </w:rPr>
        <w:t>we are required to consider whether the Statement on Annual Governance Arrangements</w:t>
      </w:r>
      <w:r w:rsidRPr="00301221">
        <w:rPr>
          <w:rFonts w:cs="Arial"/>
          <w:color w:val="000000" w:themeColor="text1"/>
          <w:sz w:val="22"/>
          <w:szCs w:val="22"/>
        </w:rPr>
        <w:t xml:space="preserve"> </w:t>
      </w:r>
      <w:r w:rsidRPr="00301221">
        <w:rPr>
          <w:rFonts w:cs="Arial"/>
          <w:color w:val="000000" w:themeColor="text1"/>
          <w:sz w:val="22"/>
          <w:szCs w:val="22"/>
          <w:lang w:eastAsia="en-GB"/>
        </w:rPr>
        <w:t>does not comply with the ‘Delivering Good Governance in Local Government:  Framework (2016)’ published by CIPFA and SOLACE or is misleading or inconsistent with the information of which we are aware from our audit. We are not required to consider whether the Statement on Annual Governance Arrangements</w:t>
      </w:r>
      <w:r w:rsidRPr="00301221">
        <w:rPr>
          <w:rFonts w:cs="Arial"/>
          <w:color w:val="000000" w:themeColor="text1"/>
          <w:sz w:val="22"/>
          <w:szCs w:val="22"/>
        </w:rPr>
        <w:t xml:space="preserve"> </w:t>
      </w:r>
      <w:r w:rsidRPr="00301221">
        <w:rPr>
          <w:rFonts w:cs="Arial"/>
          <w:color w:val="000000" w:themeColor="text1"/>
          <w:sz w:val="22"/>
          <w:szCs w:val="22"/>
          <w:lang w:eastAsia="en-GB"/>
        </w:rPr>
        <w:t xml:space="preserve">addresses all risks and controls or that risks are satisfactorily addressed by internal controls. </w:t>
      </w:r>
    </w:p>
    <w:p w:rsidR="00301221" w:rsidRPr="00301221" w:rsidRDefault="00301221" w:rsidP="00301221">
      <w:pPr>
        <w:autoSpaceDE w:val="0"/>
        <w:autoSpaceDN w:val="0"/>
        <w:adjustRightInd w:val="0"/>
        <w:rPr>
          <w:rFonts w:cs="Arial"/>
          <w:color w:val="000000" w:themeColor="text1"/>
          <w:sz w:val="22"/>
          <w:szCs w:val="22"/>
          <w:lang w:eastAsia="en-GB"/>
        </w:rPr>
      </w:pPr>
    </w:p>
    <w:p w:rsidR="00301221" w:rsidRPr="00301221" w:rsidRDefault="00301221" w:rsidP="00301221">
      <w:pPr>
        <w:rPr>
          <w:rFonts w:cs="Arial"/>
          <w:color w:val="000000" w:themeColor="text1"/>
          <w:sz w:val="22"/>
          <w:szCs w:val="22"/>
        </w:rPr>
      </w:pPr>
      <w:r w:rsidRPr="00301221">
        <w:rPr>
          <w:rFonts w:cs="Arial"/>
          <w:color w:val="000000" w:themeColor="text1"/>
          <w:sz w:val="22"/>
          <w:szCs w:val="22"/>
        </w:rPr>
        <w:t>We have nothing to report in this regard.</w:t>
      </w:r>
    </w:p>
    <w:p w:rsidR="00301221" w:rsidRPr="00301221" w:rsidRDefault="00301221" w:rsidP="00301221">
      <w:pPr>
        <w:rPr>
          <w:rFonts w:cs="Arial"/>
          <w:color w:val="000000" w:themeColor="text1"/>
          <w:sz w:val="22"/>
          <w:szCs w:val="22"/>
        </w:rPr>
      </w:pPr>
    </w:p>
    <w:p w:rsidR="00301221" w:rsidRDefault="00301221" w:rsidP="00301221">
      <w:pPr>
        <w:keepNext/>
        <w:spacing w:line="260" w:lineRule="atLeast"/>
        <w:outlineLvl w:val="1"/>
        <w:rPr>
          <w:rFonts w:cs="Arial"/>
          <w:b/>
          <w:iCs/>
          <w:color w:val="000000" w:themeColor="text1"/>
          <w:kern w:val="32"/>
          <w:sz w:val="22"/>
          <w:szCs w:val="22"/>
        </w:rPr>
      </w:pPr>
      <w:r w:rsidRPr="00301221">
        <w:rPr>
          <w:rFonts w:cs="Arial"/>
          <w:b/>
          <w:iCs/>
          <w:color w:val="000000" w:themeColor="text1"/>
          <w:kern w:val="32"/>
          <w:sz w:val="22"/>
          <w:szCs w:val="22"/>
        </w:rPr>
        <w:t xml:space="preserve">Opinion on other matter required by the Code of Audit Practice </w:t>
      </w:r>
    </w:p>
    <w:p w:rsidR="00301221" w:rsidRPr="00301221" w:rsidRDefault="00301221" w:rsidP="00301221">
      <w:pPr>
        <w:keepNext/>
        <w:spacing w:line="260" w:lineRule="atLeast"/>
        <w:outlineLvl w:val="1"/>
        <w:rPr>
          <w:rFonts w:cs="Arial"/>
          <w:b/>
          <w:iCs/>
          <w:color w:val="000000" w:themeColor="text1"/>
          <w:kern w:val="32"/>
          <w:sz w:val="22"/>
          <w:szCs w:val="22"/>
        </w:rPr>
      </w:pPr>
    </w:p>
    <w:p w:rsidR="00301221" w:rsidRPr="00301221" w:rsidRDefault="00301221" w:rsidP="00301221">
      <w:pPr>
        <w:rPr>
          <w:rFonts w:cs="Arial"/>
          <w:color w:val="000000" w:themeColor="text1"/>
          <w:sz w:val="22"/>
          <w:szCs w:val="22"/>
        </w:rPr>
      </w:pPr>
      <w:r w:rsidRPr="00301221">
        <w:rPr>
          <w:rFonts w:cs="Arial"/>
          <w:color w:val="000000" w:themeColor="text1"/>
          <w:sz w:val="22"/>
          <w:szCs w:val="22"/>
        </w:rPr>
        <w:t xml:space="preserve">In our opinion, based on the work undertaken in the course of the audit of the financial statements and our knowledge of the Authority gained through our work in relation to the Authority’s arrangements for securing economy, efficiency and effectiveness in its use of resources, the other information published together with the financial statements in the Statement of Accounts, the </w:t>
      </w:r>
      <w:r w:rsidRPr="00301221">
        <w:rPr>
          <w:rFonts w:cs="Arial"/>
          <w:color w:val="000000" w:themeColor="text1"/>
          <w:sz w:val="22"/>
          <w:szCs w:val="22"/>
          <w:lang w:eastAsia="en-GB"/>
        </w:rPr>
        <w:t>Narrative Report and the Statement on Annual Governance Arrangements</w:t>
      </w:r>
      <w:r w:rsidRPr="00301221">
        <w:rPr>
          <w:rFonts w:cs="Arial"/>
          <w:color w:val="000000" w:themeColor="text1"/>
          <w:sz w:val="22"/>
          <w:szCs w:val="22"/>
        </w:rPr>
        <w:t xml:space="preserve"> for the financial year for which the financial statements are prepared is consistent with the financial statements.</w:t>
      </w:r>
    </w:p>
    <w:p w:rsidR="00301221" w:rsidRPr="00301221" w:rsidRDefault="00301221" w:rsidP="00301221">
      <w:pPr>
        <w:ind w:left="720"/>
        <w:contextualSpacing/>
        <w:rPr>
          <w:rFonts w:cs="Arial"/>
          <w:color w:val="000000" w:themeColor="text1"/>
          <w:sz w:val="22"/>
          <w:szCs w:val="22"/>
        </w:rPr>
      </w:pPr>
    </w:p>
    <w:p w:rsidR="00301221" w:rsidRDefault="00301221" w:rsidP="00301221">
      <w:pPr>
        <w:autoSpaceDE w:val="0"/>
        <w:autoSpaceDN w:val="0"/>
        <w:adjustRightInd w:val="0"/>
        <w:rPr>
          <w:rFonts w:cs="Arial"/>
          <w:b/>
          <w:iCs/>
          <w:color w:val="000000" w:themeColor="text1"/>
          <w:sz w:val="22"/>
          <w:szCs w:val="22"/>
          <w:lang w:eastAsia="en-GB"/>
        </w:rPr>
      </w:pPr>
      <w:r w:rsidRPr="00301221">
        <w:rPr>
          <w:rFonts w:cs="Arial"/>
          <w:b/>
          <w:iCs/>
          <w:color w:val="000000" w:themeColor="text1"/>
          <w:sz w:val="22"/>
          <w:szCs w:val="22"/>
          <w:lang w:eastAsia="en-GB"/>
        </w:rPr>
        <w:t>Matters on which we are required to report by exception</w:t>
      </w:r>
    </w:p>
    <w:p w:rsidR="00301221" w:rsidRPr="00301221" w:rsidRDefault="00301221" w:rsidP="00301221">
      <w:pPr>
        <w:autoSpaceDE w:val="0"/>
        <w:autoSpaceDN w:val="0"/>
        <w:adjustRightInd w:val="0"/>
        <w:rPr>
          <w:rFonts w:cs="Arial"/>
          <w:b/>
          <w:iCs/>
          <w:color w:val="000000" w:themeColor="text1"/>
          <w:sz w:val="22"/>
          <w:szCs w:val="22"/>
          <w:lang w:eastAsia="en-GB"/>
        </w:rPr>
      </w:pPr>
    </w:p>
    <w:p w:rsidR="00301221" w:rsidRPr="00301221" w:rsidRDefault="00301221" w:rsidP="00301221">
      <w:pPr>
        <w:keepNext/>
        <w:spacing w:line="260" w:lineRule="atLeast"/>
        <w:outlineLvl w:val="3"/>
        <w:rPr>
          <w:rFonts w:cs="Arial"/>
          <w:iCs/>
          <w:color w:val="000000" w:themeColor="text1"/>
          <w:kern w:val="32"/>
          <w:sz w:val="22"/>
          <w:szCs w:val="22"/>
        </w:rPr>
      </w:pPr>
      <w:r w:rsidRPr="00301221">
        <w:rPr>
          <w:rFonts w:cs="Arial"/>
          <w:iCs/>
          <w:color w:val="000000" w:themeColor="text1"/>
          <w:kern w:val="32"/>
          <w:sz w:val="22"/>
          <w:szCs w:val="22"/>
        </w:rPr>
        <w:t>Under the Code of Audit Practice we are required to report to you if:</w:t>
      </w:r>
    </w:p>
    <w:p w:rsidR="00301221" w:rsidRPr="00301221" w:rsidRDefault="00301221" w:rsidP="00301221">
      <w:pPr>
        <w:numPr>
          <w:ilvl w:val="0"/>
          <w:numId w:val="48"/>
        </w:num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we have reported a matter in the public interest under section 24 of the Local Audit and Accountability Act 2014  in the course of, or at the conclusion of the audit; or</w:t>
      </w:r>
    </w:p>
    <w:p w:rsidR="00301221" w:rsidRPr="00301221" w:rsidRDefault="00301221" w:rsidP="00301221">
      <w:pPr>
        <w:numPr>
          <w:ilvl w:val="0"/>
          <w:numId w:val="48"/>
        </w:num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we have made a written recommendation to the Authority under section 24 of the Local Audit and Accountability Act 2014  in the course of, or at the conclusion of the audit; or</w:t>
      </w:r>
    </w:p>
    <w:p w:rsidR="00301221" w:rsidRPr="00301221" w:rsidRDefault="00301221" w:rsidP="00301221">
      <w:pPr>
        <w:numPr>
          <w:ilvl w:val="0"/>
          <w:numId w:val="48"/>
        </w:numPr>
        <w:autoSpaceDE w:val="0"/>
        <w:autoSpaceDN w:val="0"/>
        <w:adjustRightInd w:val="0"/>
        <w:rPr>
          <w:rFonts w:cs="Arial"/>
          <w:color w:val="000000" w:themeColor="text1"/>
          <w:sz w:val="22"/>
          <w:szCs w:val="22"/>
          <w:lang w:eastAsia="en-GB"/>
        </w:rPr>
      </w:pPr>
      <w:proofErr w:type="gramStart"/>
      <w:r w:rsidRPr="00301221">
        <w:rPr>
          <w:rFonts w:cs="Arial"/>
          <w:color w:val="000000" w:themeColor="text1"/>
          <w:sz w:val="22"/>
          <w:szCs w:val="22"/>
          <w:lang w:eastAsia="en-GB"/>
        </w:rPr>
        <w:t>we</w:t>
      </w:r>
      <w:proofErr w:type="gramEnd"/>
      <w:r w:rsidRPr="00301221">
        <w:rPr>
          <w:rFonts w:cs="Arial"/>
          <w:color w:val="000000" w:themeColor="text1"/>
          <w:sz w:val="22"/>
          <w:szCs w:val="22"/>
          <w:lang w:eastAsia="en-GB"/>
        </w:rPr>
        <w:t xml:space="preserve"> have exercised any other special powers of the auditor under the Local Audit and Accountability Act 2014.</w:t>
      </w:r>
    </w:p>
    <w:p w:rsidR="00301221" w:rsidRPr="00301221" w:rsidRDefault="00301221" w:rsidP="00301221">
      <w:pPr>
        <w:rPr>
          <w:rFonts w:cs="Arial"/>
          <w:color w:val="000000" w:themeColor="text1"/>
          <w:sz w:val="22"/>
          <w:szCs w:val="22"/>
          <w:lang w:eastAsia="en-GB"/>
        </w:rPr>
      </w:pPr>
    </w:p>
    <w:p w:rsidR="00301221" w:rsidRPr="00301221" w:rsidRDefault="00301221" w:rsidP="00301221">
      <w:pPr>
        <w:rPr>
          <w:rFonts w:cs="Arial"/>
          <w:color w:val="000000" w:themeColor="text1"/>
          <w:sz w:val="22"/>
          <w:szCs w:val="22"/>
          <w:lang w:eastAsia="en-GB"/>
        </w:rPr>
      </w:pPr>
      <w:r w:rsidRPr="00301221">
        <w:rPr>
          <w:rFonts w:cs="Arial"/>
          <w:color w:val="000000" w:themeColor="text1"/>
          <w:sz w:val="22"/>
          <w:szCs w:val="22"/>
          <w:lang w:eastAsia="en-GB"/>
        </w:rPr>
        <w:t>We have nothing to report in respect of the above matters</w:t>
      </w:r>
      <w:r w:rsidRPr="00301221">
        <w:rPr>
          <w:rFonts w:cs="Arial"/>
          <w:b/>
          <w:color w:val="000000" w:themeColor="text1"/>
          <w:sz w:val="22"/>
          <w:szCs w:val="22"/>
          <w:lang w:eastAsia="en-GB"/>
        </w:rPr>
        <w:t>.</w:t>
      </w:r>
    </w:p>
    <w:p w:rsidR="00301221" w:rsidRPr="00301221" w:rsidRDefault="00301221" w:rsidP="00301221">
      <w:pPr>
        <w:rPr>
          <w:rFonts w:cs="Arial"/>
          <w:color w:val="000000" w:themeColor="text1"/>
          <w:sz w:val="22"/>
          <w:szCs w:val="22"/>
          <w:lang w:eastAsia="en-GB"/>
        </w:rPr>
      </w:pPr>
    </w:p>
    <w:p w:rsidR="00301221" w:rsidRDefault="00301221" w:rsidP="00301221">
      <w:pPr>
        <w:contextualSpacing/>
        <w:rPr>
          <w:rFonts w:cs="Arial"/>
          <w:b/>
          <w:color w:val="000000" w:themeColor="text1"/>
          <w:sz w:val="22"/>
          <w:szCs w:val="22"/>
          <w:lang w:eastAsia="en-GB"/>
        </w:rPr>
      </w:pPr>
    </w:p>
    <w:p w:rsidR="00301221" w:rsidRDefault="00301221" w:rsidP="00301221">
      <w:pPr>
        <w:contextualSpacing/>
        <w:rPr>
          <w:rFonts w:cs="Arial"/>
          <w:b/>
          <w:color w:val="000000" w:themeColor="text1"/>
          <w:sz w:val="22"/>
          <w:szCs w:val="22"/>
          <w:lang w:eastAsia="en-GB"/>
        </w:rPr>
      </w:pPr>
      <w:r w:rsidRPr="00301221">
        <w:rPr>
          <w:rFonts w:cs="Arial"/>
          <w:b/>
          <w:color w:val="000000" w:themeColor="text1"/>
          <w:sz w:val="22"/>
          <w:szCs w:val="22"/>
          <w:lang w:eastAsia="en-GB"/>
        </w:rPr>
        <w:t>Responsibilities of the Authority, the Treasurer and Those Charged with Governance for the financial statements</w:t>
      </w:r>
    </w:p>
    <w:p w:rsidR="00301221" w:rsidRPr="00301221" w:rsidRDefault="00301221" w:rsidP="00301221">
      <w:pPr>
        <w:contextualSpacing/>
        <w:rPr>
          <w:rFonts w:cs="Arial"/>
          <w:b/>
          <w:color w:val="000000" w:themeColor="text1"/>
          <w:sz w:val="22"/>
          <w:szCs w:val="22"/>
          <w:lang w:eastAsia="en-GB"/>
        </w:rPr>
      </w:pPr>
    </w:p>
    <w:p w:rsidR="00301221" w:rsidRPr="00301221" w:rsidRDefault="00301221" w:rsidP="00301221">
      <w:pPr>
        <w:autoSpaceDE w:val="0"/>
        <w:autoSpaceDN w:val="0"/>
        <w:adjustRightInd w:val="0"/>
        <w:contextualSpacing/>
        <w:rPr>
          <w:rFonts w:cs="Arial"/>
          <w:iCs/>
          <w:color w:val="000000" w:themeColor="text1"/>
          <w:sz w:val="22"/>
          <w:szCs w:val="22"/>
          <w:lang w:eastAsia="en-GB"/>
        </w:rPr>
      </w:pPr>
      <w:r w:rsidRPr="00301221">
        <w:rPr>
          <w:rFonts w:cs="Arial"/>
          <w:color w:val="000000" w:themeColor="text1"/>
          <w:sz w:val="22"/>
          <w:szCs w:val="22"/>
          <w:lang w:eastAsia="en-GB"/>
        </w:rPr>
        <w:t xml:space="preserve">As explained more fully in the Statement of Responsibilities set out on page 18, the Authority is required to make arrangements for the proper administration of its financial affairs and to secure that one of its officers has the responsibility for the administration of those affairs.  In this authority, that officer is the Treasurer. The Treasurer is responsible for the preparation of the Statement of Accounts, which includes the financial statements, in accordance with proper practices as set out in the CIPFA/LASAAC </w:t>
      </w:r>
      <w:r w:rsidRPr="00301221">
        <w:rPr>
          <w:rFonts w:cs="Arial"/>
          <w:iCs/>
          <w:color w:val="000000" w:themeColor="text1"/>
          <w:sz w:val="22"/>
          <w:szCs w:val="22"/>
          <w:lang w:eastAsia="en-GB"/>
        </w:rPr>
        <w:t xml:space="preserve">code of practice on local authority accounting in the United Kingdom 2017/18, </w:t>
      </w:r>
      <w:r w:rsidRPr="00301221">
        <w:rPr>
          <w:rFonts w:cs="Arial"/>
          <w:color w:val="000000" w:themeColor="text1"/>
          <w:sz w:val="22"/>
          <w:szCs w:val="22"/>
          <w:lang w:eastAsia="en-GB"/>
        </w:rPr>
        <w:t>which give a true and fair view, and for such internal control as the Treasurer determines is necessary to enable the preparation of financial statements that are free from material misstatement, whether due to fraud or error</w:t>
      </w:r>
      <w:r w:rsidRPr="00301221">
        <w:rPr>
          <w:rFonts w:cs="Arial"/>
          <w:iCs/>
          <w:color w:val="000000" w:themeColor="text1"/>
          <w:sz w:val="22"/>
          <w:szCs w:val="22"/>
          <w:lang w:eastAsia="en-GB"/>
        </w:rPr>
        <w:t xml:space="preserve">. </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Pr="00301221" w:rsidRDefault="00301221" w:rsidP="00301221">
      <w:pPr>
        <w:autoSpaceDE w:val="0"/>
        <w:autoSpaceDN w:val="0"/>
        <w:adjustRightInd w:val="0"/>
        <w:rPr>
          <w:rFonts w:cs="Arial"/>
          <w:iCs/>
          <w:strike/>
          <w:color w:val="000000" w:themeColor="text1"/>
          <w:sz w:val="22"/>
          <w:szCs w:val="22"/>
          <w:lang w:eastAsia="en-GB"/>
        </w:rPr>
      </w:pPr>
      <w:r w:rsidRPr="00301221">
        <w:rPr>
          <w:rFonts w:cs="Arial"/>
          <w:color w:val="000000" w:themeColor="text1"/>
          <w:sz w:val="22"/>
          <w:szCs w:val="22"/>
          <w:lang w:eastAsia="en-GB"/>
        </w:rPr>
        <w:t>In preparing the financial statements, the Treasurer is responsible for assessing the Authority’s ability to continue as a going concern, disclosing, as applicable, matters related to going concern and using the going concern basis of accounting unless the Authority lacks funding for its continued existence or when policy decisions have been made that affect the services provided by the Authority.</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Pr="00301221" w:rsidRDefault="00301221" w:rsidP="00301221">
      <w:pPr>
        <w:autoSpaceDE w:val="0"/>
        <w:autoSpaceDN w:val="0"/>
        <w:adjustRightInd w:val="0"/>
        <w:rPr>
          <w:rFonts w:cs="Arial"/>
          <w:iCs/>
          <w:color w:val="000000" w:themeColor="text1"/>
          <w:sz w:val="22"/>
          <w:szCs w:val="22"/>
          <w:lang w:eastAsia="en-GB"/>
        </w:rPr>
      </w:pPr>
      <w:r w:rsidRPr="00301221">
        <w:rPr>
          <w:rFonts w:cs="Arial"/>
          <w:iCs/>
          <w:color w:val="000000" w:themeColor="text1"/>
          <w:sz w:val="22"/>
          <w:szCs w:val="22"/>
          <w:lang w:eastAsia="en-GB"/>
        </w:rPr>
        <w:t>The Audit Committee is Those Charged with Governance.</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Default="00301221" w:rsidP="00301221">
      <w:pPr>
        <w:autoSpaceDE w:val="0"/>
        <w:autoSpaceDN w:val="0"/>
        <w:adjustRightInd w:val="0"/>
        <w:rPr>
          <w:rFonts w:cs="Arial"/>
          <w:b/>
          <w:color w:val="000000" w:themeColor="text1"/>
          <w:sz w:val="22"/>
          <w:szCs w:val="22"/>
          <w:lang w:eastAsia="en-GB"/>
        </w:rPr>
      </w:pPr>
      <w:r w:rsidRPr="00301221">
        <w:rPr>
          <w:rFonts w:cs="Arial"/>
          <w:b/>
          <w:color w:val="000000" w:themeColor="text1"/>
          <w:sz w:val="22"/>
          <w:szCs w:val="22"/>
          <w:lang w:eastAsia="en-GB"/>
        </w:rPr>
        <w:t>Auditor’s responsibilities for the audit of the financial statements</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Pr="00301221" w:rsidRDefault="00301221" w:rsidP="00301221">
      <w:pPr>
        <w:autoSpaceDE w:val="0"/>
        <w:autoSpaceDN w:val="0"/>
        <w:adjustRightInd w:val="0"/>
        <w:rPr>
          <w:rFonts w:cs="Arial"/>
          <w:iCs/>
          <w:color w:val="000000" w:themeColor="text1"/>
          <w:sz w:val="22"/>
          <w:szCs w:val="22"/>
          <w:lang w:eastAsia="en-GB"/>
        </w:rPr>
      </w:pPr>
      <w:r w:rsidRPr="00301221">
        <w:rPr>
          <w:rFonts w:cs="Arial"/>
          <w:iCs/>
          <w:color w:val="000000" w:themeColor="text1"/>
          <w:sz w:val="22"/>
          <w:szCs w:val="22"/>
          <w:lang w:eastAsia="en-GB"/>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Pr="00301221" w:rsidRDefault="00301221" w:rsidP="00301221">
      <w:pPr>
        <w:autoSpaceDE w:val="0"/>
        <w:autoSpaceDN w:val="0"/>
        <w:adjustRightInd w:val="0"/>
        <w:rPr>
          <w:rFonts w:cs="Arial"/>
          <w:iCs/>
          <w:color w:val="000000" w:themeColor="text1"/>
          <w:sz w:val="22"/>
          <w:szCs w:val="22"/>
          <w:lang w:eastAsia="en-GB"/>
        </w:rPr>
      </w:pPr>
      <w:r w:rsidRPr="00301221">
        <w:rPr>
          <w:rFonts w:cs="Arial"/>
          <w:iCs/>
          <w:color w:val="000000" w:themeColor="text1"/>
          <w:sz w:val="22"/>
          <w:szCs w:val="22"/>
          <w:lang w:eastAsia="en-GB"/>
        </w:rPr>
        <w:t xml:space="preserve">A further description of our responsibilities for the audit of the financial statements is located on the Financial Reporting Council’s website </w:t>
      </w:r>
      <w:r w:rsidRPr="00301221">
        <w:rPr>
          <w:rFonts w:cs="Arial"/>
          <w:color w:val="000000" w:themeColor="text1"/>
          <w:sz w:val="22"/>
          <w:szCs w:val="22"/>
        </w:rPr>
        <w:t xml:space="preserve">at: </w:t>
      </w:r>
      <w:hyperlink r:id="rId18" w:history="1">
        <w:r w:rsidRPr="00301221">
          <w:rPr>
            <w:rFonts w:cs="Arial"/>
            <w:color w:val="000000" w:themeColor="text1"/>
            <w:sz w:val="22"/>
            <w:szCs w:val="22"/>
            <w:u w:val="single"/>
          </w:rPr>
          <w:t>www.frc.org.uk/auditorsresponsibilities</w:t>
        </w:r>
      </w:hyperlink>
      <w:r w:rsidRPr="00301221">
        <w:rPr>
          <w:rFonts w:cs="Arial"/>
          <w:iCs/>
          <w:color w:val="000000" w:themeColor="text1"/>
          <w:sz w:val="22"/>
          <w:szCs w:val="22"/>
          <w:lang w:eastAsia="en-GB"/>
        </w:rPr>
        <w:t>. This description forms part of our auditor’s report.</w:t>
      </w:r>
    </w:p>
    <w:p w:rsidR="00301221" w:rsidRPr="00301221" w:rsidRDefault="00301221" w:rsidP="00301221">
      <w:pPr>
        <w:autoSpaceDE w:val="0"/>
        <w:autoSpaceDN w:val="0"/>
        <w:adjustRightInd w:val="0"/>
        <w:rPr>
          <w:rFonts w:cs="Arial"/>
          <w:iCs/>
          <w:color w:val="000000" w:themeColor="text1"/>
          <w:sz w:val="22"/>
          <w:szCs w:val="22"/>
          <w:lang w:eastAsia="en-GB"/>
        </w:rPr>
      </w:pPr>
    </w:p>
    <w:p w:rsidR="00301221" w:rsidRPr="00301221" w:rsidRDefault="00301221" w:rsidP="00301221">
      <w:pPr>
        <w:autoSpaceDN w:val="0"/>
        <w:rPr>
          <w:rFonts w:cs="Arial"/>
          <w:b/>
          <w:bCs/>
          <w:color w:val="000000" w:themeColor="text1"/>
          <w:sz w:val="22"/>
          <w:szCs w:val="22"/>
          <w:lang w:eastAsia="en-GB"/>
        </w:rPr>
      </w:pPr>
      <w:r w:rsidRPr="00301221">
        <w:rPr>
          <w:rFonts w:cs="Arial"/>
          <w:b/>
          <w:iCs/>
          <w:color w:val="000000" w:themeColor="text1"/>
          <w:sz w:val="22"/>
          <w:szCs w:val="22"/>
          <w:lang w:eastAsia="en-GB"/>
        </w:rPr>
        <w:t xml:space="preserve">Report on other legal and regulatory requirements - Conclusion on </w:t>
      </w:r>
      <w:r w:rsidRPr="00301221">
        <w:rPr>
          <w:rFonts w:cs="Arial"/>
          <w:b/>
          <w:bCs/>
          <w:color w:val="000000" w:themeColor="text1"/>
          <w:sz w:val="22"/>
          <w:szCs w:val="22"/>
          <w:lang w:eastAsia="en-GB"/>
        </w:rPr>
        <w:t>the Authority’s arrangements for securing economy, efficiency and effectiveness in its use of resources</w:t>
      </w:r>
    </w:p>
    <w:p w:rsidR="00301221" w:rsidRPr="00301221" w:rsidRDefault="00301221" w:rsidP="00301221">
      <w:pPr>
        <w:autoSpaceDN w:val="0"/>
        <w:rPr>
          <w:rFonts w:cs="Arial"/>
          <w:b/>
          <w:bCs/>
          <w:color w:val="000000" w:themeColor="text1"/>
          <w:sz w:val="22"/>
          <w:szCs w:val="22"/>
          <w:lang w:eastAsia="en-GB"/>
        </w:rPr>
      </w:pPr>
    </w:p>
    <w:p w:rsidR="00301221" w:rsidRDefault="00301221" w:rsidP="00301221">
      <w:pPr>
        <w:autoSpaceDN w:val="0"/>
        <w:rPr>
          <w:rFonts w:cs="Arial"/>
          <w:b/>
          <w:bCs/>
          <w:color w:val="000000" w:themeColor="text1"/>
          <w:sz w:val="22"/>
          <w:szCs w:val="22"/>
          <w:lang w:eastAsia="en-GB"/>
        </w:rPr>
      </w:pPr>
      <w:r w:rsidRPr="00301221">
        <w:rPr>
          <w:rFonts w:cs="Arial"/>
          <w:b/>
          <w:bCs/>
          <w:color w:val="000000" w:themeColor="text1"/>
          <w:sz w:val="22"/>
          <w:szCs w:val="22"/>
          <w:lang w:eastAsia="en-GB"/>
        </w:rPr>
        <w:t xml:space="preserve">Conclusion </w:t>
      </w:r>
    </w:p>
    <w:p w:rsidR="00301221" w:rsidRPr="00301221" w:rsidRDefault="00301221" w:rsidP="00301221">
      <w:pPr>
        <w:autoSpaceDN w:val="0"/>
        <w:rPr>
          <w:rFonts w:cs="Arial"/>
          <w:b/>
          <w:bCs/>
          <w:color w:val="000000" w:themeColor="text1"/>
          <w:sz w:val="22"/>
          <w:szCs w:val="22"/>
          <w:lang w:eastAsia="en-GB"/>
        </w:rPr>
      </w:pPr>
    </w:p>
    <w:p w:rsidR="00301221" w:rsidRPr="00301221" w:rsidRDefault="00301221" w:rsidP="00301221">
      <w:pPr>
        <w:autoSpaceDN w:val="0"/>
        <w:rPr>
          <w:rFonts w:cs="Arial"/>
          <w:color w:val="000000" w:themeColor="text1"/>
          <w:sz w:val="22"/>
          <w:szCs w:val="22"/>
          <w:lang w:eastAsia="en-GB"/>
        </w:rPr>
      </w:pPr>
      <w:r w:rsidRPr="00301221">
        <w:rPr>
          <w:rFonts w:cs="Arial"/>
          <w:color w:val="000000" w:themeColor="text1"/>
          <w:sz w:val="22"/>
          <w:szCs w:val="22"/>
          <w:lang w:eastAsia="en-GB"/>
        </w:rPr>
        <w:t>On the basis of our work, having regard to the guidance on the specified criterion issued by the Comptroller and Auditor General in November 2017, we are satisfied that</w:t>
      </w:r>
      <w:r w:rsidRPr="00301221">
        <w:rPr>
          <w:rFonts w:cs="Arial"/>
          <w:iCs/>
          <w:color w:val="000000" w:themeColor="text1"/>
          <w:sz w:val="22"/>
          <w:szCs w:val="22"/>
          <w:lang w:eastAsia="en-GB"/>
        </w:rPr>
        <w:t xml:space="preserve"> the Authority</w:t>
      </w:r>
      <w:r w:rsidRPr="00301221">
        <w:rPr>
          <w:rFonts w:cs="Arial"/>
          <w:i/>
          <w:color w:val="000000" w:themeColor="text1"/>
          <w:sz w:val="22"/>
          <w:szCs w:val="22"/>
          <w:lang w:eastAsia="en-GB"/>
        </w:rPr>
        <w:t xml:space="preserve"> </w:t>
      </w:r>
      <w:r w:rsidRPr="00301221">
        <w:rPr>
          <w:rFonts w:cs="Arial"/>
          <w:color w:val="000000" w:themeColor="text1"/>
          <w:sz w:val="22"/>
          <w:szCs w:val="22"/>
          <w:lang w:eastAsia="en-GB"/>
        </w:rPr>
        <w:t>put in place proper arrangements for securing economy, efficiency and effectiveness in its use of resources for the year ended 31 March 2018.</w:t>
      </w:r>
    </w:p>
    <w:p w:rsidR="00301221" w:rsidRPr="00301221" w:rsidRDefault="00301221" w:rsidP="00301221">
      <w:pPr>
        <w:autoSpaceDN w:val="0"/>
        <w:rPr>
          <w:rFonts w:cs="Arial"/>
          <w:b/>
          <w:iCs/>
          <w:color w:val="000000" w:themeColor="text1"/>
          <w:sz w:val="22"/>
          <w:szCs w:val="22"/>
          <w:lang w:eastAsia="en-GB"/>
        </w:rPr>
      </w:pPr>
    </w:p>
    <w:p w:rsidR="00301221" w:rsidRDefault="00301221" w:rsidP="00301221">
      <w:pPr>
        <w:rPr>
          <w:rFonts w:cs="Arial"/>
          <w:b/>
          <w:color w:val="000000" w:themeColor="text1"/>
          <w:sz w:val="22"/>
          <w:szCs w:val="22"/>
          <w:lang w:eastAsia="en-GB"/>
        </w:rPr>
      </w:pPr>
      <w:r w:rsidRPr="00301221">
        <w:rPr>
          <w:rFonts w:cs="Arial"/>
          <w:b/>
          <w:color w:val="000000" w:themeColor="text1"/>
          <w:sz w:val="22"/>
          <w:szCs w:val="22"/>
          <w:lang w:eastAsia="en-GB"/>
        </w:rPr>
        <w:t xml:space="preserve">Responsibilities of the Authority </w:t>
      </w:r>
    </w:p>
    <w:p w:rsidR="00301221" w:rsidRPr="00301221" w:rsidRDefault="00301221" w:rsidP="00301221">
      <w:pPr>
        <w:rPr>
          <w:rFonts w:cs="Arial"/>
          <w:b/>
          <w:color w:val="000000" w:themeColor="text1"/>
          <w:sz w:val="22"/>
          <w:szCs w:val="22"/>
          <w:lang w:eastAsia="en-GB"/>
        </w:rPr>
      </w:pPr>
    </w:p>
    <w:p w:rsidR="00301221" w:rsidRPr="00301221" w:rsidRDefault="00301221" w:rsidP="00301221">
      <w:pPr>
        <w:autoSpaceDN w:val="0"/>
        <w:rPr>
          <w:rFonts w:cs="Arial"/>
          <w:color w:val="000000" w:themeColor="text1"/>
          <w:sz w:val="22"/>
          <w:szCs w:val="22"/>
          <w:lang w:eastAsia="en-GB"/>
        </w:rPr>
      </w:pPr>
      <w:r w:rsidRPr="00301221">
        <w:rPr>
          <w:rFonts w:cs="Arial"/>
          <w:color w:val="000000" w:themeColor="text1"/>
          <w:sz w:val="22"/>
          <w:szCs w:val="22"/>
          <w:lang w:eastAsia="en-GB"/>
        </w:rPr>
        <w:t>The Authority is responsible for putting in place proper arrangements for securing economy, efficiency and effectiveness in its use of resources, to ensure proper stewardship and governance, and to review regularly the adequacy and effectiveness of these arrangements.</w:t>
      </w:r>
    </w:p>
    <w:p w:rsidR="00301221" w:rsidRPr="00301221" w:rsidRDefault="00301221" w:rsidP="00301221">
      <w:pPr>
        <w:autoSpaceDN w:val="0"/>
        <w:rPr>
          <w:rFonts w:cs="Arial"/>
          <w:color w:val="000000" w:themeColor="text1"/>
          <w:sz w:val="22"/>
          <w:szCs w:val="22"/>
          <w:lang w:eastAsia="en-GB"/>
        </w:rPr>
      </w:pPr>
    </w:p>
    <w:p w:rsidR="00301221" w:rsidRDefault="00301221" w:rsidP="00301221">
      <w:pPr>
        <w:autoSpaceDN w:val="0"/>
        <w:rPr>
          <w:rFonts w:cs="Arial"/>
          <w:b/>
          <w:color w:val="000000" w:themeColor="text1"/>
          <w:sz w:val="22"/>
          <w:szCs w:val="22"/>
          <w:lang w:eastAsia="en-GB"/>
        </w:rPr>
      </w:pPr>
      <w:r w:rsidRPr="00301221">
        <w:rPr>
          <w:rFonts w:cs="Arial"/>
          <w:b/>
          <w:color w:val="000000" w:themeColor="text1"/>
          <w:sz w:val="22"/>
          <w:szCs w:val="22"/>
          <w:lang w:eastAsia="en-GB"/>
        </w:rPr>
        <w:t>Auditor’s responsibilities for the review of the Authority’s arrangements for securing economy, efficiency and effectiveness in its use of resources</w:t>
      </w:r>
    </w:p>
    <w:p w:rsidR="00301221" w:rsidRPr="00301221" w:rsidRDefault="00301221" w:rsidP="00301221">
      <w:pPr>
        <w:autoSpaceDN w:val="0"/>
        <w:rPr>
          <w:rFonts w:cs="Arial"/>
          <w:iCs/>
          <w:color w:val="000000" w:themeColor="text1"/>
          <w:sz w:val="22"/>
          <w:szCs w:val="22"/>
          <w:lang w:eastAsia="en-GB"/>
        </w:rPr>
      </w:pPr>
    </w:p>
    <w:p w:rsidR="00301221" w:rsidRPr="00301221" w:rsidRDefault="00301221" w:rsidP="00301221">
      <w:pPr>
        <w:autoSpaceDN w:val="0"/>
        <w:rPr>
          <w:rFonts w:cs="Arial"/>
          <w:iCs/>
          <w:color w:val="000000" w:themeColor="text1"/>
          <w:sz w:val="22"/>
          <w:szCs w:val="22"/>
          <w:lang w:eastAsia="en-GB"/>
        </w:rPr>
      </w:pPr>
      <w:r w:rsidRPr="00301221">
        <w:rPr>
          <w:rFonts w:cs="Arial"/>
          <w:iCs/>
          <w:color w:val="000000" w:themeColor="text1"/>
          <w:sz w:val="22"/>
          <w:szCs w:val="22"/>
          <w:lang w:eastAsia="en-GB"/>
        </w:rPr>
        <w:t>We are required under Section 20(1</w:t>
      </w:r>
      <w:proofErr w:type="gramStart"/>
      <w:r w:rsidRPr="00301221">
        <w:rPr>
          <w:rFonts w:cs="Arial"/>
          <w:iCs/>
          <w:color w:val="000000" w:themeColor="text1"/>
          <w:sz w:val="22"/>
          <w:szCs w:val="22"/>
          <w:lang w:eastAsia="en-GB"/>
        </w:rPr>
        <w:t>)(</w:t>
      </w:r>
      <w:proofErr w:type="gramEnd"/>
      <w:r w:rsidRPr="00301221">
        <w:rPr>
          <w:rFonts w:cs="Arial"/>
          <w:iCs/>
          <w:color w:val="000000" w:themeColor="text1"/>
          <w:sz w:val="22"/>
          <w:szCs w:val="22"/>
          <w:lang w:eastAsia="en-GB"/>
        </w:rPr>
        <w:t>c) of the Local Audit and Accountability Act 2014 to be satisfied that the Authority has made proper arrangements for securing economy, efficiency and effectiveness in its use of resources. We are not required to consider, nor have we considered, whether all aspects of the Authority's arrangements for securing economy, efficiency and effectiveness in its use of resources are operating effectively.</w:t>
      </w:r>
    </w:p>
    <w:p w:rsidR="00301221" w:rsidRPr="00301221" w:rsidRDefault="00301221" w:rsidP="00301221">
      <w:pPr>
        <w:autoSpaceDN w:val="0"/>
        <w:rPr>
          <w:rFonts w:cs="Arial"/>
          <w:iCs/>
          <w:color w:val="000000" w:themeColor="text1"/>
          <w:sz w:val="22"/>
          <w:szCs w:val="22"/>
          <w:lang w:eastAsia="en-GB"/>
        </w:rPr>
      </w:pPr>
    </w:p>
    <w:p w:rsidR="00301221" w:rsidRPr="00301221" w:rsidRDefault="00301221" w:rsidP="00301221">
      <w:p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 xml:space="preserve">We have undertaken our review in accordance with the </w:t>
      </w:r>
      <w:r w:rsidRPr="00301221">
        <w:rPr>
          <w:rFonts w:cs="Arial"/>
          <w:iCs/>
          <w:color w:val="000000" w:themeColor="text1"/>
          <w:sz w:val="22"/>
          <w:szCs w:val="22"/>
          <w:lang w:eastAsia="en-GB"/>
        </w:rPr>
        <w:t>Code of Audit Practice</w:t>
      </w:r>
      <w:r w:rsidRPr="00301221">
        <w:rPr>
          <w:rFonts w:cs="Arial"/>
          <w:color w:val="000000" w:themeColor="text1"/>
          <w:sz w:val="22"/>
          <w:szCs w:val="22"/>
          <w:lang w:eastAsia="en-GB"/>
        </w:rPr>
        <w:t>, having regard to the guidance on the specified criterion issued by the Comptroller and Auditor General in November 2017, as to whether in all significant respects the Authority had proper arrangements to ensure it took properly informed decisions and deployed resources to achieve planned and sustainable outcomes for taxpayers and local people. The Comptroller and Auditor General</w:t>
      </w:r>
      <w:r w:rsidRPr="00301221" w:rsidDel="00960B67">
        <w:rPr>
          <w:rFonts w:cs="Arial"/>
          <w:color w:val="000000" w:themeColor="text1"/>
          <w:sz w:val="22"/>
          <w:szCs w:val="22"/>
          <w:lang w:eastAsia="en-GB"/>
        </w:rPr>
        <w:t xml:space="preserve"> </w:t>
      </w:r>
      <w:r w:rsidRPr="00301221">
        <w:rPr>
          <w:rFonts w:cs="Arial"/>
          <w:color w:val="000000" w:themeColor="text1"/>
          <w:sz w:val="22"/>
          <w:szCs w:val="22"/>
          <w:lang w:eastAsia="en-GB"/>
        </w:rPr>
        <w:t>determined this criterion as that necessary for us to consider under the Code of Audit Practice in satisfying ourselves whether the Authority put in place proper arrangements for securing economy, efficiency and effectiveness in its use of resources for the year ended 31 March 2018.</w:t>
      </w:r>
    </w:p>
    <w:p w:rsidR="00301221" w:rsidRPr="00301221" w:rsidRDefault="00301221" w:rsidP="00301221">
      <w:pPr>
        <w:autoSpaceDE w:val="0"/>
        <w:autoSpaceDN w:val="0"/>
        <w:adjustRightInd w:val="0"/>
        <w:rPr>
          <w:rFonts w:cs="Arial"/>
          <w:color w:val="000000" w:themeColor="text1"/>
          <w:sz w:val="22"/>
          <w:szCs w:val="22"/>
          <w:lang w:eastAsia="en-GB"/>
        </w:rPr>
      </w:pPr>
    </w:p>
    <w:p w:rsidR="00301221" w:rsidRPr="00301221" w:rsidRDefault="00301221" w:rsidP="00301221">
      <w:p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We planned our work in accordance with the Code of Audit Practice. Based on our risk assessment, we undertook such work as we considered necessary to be satisfied that the Authority has put in place proper arrangements for securing economy, efficiency and effectiveness in its use of resources.</w:t>
      </w:r>
    </w:p>
    <w:p w:rsidR="00301221" w:rsidRPr="00301221" w:rsidRDefault="00301221" w:rsidP="00301221">
      <w:pPr>
        <w:autoSpaceDN w:val="0"/>
        <w:rPr>
          <w:rFonts w:cs="Arial"/>
          <w:color w:val="000000" w:themeColor="text1"/>
          <w:sz w:val="22"/>
          <w:szCs w:val="22"/>
          <w:lang w:eastAsia="en-GB"/>
        </w:rPr>
      </w:pPr>
    </w:p>
    <w:p w:rsidR="00301221" w:rsidRDefault="00301221" w:rsidP="00301221">
      <w:pPr>
        <w:autoSpaceDE w:val="0"/>
        <w:autoSpaceDN w:val="0"/>
        <w:adjustRightInd w:val="0"/>
        <w:rPr>
          <w:rFonts w:cs="Arial"/>
          <w:b/>
          <w:color w:val="000000" w:themeColor="text1"/>
          <w:sz w:val="22"/>
          <w:szCs w:val="22"/>
          <w:lang w:eastAsia="en-GB"/>
        </w:rPr>
      </w:pPr>
      <w:r w:rsidRPr="00301221">
        <w:rPr>
          <w:rFonts w:cs="Arial"/>
          <w:b/>
          <w:iCs/>
          <w:color w:val="000000" w:themeColor="text1"/>
          <w:sz w:val="22"/>
          <w:szCs w:val="22"/>
          <w:lang w:eastAsia="en-GB"/>
        </w:rPr>
        <w:lastRenderedPageBreak/>
        <w:t xml:space="preserve">Report on other legal and regulatory requirements </w:t>
      </w:r>
      <w:r>
        <w:rPr>
          <w:rFonts w:cs="Arial"/>
          <w:b/>
          <w:iCs/>
          <w:color w:val="000000" w:themeColor="text1"/>
          <w:sz w:val="22"/>
          <w:szCs w:val="22"/>
          <w:lang w:eastAsia="en-GB"/>
        </w:rPr>
        <w:t>–</w:t>
      </w:r>
      <w:r w:rsidRPr="00301221">
        <w:rPr>
          <w:rFonts w:cs="Arial"/>
          <w:b/>
          <w:iCs/>
          <w:color w:val="000000" w:themeColor="text1"/>
          <w:sz w:val="22"/>
          <w:szCs w:val="22"/>
          <w:lang w:eastAsia="en-GB"/>
        </w:rPr>
        <w:t xml:space="preserve"> </w:t>
      </w:r>
      <w:r w:rsidRPr="00301221">
        <w:rPr>
          <w:rFonts w:cs="Arial"/>
          <w:b/>
          <w:color w:val="000000" w:themeColor="text1"/>
          <w:sz w:val="22"/>
          <w:szCs w:val="22"/>
          <w:lang w:eastAsia="en-GB"/>
        </w:rPr>
        <w:t>Certificate</w:t>
      </w:r>
    </w:p>
    <w:p w:rsidR="00301221" w:rsidRPr="00301221" w:rsidRDefault="00301221" w:rsidP="00301221">
      <w:pPr>
        <w:autoSpaceDE w:val="0"/>
        <w:autoSpaceDN w:val="0"/>
        <w:adjustRightInd w:val="0"/>
        <w:rPr>
          <w:rFonts w:cs="Arial"/>
          <w:b/>
          <w:color w:val="000000" w:themeColor="text1"/>
          <w:sz w:val="22"/>
          <w:szCs w:val="22"/>
          <w:lang w:eastAsia="en-GB"/>
        </w:rPr>
      </w:pPr>
    </w:p>
    <w:p w:rsidR="00301221" w:rsidRPr="00301221" w:rsidRDefault="00301221" w:rsidP="00301221">
      <w:pPr>
        <w:autoSpaceDE w:val="0"/>
        <w:autoSpaceDN w:val="0"/>
        <w:adjustRightInd w:val="0"/>
        <w:rPr>
          <w:rFonts w:cs="Arial"/>
          <w:color w:val="000000" w:themeColor="text1"/>
          <w:sz w:val="22"/>
          <w:szCs w:val="22"/>
          <w:lang w:eastAsia="en-GB"/>
        </w:rPr>
      </w:pPr>
      <w:r w:rsidRPr="00301221">
        <w:rPr>
          <w:rFonts w:cs="Arial"/>
          <w:color w:val="000000" w:themeColor="text1"/>
          <w:sz w:val="22"/>
          <w:szCs w:val="22"/>
          <w:lang w:eastAsia="en-GB"/>
        </w:rPr>
        <w:t>We certify that we have completed the audit of the financial statements of the Authority in accordance with the requirements of the Local Audit and Accountability Act 2014 and the Code of Audit Practice.</w:t>
      </w:r>
    </w:p>
    <w:p w:rsidR="00301221" w:rsidRPr="00301221" w:rsidRDefault="00301221" w:rsidP="00301221">
      <w:pPr>
        <w:autoSpaceDE w:val="0"/>
        <w:autoSpaceDN w:val="0"/>
        <w:adjustRightInd w:val="0"/>
        <w:rPr>
          <w:rFonts w:cs="Arial"/>
          <w:color w:val="000000" w:themeColor="text1"/>
          <w:sz w:val="22"/>
          <w:szCs w:val="22"/>
          <w:lang w:eastAsia="en-GB"/>
        </w:rPr>
      </w:pPr>
    </w:p>
    <w:p w:rsidR="00301221" w:rsidRPr="00301221" w:rsidRDefault="00301221" w:rsidP="00301221">
      <w:pPr>
        <w:rPr>
          <w:rFonts w:cs="Arial"/>
          <w:color w:val="000000" w:themeColor="text1"/>
          <w:sz w:val="22"/>
          <w:szCs w:val="22"/>
          <w:lang w:eastAsia="en-GB"/>
        </w:rPr>
      </w:pPr>
    </w:p>
    <w:p w:rsidR="00301221" w:rsidRPr="00301221" w:rsidRDefault="00301221" w:rsidP="00301221">
      <w:pPr>
        <w:autoSpaceDE w:val="0"/>
        <w:autoSpaceDN w:val="0"/>
        <w:adjustRightInd w:val="0"/>
        <w:rPr>
          <w:rFonts w:cs="Arial"/>
          <w:i/>
          <w:color w:val="000000" w:themeColor="text1"/>
          <w:sz w:val="22"/>
          <w:szCs w:val="22"/>
          <w:lang w:eastAsia="en-GB"/>
        </w:rPr>
      </w:pPr>
    </w:p>
    <w:p w:rsidR="00301221" w:rsidRPr="00301221" w:rsidRDefault="00301221" w:rsidP="00301221">
      <w:pPr>
        <w:rPr>
          <w:rFonts w:cs="Arial"/>
          <w:color w:val="000000" w:themeColor="text1"/>
          <w:sz w:val="22"/>
          <w:szCs w:val="22"/>
        </w:rPr>
      </w:pPr>
      <w:r w:rsidRPr="00301221">
        <w:rPr>
          <w:rFonts w:cs="Arial"/>
          <w:i/>
          <w:color w:val="000000" w:themeColor="text1"/>
          <w:sz w:val="22"/>
          <w:szCs w:val="22"/>
        </w:rPr>
        <w:t xml:space="preserve">Robin J Baker </w:t>
      </w:r>
    </w:p>
    <w:p w:rsidR="00301221" w:rsidRPr="00301221" w:rsidRDefault="00301221" w:rsidP="00301221">
      <w:pPr>
        <w:rPr>
          <w:rFonts w:cs="Arial"/>
          <w:color w:val="000000" w:themeColor="text1"/>
          <w:sz w:val="22"/>
          <w:szCs w:val="22"/>
        </w:rPr>
      </w:pPr>
    </w:p>
    <w:p w:rsidR="00301221" w:rsidRPr="00301221" w:rsidRDefault="00301221" w:rsidP="00301221">
      <w:pPr>
        <w:rPr>
          <w:rFonts w:cs="Arial"/>
          <w:color w:val="000000" w:themeColor="text1"/>
          <w:sz w:val="22"/>
          <w:szCs w:val="22"/>
        </w:rPr>
      </w:pPr>
      <w:r w:rsidRPr="00301221">
        <w:rPr>
          <w:rFonts w:cs="Arial"/>
          <w:color w:val="000000" w:themeColor="text1"/>
          <w:sz w:val="22"/>
          <w:szCs w:val="22"/>
        </w:rPr>
        <w:t xml:space="preserve">Robin J Baker </w:t>
      </w:r>
      <w:r w:rsidRPr="00301221">
        <w:rPr>
          <w:rFonts w:cs="Arial"/>
          <w:color w:val="000000" w:themeColor="text1"/>
          <w:sz w:val="22"/>
          <w:szCs w:val="22"/>
        </w:rPr>
        <w:br/>
        <w:t>for and on behalf of Grant Thornton UK LLP, Appointed Auditor</w:t>
      </w:r>
    </w:p>
    <w:p w:rsidR="00301221" w:rsidRPr="00301221" w:rsidRDefault="00301221" w:rsidP="00301221">
      <w:pPr>
        <w:keepNext/>
        <w:rPr>
          <w:rFonts w:cs="Arial"/>
          <w:color w:val="000000" w:themeColor="text1"/>
          <w:sz w:val="22"/>
          <w:szCs w:val="22"/>
        </w:rPr>
      </w:pPr>
    </w:p>
    <w:p w:rsidR="00301221" w:rsidRPr="00301221" w:rsidRDefault="00301221" w:rsidP="00301221">
      <w:pPr>
        <w:keepNext/>
        <w:rPr>
          <w:rFonts w:cs="Arial"/>
          <w:color w:val="000000" w:themeColor="text1"/>
          <w:sz w:val="22"/>
          <w:szCs w:val="22"/>
        </w:rPr>
      </w:pPr>
      <w:r w:rsidRPr="00301221">
        <w:rPr>
          <w:rFonts w:cs="Arial"/>
          <w:color w:val="000000" w:themeColor="text1"/>
          <w:sz w:val="22"/>
          <w:szCs w:val="22"/>
        </w:rPr>
        <w:t xml:space="preserve">Royal Liver Building, Liverpool, L3 1PS </w:t>
      </w:r>
    </w:p>
    <w:p w:rsidR="00301221" w:rsidRPr="00301221" w:rsidRDefault="00301221" w:rsidP="00301221">
      <w:pPr>
        <w:keepNext/>
        <w:rPr>
          <w:rFonts w:cs="Arial"/>
          <w:color w:val="000000" w:themeColor="text1"/>
          <w:sz w:val="22"/>
          <w:szCs w:val="22"/>
        </w:rPr>
      </w:pPr>
    </w:p>
    <w:p w:rsidR="006B4BE1" w:rsidRDefault="00301221" w:rsidP="006B4BE1">
      <w:pPr>
        <w:rPr>
          <w:rFonts w:cs="Arial"/>
          <w:b/>
          <w:iCs/>
          <w:sz w:val="22"/>
          <w:szCs w:val="22"/>
          <w:lang w:eastAsia="en-GB"/>
        </w:rPr>
      </w:pPr>
      <w:r w:rsidRPr="00301221">
        <w:rPr>
          <w:rFonts w:cs="Arial"/>
          <w:color w:val="000000" w:themeColor="text1"/>
          <w:sz w:val="22"/>
          <w:szCs w:val="22"/>
          <w:lang w:eastAsia="en-GB"/>
        </w:rPr>
        <w:t>24 July 2018</w:t>
      </w:r>
      <w:r w:rsidRPr="00301221">
        <w:rPr>
          <w:color w:val="000000" w:themeColor="text1"/>
          <w:sz w:val="22"/>
          <w:szCs w:val="22"/>
          <w:lang w:eastAsia="en-GB"/>
        </w:rPr>
        <w:t xml:space="preserve"> </w:t>
      </w:r>
      <w:r w:rsidR="006B4BE1">
        <w:rPr>
          <w:rFonts w:cs="Arial"/>
          <w:b/>
          <w:iCs/>
          <w:sz w:val="22"/>
          <w:szCs w:val="22"/>
          <w:lang w:eastAsia="en-GB"/>
        </w:rPr>
        <w:br w:type="page"/>
      </w:r>
    </w:p>
    <w:p w:rsidR="006B4BE1" w:rsidRPr="004371A9" w:rsidRDefault="006B4BE1" w:rsidP="006B4BE1">
      <w:pPr>
        <w:pStyle w:val="Heading1"/>
      </w:pPr>
      <w:r>
        <w:lastRenderedPageBreak/>
        <w:t>STATEMENT OF RESPONSIBILITIES FOR THE STATEMENT OF ACCOUNTS</w:t>
      </w:r>
    </w:p>
    <w:p w:rsidR="006B4BE1" w:rsidRDefault="006B4BE1" w:rsidP="006B4BE1">
      <w:pPr>
        <w:rPr>
          <w:sz w:val="22"/>
        </w:rPr>
      </w:pPr>
    </w:p>
    <w:p w:rsidR="006B4BE1" w:rsidRDefault="006B4BE1" w:rsidP="006B4BE1">
      <w:pPr>
        <w:rPr>
          <w:sz w:val="22"/>
        </w:rPr>
      </w:pPr>
    </w:p>
    <w:p w:rsidR="006B4BE1" w:rsidRDefault="006B4BE1" w:rsidP="006B4BE1">
      <w:pPr>
        <w:rPr>
          <w:b/>
          <w:sz w:val="22"/>
        </w:rPr>
      </w:pPr>
      <w:r>
        <w:rPr>
          <w:b/>
          <w:sz w:val="22"/>
        </w:rPr>
        <w:t>The Authority’s Responsibilities</w:t>
      </w:r>
    </w:p>
    <w:p w:rsidR="006B4BE1" w:rsidRDefault="006B4BE1" w:rsidP="006B4BE1">
      <w:pPr>
        <w:rPr>
          <w:sz w:val="22"/>
        </w:rPr>
      </w:pPr>
    </w:p>
    <w:p w:rsidR="006B4BE1" w:rsidRDefault="006B4BE1" w:rsidP="006B4BE1">
      <w:pPr>
        <w:rPr>
          <w:sz w:val="22"/>
        </w:rPr>
      </w:pPr>
      <w:r>
        <w:rPr>
          <w:sz w:val="22"/>
        </w:rPr>
        <w:t>The Authority is required:</w:t>
      </w:r>
    </w:p>
    <w:p w:rsidR="006B4BE1" w:rsidRDefault="006B4BE1" w:rsidP="006B4BE1">
      <w:pPr>
        <w:rPr>
          <w:sz w:val="22"/>
        </w:rPr>
      </w:pPr>
    </w:p>
    <w:p w:rsidR="006B4BE1" w:rsidRDefault="006B4BE1" w:rsidP="00882E25">
      <w:pPr>
        <w:numPr>
          <w:ilvl w:val="0"/>
          <w:numId w:val="36"/>
        </w:numPr>
        <w:jc w:val="both"/>
        <w:rPr>
          <w:sz w:val="22"/>
        </w:rPr>
      </w:pPr>
      <w:r>
        <w:rPr>
          <w:sz w:val="22"/>
        </w:rPr>
        <w:t>To make arrangements for the proper administration of the financial affairs and to ensure that one of its officers has the responsibility for the administration of those affairs.  In this Authority that officer is the Treasurer to the Fire Authority.</w:t>
      </w:r>
    </w:p>
    <w:p w:rsidR="006B4BE1" w:rsidRDefault="006B4BE1" w:rsidP="006B4BE1">
      <w:pPr>
        <w:jc w:val="both"/>
        <w:rPr>
          <w:sz w:val="22"/>
        </w:rPr>
      </w:pPr>
    </w:p>
    <w:p w:rsidR="006B4BE1" w:rsidRDefault="006B4BE1" w:rsidP="00882E25">
      <w:pPr>
        <w:numPr>
          <w:ilvl w:val="0"/>
          <w:numId w:val="36"/>
        </w:numPr>
        <w:jc w:val="both"/>
        <w:rPr>
          <w:sz w:val="22"/>
        </w:rPr>
      </w:pPr>
      <w:r>
        <w:rPr>
          <w:sz w:val="22"/>
        </w:rPr>
        <w:t>To manage its affairs to secure economic, efficient and effective use of resources and safeguard its assets.</w:t>
      </w:r>
    </w:p>
    <w:p w:rsidR="006B4BE1" w:rsidRDefault="006B4BE1" w:rsidP="006B4BE1">
      <w:pPr>
        <w:jc w:val="both"/>
        <w:rPr>
          <w:sz w:val="22"/>
        </w:rPr>
      </w:pPr>
    </w:p>
    <w:p w:rsidR="006B4BE1" w:rsidRDefault="006B4BE1" w:rsidP="00882E25">
      <w:pPr>
        <w:numPr>
          <w:ilvl w:val="0"/>
          <w:numId w:val="36"/>
        </w:numPr>
        <w:jc w:val="both"/>
        <w:rPr>
          <w:sz w:val="22"/>
        </w:rPr>
      </w:pPr>
      <w:r>
        <w:rPr>
          <w:sz w:val="22"/>
        </w:rPr>
        <w:t>Approve the Statement of Accounts.</w:t>
      </w:r>
    </w:p>
    <w:p w:rsidR="006B4BE1" w:rsidRDefault="006B4BE1" w:rsidP="006B4BE1">
      <w:pPr>
        <w:ind w:hanging="562"/>
        <w:rPr>
          <w:sz w:val="22"/>
        </w:rPr>
      </w:pPr>
    </w:p>
    <w:p w:rsidR="006B4BE1" w:rsidRDefault="006B4BE1" w:rsidP="006B4BE1">
      <w:pPr>
        <w:jc w:val="both"/>
        <w:rPr>
          <w:b/>
          <w:sz w:val="22"/>
        </w:rPr>
      </w:pPr>
      <w:r>
        <w:rPr>
          <w:b/>
          <w:sz w:val="22"/>
        </w:rPr>
        <w:t>The Treasurer’s Responsibilities</w:t>
      </w:r>
    </w:p>
    <w:p w:rsidR="006B4BE1" w:rsidRDefault="006B4BE1" w:rsidP="006B4BE1">
      <w:pPr>
        <w:ind w:hanging="562"/>
        <w:jc w:val="both"/>
        <w:rPr>
          <w:b/>
          <w:sz w:val="22"/>
        </w:rPr>
      </w:pPr>
    </w:p>
    <w:p w:rsidR="006B4BE1" w:rsidRDefault="006B4BE1" w:rsidP="006B4BE1">
      <w:pPr>
        <w:tabs>
          <w:tab w:val="left" w:pos="1418"/>
        </w:tabs>
        <w:jc w:val="both"/>
        <w:rPr>
          <w:sz w:val="22"/>
        </w:rPr>
      </w:pPr>
      <w:r>
        <w:rPr>
          <w:sz w:val="22"/>
        </w:rPr>
        <w:t xml:space="preserve">The Treasurer is responsible for the preparation of the Authority’s Statement of Accounts which, in terms of the CIPFA/LASAAC Code of Practice on Local Authority Accounting in Great Britain (‘the Code’), is required to present </w:t>
      </w:r>
      <w:r>
        <w:rPr>
          <w:rFonts w:cs="Arial"/>
          <w:sz w:val="22"/>
          <w:szCs w:val="22"/>
        </w:rPr>
        <w:t xml:space="preserve">a true and </w:t>
      </w:r>
      <w:r w:rsidRPr="00462F54">
        <w:rPr>
          <w:rFonts w:cs="Arial"/>
          <w:sz w:val="22"/>
          <w:szCs w:val="22"/>
        </w:rPr>
        <w:t>fair</w:t>
      </w:r>
      <w:r>
        <w:rPr>
          <w:rFonts w:cs="Arial"/>
          <w:sz w:val="22"/>
          <w:szCs w:val="22"/>
        </w:rPr>
        <w:t xml:space="preserve"> view</w:t>
      </w:r>
      <w:r>
        <w:rPr>
          <w:sz w:val="22"/>
        </w:rPr>
        <w:t xml:space="preserve"> of the financial position of the Authority at the accounting date and its income and expenditure for the year ended 31 March 201</w:t>
      </w:r>
      <w:r w:rsidR="007077EF">
        <w:rPr>
          <w:sz w:val="22"/>
        </w:rPr>
        <w:t>8</w:t>
      </w:r>
      <w:r>
        <w:rPr>
          <w:sz w:val="22"/>
        </w:rPr>
        <w:t>.</w:t>
      </w:r>
    </w:p>
    <w:p w:rsidR="006B4BE1" w:rsidRDefault="006B4BE1" w:rsidP="006B4BE1">
      <w:pPr>
        <w:jc w:val="both"/>
        <w:rPr>
          <w:sz w:val="22"/>
        </w:rPr>
      </w:pPr>
    </w:p>
    <w:p w:rsidR="006B4BE1" w:rsidRDefault="006B4BE1" w:rsidP="006B4BE1">
      <w:pPr>
        <w:jc w:val="both"/>
        <w:rPr>
          <w:sz w:val="22"/>
        </w:rPr>
      </w:pPr>
      <w:r>
        <w:rPr>
          <w:sz w:val="22"/>
        </w:rPr>
        <w:t>In preparing this Statement of Accounts, the Treasurer has:</w:t>
      </w:r>
    </w:p>
    <w:p w:rsidR="006B4BE1" w:rsidRDefault="006B4BE1" w:rsidP="006B4BE1">
      <w:pPr>
        <w:jc w:val="both"/>
        <w:rPr>
          <w:sz w:val="22"/>
        </w:rPr>
      </w:pPr>
    </w:p>
    <w:p w:rsidR="006B4BE1" w:rsidRDefault="006B4BE1" w:rsidP="00882E25">
      <w:pPr>
        <w:numPr>
          <w:ilvl w:val="0"/>
          <w:numId w:val="36"/>
        </w:numPr>
        <w:jc w:val="both"/>
        <w:rPr>
          <w:sz w:val="22"/>
        </w:rPr>
      </w:pPr>
      <w:r>
        <w:rPr>
          <w:sz w:val="22"/>
        </w:rPr>
        <w:t>Selected suitable accounting policies and then applied them consistently;</w:t>
      </w:r>
    </w:p>
    <w:p w:rsidR="006B4BE1" w:rsidRDefault="006B4BE1" w:rsidP="00882E25">
      <w:pPr>
        <w:numPr>
          <w:ilvl w:val="0"/>
          <w:numId w:val="36"/>
        </w:numPr>
        <w:jc w:val="both"/>
        <w:rPr>
          <w:sz w:val="22"/>
        </w:rPr>
      </w:pPr>
      <w:r>
        <w:rPr>
          <w:sz w:val="22"/>
        </w:rPr>
        <w:t>Made judgements and estimates that were reasonable and prudent;</w:t>
      </w:r>
    </w:p>
    <w:p w:rsidR="006B4BE1" w:rsidRDefault="006B4BE1" w:rsidP="00882E25">
      <w:pPr>
        <w:numPr>
          <w:ilvl w:val="0"/>
          <w:numId w:val="36"/>
        </w:numPr>
        <w:jc w:val="both"/>
        <w:rPr>
          <w:sz w:val="22"/>
        </w:rPr>
      </w:pPr>
      <w:r>
        <w:rPr>
          <w:sz w:val="22"/>
        </w:rPr>
        <w:t>Complied with the Code.</w:t>
      </w:r>
    </w:p>
    <w:p w:rsidR="006B4BE1" w:rsidRDefault="006B4BE1" w:rsidP="006B4BE1">
      <w:pPr>
        <w:jc w:val="both"/>
        <w:rPr>
          <w:sz w:val="22"/>
        </w:rPr>
      </w:pPr>
    </w:p>
    <w:p w:rsidR="006B4BE1" w:rsidRDefault="006B4BE1" w:rsidP="006B4BE1">
      <w:pPr>
        <w:jc w:val="both"/>
        <w:rPr>
          <w:sz w:val="22"/>
        </w:rPr>
      </w:pPr>
      <w:r>
        <w:rPr>
          <w:sz w:val="22"/>
        </w:rPr>
        <w:t>The Treasurer has also:</w:t>
      </w:r>
    </w:p>
    <w:p w:rsidR="006B4BE1" w:rsidRDefault="006B4BE1" w:rsidP="006B4BE1">
      <w:pPr>
        <w:jc w:val="both"/>
        <w:rPr>
          <w:sz w:val="22"/>
        </w:rPr>
      </w:pPr>
    </w:p>
    <w:p w:rsidR="006B4BE1" w:rsidRDefault="006B4BE1" w:rsidP="00882E25">
      <w:pPr>
        <w:numPr>
          <w:ilvl w:val="0"/>
          <w:numId w:val="36"/>
        </w:numPr>
        <w:jc w:val="both"/>
        <w:rPr>
          <w:sz w:val="22"/>
        </w:rPr>
      </w:pPr>
      <w:r>
        <w:rPr>
          <w:sz w:val="22"/>
        </w:rPr>
        <w:t>Kept proper accounting records which were up-to-date;</w:t>
      </w:r>
    </w:p>
    <w:p w:rsidR="006B4BE1" w:rsidRDefault="006B4BE1" w:rsidP="00882E25">
      <w:pPr>
        <w:numPr>
          <w:ilvl w:val="0"/>
          <w:numId w:val="36"/>
        </w:numPr>
        <w:jc w:val="both"/>
        <w:rPr>
          <w:sz w:val="22"/>
        </w:rPr>
      </w:pPr>
      <w:r>
        <w:rPr>
          <w:sz w:val="22"/>
        </w:rPr>
        <w:t>Taken reasonable steps for the prevention and detection of fraud and other irregularities.</w:t>
      </w:r>
    </w:p>
    <w:p w:rsidR="006B4BE1" w:rsidRDefault="006B4BE1" w:rsidP="006B4BE1">
      <w:pPr>
        <w:jc w:val="both"/>
        <w:rPr>
          <w:sz w:val="22"/>
        </w:rPr>
      </w:pPr>
    </w:p>
    <w:p w:rsidR="006B4BE1" w:rsidRDefault="006B4BE1" w:rsidP="006B4BE1">
      <w:pPr>
        <w:jc w:val="both"/>
        <w:rPr>
          <w:sz w:val="22"/>
        </w:rPr>
      </w:pPr>
    </w:p>
    <w:p w:rsidR="006B4BE1" w:rsidRDefault="006B4BE1" w:rsidP="006B4BE1">
      <w:pPr>
        <w:jc w:val="both"/>
        <w:rPr>
          <w:sz w:val="22"/>
        </w:rPr>
      </w:pPr>
    </w:p>
    <w:p w:rsidR="006B4BE1" w:rsidRDefault="006B4BE1" w:rsidP="006B4BE1">
      <w:pPr>
        <w:jc w:val="both"/>
        <w:rPr>
          <w:sz w:val="22"/>
        </w:rPr>
      </w:pPr>
    </w:p>
    <w:p w:rsidR="007E61C0" w:rsidRDefault="007E61C0" w:rsidP="006B4BE1">
      <w:pPr>
        <w:jc w:val="both"/>
        <w:rPr>
          <w:sz w:val="22"/>
        </w:rPr>
      </w:pPr>
    </w:p>
    <w:p w:rsidR="006B4BE1" w:rsidRDefault="006B4BE1" w:rsidP="006B4BE1">
      <w:pPr>
        <w:jc w:val="both"/>
        <w:rPr>
          <w:sz w:val="22"/>
        </w:rPr>
      </w:pPr>
    </w:p>
    <w:p w:rsidR="006B4BE1" w:rsidRDefault="006B4BE1" w:rsidP="006B4BE1">
      <w:pPr>
        <w:jc w:val="both"/>
        <w:rPr>
          <w:sz w:val="22"/>
        </w:rPr>
      </w:pPr>
    </w:p>
    <w:tbl>
      <w:tblPr>
        <w:tblW w:w="0" w:type="auto"/>
        <w:tblLayout w:type="fixed"/>
        <w:tblLook w:val="0000" w:firstRow="0" w:lastRow="0" w:firstColumn="0" w:lastColumn="0" w:noHBand="0" w:noVBand="0"/>
      </w:tblPr>
      <w:tblGrid>
        <w:gridCol w:w="4621"/>
        <w:gridCol w:w="4621"/>
      </w:tblGrid>
      <w:tr w:rsidR="006B4BE1" w:rsidTr="002F318F">
        <w:trPr>
          <w:trHeight w:val="702"/>
        </w:trPr>
        <w:tc>
          <w:tcPr>
            <w:tcW w:w="4621" w:type="dxa"/>
          </w:tcPr>
          <w:p w:rsidR="006B4BE1" w:rsidRPr="007E61C0" w:rsidRDefault="006B4BE1" w:rsidP="002F318F">
            <w:pPr>
              <w:jc w:val="both"/>
              <w:rPr>
                <w:sz w:val="22"/>
              </w:rPr>
            </w:pPr>
            <w:r w:rsidRPr="007E61C0">
              <w:rPr>
                <w:sz w:val="22"/>
              </w:rPr>
              <w:t>K Mattinson    CPFA</w:t>
            </w:r>
          </w:p>
          <w:p w:rsidR="006B4BE1" w:rsidRPr="007E61C0" w:rsidRDefault="006B4BE1" w:rsidP="002F318F">
            <w:pPr>
              <w:pStyle w:val="00-Normal-BB"/>
              <w:rPr>
                <w:rFonts w:eastAsia="Times New Roman"/>
              </w:rPr>
            </w:pPr>
            <w:r w:rsidRPr="007E61C0">
              <w:rPr>
                <w:rFonts w:eastAsia="Times New Roman"/>
              </w:rPr>
              <w:t>Treasurer to the Combined Fire Authority</w:t>
            </w:r>
          </w:p>
          <w:p w:rsidR="006B4BE1" w:rsidRPr="007E61C0" w:rsidRDefault="002C3B00" w:rsidP="002C3B00">
            <w:pPr>
              <w:jc w:val="both"/>
              <w:rPr>
                <w:sz w:val="22"/>
              </w:rPr>
            </w:pPr>
            <w:r>
              <w:rPr>
                <w:sz w:val="20"/>
              </w:rPr>
              <w:t>24</w:t>
            </w:r>
            <w:r w:rsidRPr="007E61C0">
              <w:rPr>
                <w:sz w:val="20"/>
              </w:rPr>
              <w:t xml:space="preserve"> </w:t>
            </w:r>
            <w:r>
              <w:rPr>
                <w:sz w:val="20"/>
              </w:rPr>
              <w:t>July</w:t>
            </w:r>
            <w:r w:rsidRPr="007E61C0">
              <w:rPr>
                <w:sz w:val="20"/>
              </w:rPr>
              <w:t xml:space="preserve"> </w:t>
            </w:r>
            <w:r w:rsidR="000B724F" w:rsidRPr="007E61C0">
              <w:rPr>
                <w:sz w:val="20"/>
              </w:rPr>
              <w:t>2018</w:t>
            </w:r>
          </w:p>
        </w:tc>
        <w:tc>
          <w:tcPr>
            <w:tcW w:w="4621" w:type="dxa"/>
          </w:tcPr>
          <w:p w:rsidR="006B4BE1" w:rsidRDefault="002C3B00" w:rsidP="002F318F">
            <w:pPr>
              <w:jc w:val="both"/>
              <w:rPr>
                <w:sz w:val="22"/>
              </w:rPr>
            </w:pPr>
            <w:r>
              <w:rPr>
                <w:sz w:val="22"/>
              </w:rPr>
              <w:t>Matthew Tomlinson</w:t>
            </w:r>
          </w:p>
          <w:p w:rsidR="002C3B00" w:rsidRDefault="002C3B00" w:rsidP="002F318F">
            <w:pPr>
              <w:jc w:val="both"/>
              <w:rPr>
                <w:sz w:val="22"/>
              </w:rPr>
            </w:pPr>
            <w:r>
              <w:rPr>
                <w:sz w:val="22"/>
              </w:rPr>
              <w:t>Chair of Audit Committee</w:t>
            </w:r>
          </w:p>
          <w:p w:rsidR="002C3B00" w:rsidRPr="007E61C0" w:rsidRDefault="002C3B00" w:rsidP="002F318F">
            <w:pPr>
              <w:jc w:val="both"/>
              <w:rPr>
                <w:sz w:val="22"/>
              </w:rPr>
            </w:pPr>
            <w:r>
              <w:rPr>
                <w:sz w:val="22"/>
              </w:rPr>
              <w:t>24 July 2018</w:t>
            </w:r>
          </w:p>
        </w:tc>
      </w:tr>
    </w:tbl>
    <w:p w:rsidR="006B4BE1" w:rsidRDefault="006B4BE1" w:rsidP="003601D2">
      <w:pPr>
        <w:tabs>
          <w:tab w:val="left" w:pos="720"/>
          <w:tab w:val="right" w:pos="5760"/>
        </w:tabs>
        <w:jc w:val="center"/>
        <w:rPr>
          <w:b/>
          <w:sz w:val="22"/>
        </w:rPr>
        <w:sectPr w:rsidR="006B4BE1" w:rsidSect="00854EFD">
          <w:headerReference w:type="default" r:id="rId19"/>
          <w:footerReference w:type="default" r:id="rId20"/>
          <w:pgSz w:w="11907" w:h="16840" w:code="9"/>
          <w:pgMar w:top="624" w:right="737" w:bottom="851" w:left="794" w:header="720" w:footer="720" w:gutter="0"/>
          <w:pgNumType w:start="1"/>
          <w:cols w:space="720"/>
          <w:docGrid w:linePitch="326"/>
        </w:sectPr>
      </w:pPr>
    </w:p>
    <w:p w:rsidR="003601D2" w:rsidRPr="00BC0AFA" w:rsidRDefault="003601D2" w:rsidP="003601D2">
      <w:pPr>
        <w:tabs>
          <w:tab w:val="left" w:pos="720"/>
          <w:tab w:val="right" w:pos="5760"/>
        </w:tabs>
        <w:jc w:val="center"/>
        <w:rPr>
          <w:b/>
          <w:sz w:val="22"/>
        </w:rPr>
      </w:pPr>
      <w:r>
        <w:rPr>
          <w:b/>
          <w:sz w:val="22"/>
        </w:rPr>
        <w:lastRenderedPageBreak/>
        <w:t>COMPREHENSIVE INCOME &amp; EXPENDITURE ACCOUNT</w:t>
      </w:r>
    </w:p>
    <w:p w:rsidR="003601D2" w:rsidRPr="00534390" w:rsidRDefault="003601D2" w:rsidP="003601D2">
      <w:pPr>
        <w:ind w:left="709"/>
        <w:jc w:val="both"/>
        <w:rPr>
          <w:sz w:val="20"/>
        </w:rPr>
      </w:pPr>
    </w:p>
    <w:p w:rsidR="003601D2" w:rsidRPr="00534390" w:rsidRDefault="003601D2" w:rsidP="003601D2">
      <w:pPr>
        <w:jc w:val="both"/>
        <w:rPr>
          <w:sz w:val="20"/>
        </w:rPr>
      </w:pPr>
      <w:r w:rsidRPr="00534390">
        <w:rPr>
          <w:sz w:val="20"/>
        </w:rPr>
        <w:t xml:space="preserve">This statement shows the accounting cost in the year of providing services in accordance with generally accepted accounting practices, rather than the amount funded from taxation.  Authorities raise taxation to cover expenditure in accordance with regulations; this may be different from the accounting cost. The taxation position is shown in </w:t>
      </w:r>
      <w:r w:rsidR="00F67BAF">
        <w:rPr>
          <w:sz w:val="20"/>
        </w:rPr>
        <w:t xml:space="preserve">both the Expenditure and Funding Analysis and </w:t>
      </w:r>
      <w:r w:rsidRPr="00534390">
        <w:rPr>
          <w:sz w:val="20"/>
        </w:rPr>
        <w:t>the Movement in Reserves Statement.</w:t>
      </w:r>
    </w:p>
    <w:tbl>
      <w:tblPr>
        <w:tblW w:w="14744"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51"/>
        <w:gridCol w:w="7513"/>
        <w:gridCol w:w="1134"/>
        <w:gridCol w:w="992"/>
        <w:gridCol w:w="1135"/>
        <w:gridCol w:w="992"/>
        <w:gridCol w:w="992"/>
        <w:gridCol w:w="1135"/>
      </w:tblGrid>
      <w:tr w:rsidR="007077EF" w:rsidTr="003601D2">
        <w:trPr>
          <w:cantSplit/>
        </w:trPr>
        <w:tc>
          <w:tcPr>
            <w:tcW w:w="851" w:type="dxa"/>
            <w:tcBorders>
              <w:top w:val="nil"/>
              <w:left w:val="nil"/>
              <w:bottom w:val="nil"/>
              <w:right w:val="nil"/>
            </w:tcBorders>
          </w:tcPr>
          <w:p w:rsidR="007077EF" w:rsidRPr="004478E2" w:rsidRDefault="007077EF" w:rsidP="003601D2">
            <w:pPr>
              <w:jc w:val="both"/>
              <w:rPr>
                <w:sz w:val="20"/>
              </w:rPr>
            </w:pPr>
            <w:r w:rsidRPr="004478E2">
              <w:rPr>
                <w:sz w:val="20"/>
              </w:rPr>
              <w:t>Notes</w:t>
            </w:r>
          </w:p>
        </w:tc>
        <w:tc>
          <w:tcPr>
            <w:tcW w:w="7513" w:type="dxa"/>
            <w:tcBorders>
              <w:top w:val="nil"/>
              <w:left w:val="nil"/>
              <w:bottom w:val="nil"/>
              <w:right w:val="nil"/>
            </w:tcBorders>
          </w:tcPr>
          <w:p w:rsidR="007077EF" w:rsidRPr="00FB1DA8" w:rsidRDefault="007077EF" w:rsidP="003601D2">
            <w:pPr>
              <w:jc w:val="both"/>
              <w:rPr>
                <w:sz w:val="20"/>
                <w:highlight w:val="yellow"/>
              </w:rPr>
            </w:pPr>
          </w:p>
        </w:tc>
        <w:tc>
          <w:tcPr>
            <w:tcW w:w="3261" w:type="dxa"/>
            <w:gridSpan w:val="3"/>
            <w:tcBorders>
              <w:top w:val="nil"/>
              <w:left w:val="nil"/>
              <w:bottom w:val="nil"/>
              <w:right w:val="nil"/>
            </w:tcBorders>
          </w:tcPr>
          <w:p w:rsidR="007077EF" w:rsidRPr="004478E2" w:rsidRDefault="007077EF" w:rsidP="007077EF">
            <w:pPr>
              <w:jc w:val="center"/>
              <w:rPr>
                <w:sz w:val="20"/>
              </w:rPr>
            </w:pPr>
            <w:r w:rsidRPr="004478E2">
              <w:rPr>
                <w:sz w:val="20"/>
              </w:rPr>
              <w:t>201</w:t>
            </w:r>
            <w:r>
              <w:rPr>
                <w:sz w:val="20"/>
              </w:rPr>
              <w:t>7/18</w:t>
            </w:r>
          </w:p>
        </w:tc>
        <w:tc>
          <w:tcPr>
            <w:tcW w:w="3119" w:type="dxa"/>
            <w:gridSpan w:val="3"/>
            <w:tcBorders>
              <w:top w:val="nil"/>
              <w:left w:val="nil"/>
              <w:bottom w:val="nil"/>
              <w:right w:val="nil"/>
            </w:tcBorders>
          </w:tcPr>
          <w:p w:rsidR="007077EF" w:rsidRDefault="007077EF" w:rsidP="00296A09">
            <w:pPr>
              <w:jc w:val="center"/>
              <w:rPr>
                <w:sz w:val="20"/>
              </w:rPr>
            </w:pPr>
            <w:r w:rsidRPr="004478E2">
              <w:rPr>
                <w:sz w:val="20"/>
              </w:rPr>
              <w:t>201</w:t>
            </w:r>
            <w:r>
              <w:rPr>
                <w:sz w:val="20"/>
              </w:rPr>
              <w:t>6/17</w:t>
            </w:r>
          </w:p>
          <w:p w:rsidR="00913B2F" w:rsidRPr="004478E2" w:rsidRDefault="00913B2F" w:rsidP="00296A09">
            <w:pPr>
              <w:jc w:val="center"/>
              <w:rPr>
                <w:sz w:val="20"/>
              </w:rPr>
            </w:pPr>
            <w:r>
              <w:rPr>
                <w:sz w:val="20"/>
              </w:rPr>
              <w:t>As restated</w:t>
            </w:r>
          </w:p>
        </w:tc>
      </w:tr>
      <w:tr w:rsidR="003601D2" w:rsidTr="003601D2">
        <w:tc>
          <w:tcPr>
            <w:tcW w:w="851" w:type="dxa"/>
            <w:tcBorders>
              <w:top w:val="nil"/>
            </w:tcBorders>
          </w:tcPr>
          <w:p w:rsidR="003601D2" w:rsidRPr="00FB1DA8" w:rsidRDefault="003601D2" w:rsidP="003601D2">
            <w:pPr>
              <w:jc w:val="both"/>
              <w:rPr>
                <w:sz w:val="20"/>
                <w:highlight w:val="yellow"/>
              </w:rPr>
            </w:pPr>
          </w:p>
        </w:tc>
        <w:tc>
          <w:tcPr>
            <w:tcW w:w="7513" w:type="dxa"/>
            <w:tcBorders>
              <w:top w:val="nil"/>
            </w:tcBorders>
          </w:tcPr>
          <w:p w:rsidR="003601D2" w:rsidRPr="00252085" w:rsidRDefault="003601D2" w:rsidP="003601D2">
            <w:pPr>
              <w:jc w:val="both"/>
              <w:rPr>
                <w:sz w:val="20"/>
              </w:rPr>
            </w:pPr>
          </w:p>
        </w:tc>
        <w:tc>
          <w:tcPr>
            <w:tcW w:w="1134" w:type="dxa"/>
            <w:tcBorders>
              <w:top w:val="nil"/>
            </w:tcBorders>
          </w:tcPr>
          <w:p w:rsidR="003601D2" w:rsidRPr="004478E2" w:rsidRDefault="003601D2" w:rsidP="003601D2">
            <w:pPr>
              <w:jc w:val="center"/>
              <w:rPr>
                <w:sz w:val="20"/>
              </w:rPr>
            </w:pPr>
            <w:r w:rsidRPr="004478E2">
              <w:rPr>
                <w:sz w:val="20"/>
              </w:rPr>
              <w:t>Gross</w:t>
            </w:r>
          </w:p>
          <w:p w:rsidR="003601D2" w:rsidRPr="004478E2" w:rsidRDefault="003601D2" w:rsidP="003601D2">
            <w:pPr>
              <w:jc w:val="center"/>
              <w:rPr>
                <w:sz w:val="20"/>
              </w:rPr>
            </w:pPr>
            <w:r w:rsidRPr="004478E2">
              <w:rPr>
                <w:sz w:val="20"/>
              </w:rPr>
              <w:t>Expend</w:t>
            </w:r>
            <w:r>
              <w:rPr>
                <w:sz w:val="20"/>
              </w:rPr>
              <w:t xml:space="preserve"> </w:t>
            </w:r>
            <w:proofErr w:type="spellStart"/>
            <w:r w:rsidRPr="004478E2">
              <w:rPr>
                <w:sz w:val="20"/>
              </w:rPr>
              <w:t>iture</w:t>
            </w:r>
            <w:proofErr w:type="spellEnd"/>
          </w:p>
        </w:tc>
        <w:tc>
          <w:tcPr>
            <w:tcW w:w="992" w:type="dxa"/>
            <w:tcBorders>
              <w:top w:val="nil"/>
            </w:tcBorders>
          </w:tcPr>
          <w:p w:rsidR="003601D2" w:rsidRPr="004478E2" w:rsidRDefault="003601D2" w:rsidP="003601D2">
            <w:pPr>
              <w:jc w:val="center"/>
              <w:rPr>
                <w:sz w:val="20"/>
              </w:rPr>
            </w:pPr>
            <w:r w:rsidRPr="004478E2">
              <w:rPr>
                <w:sz w:val="20"/>
              </w:rPr>
              <w:t>Gross</w:t>
            </w:r>
          </w:p>
          <w:p w:rsidR="003601D2" w:rsidRPr="004478E2" w:rsidRDefault="003601D2" w:rsidP="003601D2">
            <w:pPr>
              <w:jc w:val="center"/>
              <w:rPr>
                <w:sz w:val="20"/>
              </w:rPr>
            </w:pPr>
            <w:r w:rsidRPr="004478E2">
              <w:rPr>
                <w:sz w:val="20"/>
              </w:rPr>
              <w:t>Income</w:t>
            </w:r>
          </w:p>
        </w:tc>
        <w:tc>
          <w:tcPr>
            <w:tcW w:w="1135" w:type="dxa"/>
            <w:tcBorders>
              <w:top w:val="nil"/>
            </w:tcBorders>
          </w:tcPr>
          <w:p w:rsidR="003601D2" w:rsidRPr="004478E2" w:rsidRDefault="003601D2" w:rsidP="003601D2">
            <w:pPr>
              <w:jc w:val="center"/>
              <w:rPr>
                <w:sz w:val="20"/>
              </w:rPr>
            </w:pPr>
            <w:r w:rsidRPr="004478E2">
              <w:rPr>
                <w:sz w:val="20"/>
              </w:rPr>
              <w:t>Net</w:t>
            </w:r>
          </w:p>
          <w:p w:rsidR="003601D2" w:rsidRPr="004478E2" w:rsidRDefault="003601D2" w:rsidP="003601D2">
            <w:pPr>
              <w:jc w:val="center"/>
              <w:rPr>
                <w:sz w:val="20"/>
              </w:rPr>
            </w:pPr>
            <w:r w:rsidRPr="004478E2">
              <w:rPr>
                <w:sz w:val="20"/>
              </w:rPr>
              <w:t>Expend</w:t>
            </w:r>
            <w:r>
              <w:rPr>
                <w:sz w:val="20"/>
              </w:rPr>
              <w:t xml:space="preserve"> </w:t>
            </w:r>
            <w:proofErr w:type="spellStart"/>
            <w:r w:rsidRPr="004478E2">
              <w:rPr>
                <w:sz w:val="20"/>
              </w:rPr>
              <w:t>iture</w:t>
            </w:r>
            <w:proofErr w:type="spellEnd"/>
          </w:p>
        </w:tc>
        <w:tc>
          <w:tcPr>
            <w:tcW w:w="992" w:type="dxa"/>
            <w:tcBorders>
              <w:top w:val="nil"/>
            </w:tcBorders>
          </w:tcPr>
          <w:p w:rsidR="003601D2" w:rsidRPr="004478E2" w:rsidRDefault="003601D2" w:rsidP="003601D2">
            <w:pPr>
              <w:jc w:val="center"/>
              <w:rPr>
                <w:sz w:val="20"/>
              </w:rPr>
            </w:pPr>
            <w:r w:rsidRPr="004478E2">
              <w:rPr>
                <w:sz w:val="20"/>
              </w:rPr>
              <w:t>Gross</w:t>
            </w:r>
          </w:p>
          <w:p w:rsidR="003601D2" w:rsidRPr="004478E2" w:rsidRDefault="003601D2" w:rsidP="003601D2">
            <w:pPr>
              <w:jc w:val="center"/>
              <w:rPr>
                <w:sz w:val="20"/>
              </w:rPr>
            </w:pPr>
            <w:r w:rsidRPr="004478E2">
              <w:rPr>
                <w:sz w:val="20"/>
              </w:rPr>
              <w:t>Expend</w:t>
            </w:r>
            <w:r>
              <w:rPr>
                <w:sz w:val="20"/>
              </w:rPr>
              <w:t xml:space="preserve"> </w:t>
            </w:r>
            <w:proofErr w:type="spellStart"/>
            <w:r w:rsidRPr="004478E2">
              <w:rPr>
                <w:sz w:val="20"/>
              </w:rPr>
              <w:t>iture</w:t>
            </w:r>
            <w:proofErr w:type="spellEnd"/>
          </w:p>
        </w:tc>
        <w:tc>
          <w:tcPr>
            <w:tcW w:w="992" w:type="dxa"/>
            <w:tcBorders>
              <w:top w:val="nil"/>
            </w:tcBorders>
          </w:tcPr>
          <w:p w:rsidR="003601D2" w:rsidRPr="004478E2" w:rsidRDefault="003601D2" w:rsidP="003601D2">
            <w:pPr>
              <w:jc w:val="center"/>
              <w:rPr>
                <w:sz w:val="20"/>
              </w:rPr>
            </w:pPr>
            <w:r w:rsidRPr="004478E2">
              <w:rPr>
                <w:sz w:val="20"/>
              </w:rPr>
              <w:t>Gross</w:t>
            </w:r>
          </w:p>
          <w:p w:rsidR="003601D2" w:rsidRPr="004478E2" w:rsidRDefault="003601D2" w:rsidP="003601D2">
            <w:pPr>
              <w:jc w:val="center"/>
              <w:rPr>
                <w:sz w:val="20"/>
              </w:rPr>
            </w:pPr>
            <w:r w:rsidRPr="004478E2">
              <w:rPr>
                <w:sz w:val="20"/>
              </w:rPr>
              <w:t>Income</w:t>
            </w:r>
          </w:p>
        </w:tc>
        <w:tc>
          <w:tcPr>
            <w:tcW w:w="1135" w:type="dxa"/>
            <w:tcBorders>
              <w:top w:val="nil"/>
            </w:tcBorders>
          </w:tcPr>
          <w:p w:rsidR="003601D2" w:rsidRPr="004478E2" w:rsidRDefault="003601D2" w:rsidP="003601D2">
            <w:pPr>
              <w:jc w:val="center"/>
              <w:rPr>
                <w:sz w:val="20"/>
              </w:rPr>
            </w:pPr>
            <w:r w:rsidRPr="004478E2">
              <w:rPr>
                <w:sz w:val="20"/>
              </w:rPr>
              <w:t>Net</w:t>
            </w:r>
          </w:p>
          <w:p w:rsidR="003601D2" w:rsidRPr="004478E2" w:rsidRDefault="003601D2" w:rsidP="003601D2">
            <w:pPr>
              <w:jc w:val="center"/>
              <w:rPr>
                <w:sz w:val="20"/>
              </w:rPr>
            </w:pPr>
            <w:r w:rsidRPr="004478E2">
              <w:rPr>
                <w:sz w:val="20"/>
              </w:rPr>
              <w:t>Expend</w:t>
            </w:r>
            <w:r>
              <w:rPr>
                <w:sz w:val="20"/>
              </w:rPr>
              <w:t xml:space="preserve"> </w:t>
            </w:r>
            <w:proofErr w:type="spellStart"/>
            <w:r w:rsidRPr="004478E2">
              <w:rPr>
                <w:sz w:val="20"/>
              </w:rPr>
              <w:t>iture</w:t>
            </w:r>
            <w:proofErr w:type="spellEnd"/>
          </w:p>
        </w:tc>
      </w:tr>
      <w:tr w:rsidR="003601D2" w:rsidTr="003601D2">
        <w:tc>
          <w:tcPr>
            <w:tcW w:w="851" w:type="dxa"/>
          </w:tcPr>
          <w:p w:rsidR="003601D2" w:rsidRPr="00FB1DA8" w:rsidRDefault="003601D2" w:rsidP="003601D2">
            <w:pPr>
              <w:jc w:val="both"/>
              <w:rPr>
                <w:sz w:val="20"/>
                <w:highlight w:val="yellow"/>
              </w:rPr>
            </w:pPr>
          </w:p>
        </w:tc>
        <w:tc>
          <w:tcPr>
            <w:tcW w:w="7513" w:type="dxa"/>
          </w:tcPr>
          <w:p w:rsidR="003601D2" w:rsidRPr="00252085" w:rsidRDefault="003601D2" w:rsidP="003601D2">
            <w:pPr>
              <w:jc w:val="both"/>
              <w:rPr>
                <w:sz w:val="20"/>
              </w:rPr>
            </w:pPr>
            <w:r w:rsidRPr="00252085">
              <w:rPr>
                <w:sz w:val="20"/>
              </w:rPr>
              <w:t>Continuing operations</w:t>
            </w:r>
            <w:r>
              <w:rPr>
                <w:sz w:val="20"/>
              </w:rPr>
              <w:t>:</w:t>
            </w:r>
          </w:p>
        </w:tc>
        <w:tc>
          <w:tcPr>
            <w:tcW w:w="1134" w:type="dxa"/>
          </w:tcPr>
          <w:p w:rsidR="003601D2" w:rsidRPr="00EC1933" w:rsidRDefault="003601D2" w:rsidP="009910D2">
            <w:pPr>
              <w:tabs>
                <w:tab w:val="decimal" w:pos="742"/>
              </w:tabs>
              <w:rPr>
                <w:sz w:val="20"/>
              </w:rPr>
            </w:pPr>
            <w:r w:rsidRPr="00EC1933">
              <w:rPr>
                <w:sz w:val="20"/>
              </w:rPr>
              <w:t>£000</w:t>
            </w:r>
          </w:p>
        </w:tc>
        <w:tc>
          <w:tcPr>
            <w:tcW w:w="992" w:type="dxa"/>
          </w:tcPr>
          <w:p w:rsidR="003601D2" w:rsidRPr="00EC1933" w:rsidRDefault="003601D2" w:rsidP="003601D2">
            <w:pPr>
              <w:pStyle w:val="CommentText"/>
              <w:tabs>
                <w:tab w:val="decimal" w:pos="601"/>
              </w:tabs>
            </w:pPr>
            <w:r w:rsidRPr="00EC1933">
              <w:t>£000</w:t>
            </w:r>
          </w:p>
        </w:tc>
        <w:tc>
          <w:tcPr>
            <w:tcW w:w="1135" w:type="dxa"/>
          </w:tcPr>
          <w:p w:rsidR="003601D2" w:rsidRPr="00EC1933" w:rsidRDefault="003601D2" w:rsidP="003601D2">
            <w:pPr>
              <w:tabs>
                <w:tab w:val="decimal" w:pos="601"/>
              </w:tabs>
              <w:rPr>
                <w:sz w:val="20"/>
              </w:rPr>
            </w:pPr>
            <w:r w:rsidRPr="00EC1933">
              <w:rPr>
                <w:sz w:val="20"/>
              </w:rPr>
              <w:t>£000</w:t>
            </w:r>
          </w:p>
        </w:tc>
        <w:tc>
          <w:tcPr>
            <w:tcW w:w="992" w:type="dxa"/>
          </w:tcPr>
          <w:p w:rsidR="003601D2" w:rsidRPr="00EC1933" w:rsidRDefault="003601D2" w:rsidP="003601D2">
            <w:pPr>
              <w:pStyle w:val="CommentText"/>
              <w:tabs>
                <w:tab w:val="decimal" w:pos="601"/>
              </w:tabs>
            </w:pPr>
            <w:r w:rsidRPr="00EC1933">
              <w:t>£000</w:t>
            </w:r>
          </w:p>
        </w:tc>
        <w:tc>
          <w:tcPr>
            <w:tcW w:w="992" w:type="dxa"/>
          </w:tcPr>
          <w:p w:rsidR="003601D2" w:rsidRPr="004478E2" w:rsidRDefault="003601D2" w:rsidP="003601D2">
            <w:pPr>
              <w:tabs>
                <w:tab w:val="decimal" w:pos="601"/>
              </w:tabs>
              <w:rPr>
                <w:sz w:val="20"/>
              </w:rPr>
            </w:pPr>
            <w:r w:rsidRPr="004478E2">
              <w:rPr>
                <w:sz w:val="20"/>
              </w:rPr>
              <w:t>£000</w:t>
            </w:r>
          </w:p>
        </w:tc>
        <w:tc>
          <w:tcPr>
            <w:tcW w:w="1135" w:type="dxa"/>
          </w:tcPr>
          <w:p w:rsidR="003601D2" w:rsidRPr="004478E2" w:rsidRDefault="003601D2" w:rsidP="003601D2">
            <w:pPr>
              <w:pStyle w:val="CommentText"/>
              <w:jc w:val="center"/>
            </w:pPr>
            <w:r w:rsidRPr="004478E2">
              <w:t>£000</w:t>
            </w:r>
          </w:p>
        </w:tc>
      </w:tr>
      <w:tr w:rsidR="00FE0533" w:rsidTr="003601D2">
        <w:tc>
          <w:tcPr>
            <w:tcW w:w="851" w:type="dxa"/>
          </w:tcPr>
          <w:p w:rsidR="00FE0533" w:rsidRPr="007077EF" w:rsidRDefault="00A650E2" w:rsidP="009910D2">
            <w:pPr>
              <w:jc w:val="center"/>
              <w:rPr>
                <w:sz w:val="20"/>
                <w:highlight w:val="yellow"/>
              </w:rPr>
            </w:pPr>
            <w:r w:rsidRPr="00A650E2">
              <w:rPr>
                <w:sz w:val="20"/>
              </w:rPr>
              <w:t>1</w:t>
            </w:r>
          </w:p>
        </w:tc>
        <w:tc>
          <w:tcPr>
            <w:tcW w:w="7513" w:type="dxa"/>
          </w:tcPr>
          <w:p w:rsidR="00FE0533" w:rsidRPr="004478E2" w:rsidRDefault="00FE0533" w:rsidP="003601D2">
            <w:pPr>
              <w:ind w:left="720"/>
              <w:jc w:val="both"/>
              <w:rPr>
                <w:sz w:val="20"/>
              </w:rPr>
            </w:pPr>
            <w:r>
              <w:rPr>
                <w:sz w:val="20"/>
              </w:rPr>
              <w:t>Service Delivery</w:t>
            </w:r>
          </w:p>
        </w:tc>
        <w:tc>
          <w:tcPr>
            <w:tcW w:w="1134" w:type="dxa"/>
          </w:tcPr>
          <w:p w:rsidR="00FE0533" w:rsidRPr="00360402" w:rsidRDefault="00984272" w:rsidP="008C3684">
            <w:pPr>
              <w:tabs>
                <w:tab w:val="decimal" w:pos="884"/>
              </w:tabs>
              <w:rPr>
                <w:sz w:val="20"/>
              </w:rPr>
            </w:pPr>
            <w:r>
              <w:rPr>
                <w:sz w:val="20"/>
              </w:rPr>
              <w:t>29,</w:t>
            </w:r>
            <w:r w:rsidR="008C3684">
              <w:rPr>
                <w:sz w:val="20"/>
              </w:rPr>
              <w:t>581</w:t>
            </w:r>
          </w:p>
        </w:tc>
        <w:tc>
          <w:tcPr>
            <w:tcW w:w="992" w:type="dxa"/>
          </w:tcPr>
          <w:p w:rsidR="00FE0533" w:rsidRPr="00EB2AA0" w:rsidRDefault="00FE0533" w:rsidP="008C3684">
            <w:pPr>
              <w:tabs>
                <w:tab w:val="decimal" w:pos="601"/>
              </w:tabs>
              <w:rPr>
                <w:sz w:val="20"/>
              </w:rPr>
            </w:pPr>
            <w:r>
              <w:rPr>
                <w:sz w:val="20"/>
              </w:rPr>
              <w:t>(</w:t>
            </w:r>
            <w:r w:rsidR="00984272">
              <w:rPr>
                <w:sz w:val="20"/>
              </w:rPr>
              <w:t>2,</w:t>
            </w:r>
            <w:r w:rsidR="008C3684">
              <w:rPr>
                <w:sz w:val="20"/>
              </w:rPr>
              <w:t>173</w:t>
            </w:r>
            <w:r>
              <w:rPr>
                <w:sz w:val="20"/>
              </w:rPr>
              <w:t>)</w:t>
            </w:r>
          </w:p>
        </w:tc>
        <w:tc>
          <w:tcPr>
            <w:tcW w:w="1135" w:type="dxa"/>
          </w:tcPr>
          <w:p w:rsidR="00FE0533" w:rsidRPr="00EB2AA0" w:rsidRDefault="00FE0533" w:rsidP="008C3684">
            <w:pPr>
              <w:tabs>
                <w:tab w:val="decimal" w:pos="742"/>
              </w:tabs>
              <w:jc w:val="both"/>
              <w:rPr>
                <w:sz w:val="20"/>
              </w:rPr>
            </w:pPr>
            <w:r>
              <w:rPr>
                <w:sz w:val="20"/>
              </w:rPr>
              <w:t>27,</w:t>
            </w:r>
            <w:r w:rsidR="008C3684">
              <w:rPr>
                <w:sz w:val="20"/>
              </w:rPr>
              <w:t>408</w:t>
            </w:r>
          </w:p>
        </w:tc>
        <w:tc>
          <w:tcPr>
            <w:tcW w:w="992" w:type="dxa"/>
          </w:tcPr>
          <w:p w:rsidR="00FE0533" w:rsidRPr="00EB2AA0" w:rsidRDefault="00913B2F" w:rsidP="007851E4">
            <w:pPr>
              <w:tabs>
                <w:tab w:val="decimal" w:pos="741"/>
              </w:tabs>
              <w:rPr>
                <w:sz w:val="20"/>
              </w:rPr>
            </w:pPr>
            <w:r>
              <w:rPr>
                <w:sz w:val="20"/>
              </w:rPr>
              <w:t>25,143</w:t>
            </w:r>
          </w:p>
        </w:tc>
        <w:tc>
          <w:tcPr>
            <w:tcW w:w="992" w:type="dxa"/>
          </w:tcPr>
          <w:p w:rsidR="00FE0533" w:rsidRPr="00EB2AA0" w:rsidRDefault="00FE0533" w:rsidP="00913B2F">
            <w:pPr>
              <w:tabs>
                <w:tab w:val="decimal" w:pos="742"/>
              </w:tabs>
              <w:rPr>
                <w:sz w:val="20"/>
              </w:rPr>
            </w:pPr>
            <w:r>
              <w:rPr>
                <w:sz w:val="20"/>
              </w:rPr>
              <w:t>(</w:t>
            </w:r>
            <w:r w:rsidR="00913B2F">
              <w:rPr>
                <w:sz w:val="20"/>
              </w:rPr>
              <w:t>2,103</w:t>
            </w:r>
            <w:r>
              <w:rPr>
                <w:sz w:val="20"/>
              </w:rPr>
              <w:t>)</w:t>
            </w:r>
          </w:p>
        </w:tc>
        <w:tc>
          <w:tcPr>
            <w:tcW w:w="1135" w:type="dxa"/>
          </w:tcPr>
          <w:p w:rsidR="00FE0533" w:rsidRPr="00EB2AA0" w:rsidRDefault="00913B2F" w:rsidP="00296A09">
            <w:pPr>
              <w:tabs>
                <w:tab w:val="decimal" w:pos="742"/>
              </w:tabs>
              <w:jc w:val="both"/>
              <w:rPr>
                <w:sz w:val="20"/>
              </w:rPr>
            </w:pPr>
            <w:r>
              <w:rPr>
                <w:sz w:val="20"/>
              </w:rPr>
              <w:t>23,040</w:t>
            </w:r>
          </w:p>
        </w:tc>
      </w:tr>
      <w:tr w:rsidR="00A650E2" w:rsidTr="003601D2">
        <w:trPr>
          <w:trHeight w:val="246"/>
        </w:trPr>
        <w:tc>
          <w:tcPr>
            <w:tcW w:w="851" w:type="dxa"/>
          </w:tcPr>
          <w:p w:rsidR="00A650E2" w:rsidRDefault="00A650E2" w:rsidP="00A650E2">
            <w:pPr>
              <w:jc w:val="center"/>
            </w:pPr>
            <w:r w:rsidRPr="00325A38">
              <w:rPr>
                <w:sz w:val="20"/>
              </w:rPr>
              <w:t>1</w:t>
            </w:r>
          </w:p>
        </w:tc>
        <w:tc>
          <w:tcPr>
            <w:tcW w:w="7513" w:type="dxa"/>
          </w:tcPr>
          <w:p w:rsidR="00A650E2" w:rsidRPr="004478E2" w:rsidRDefault="00A650E2" w:rsidP="007009AD">
            <w:pPr>
              <w:ind w:left="720"/>
              <w:jc w:val="both"/>
              <w:rPr>
                <w:sz w:val="20"/>
              </w:rPr>
            </w:pPr>
            <w:r>
              <w:rPr>
                <w:sz w:val="20"/>
              </w:rPr>
              <w:t>Strategy and Planning</w:t>
            </w:r>
          </w:p>
        </w:tc>
        <w:tc>
          <w:tcPr>
            <w:tcW w:w="1134" w:type="dxa"/>
          </w:tcPr>
          <w:p w:rsidR="00A650E2" w:rsidRPr="00360402" w:rsidRDefault="00A650E2" w:rsidP="008C3684">
            <w:pPr>
              <w:tabs>
                <w:tab w:val="decimal" w:pos="884"/>
              </w:tabs>
              <w:rPr>
                <w:sz w:val="20"/>
              </w:rPr>
            </w:pPr>
            <w:r w:rsidRPr="00360402">
              <w:rPr>
                <w:sz w:val="20"/>
              </w:rPr>
              <w:t>8,</w:t>
            </w:r>
            <w:r w:rsidR="008C3684" w:rsidRPr="00360402">
              <w:rPr>
                <w:sz w:val="20"/>
              </w:rPr>
              <w:t>0</w:t>
            </w:r>
            <w:r w:rsidR="008C3684">
              <w:rPr>
                <w:sz w:val="20"/>
              </w:rPr>
              <w:t>84</w:t>
            </w:r>
          </w:p>
        </w:tc>
        <w:tc>
          <w:tcPr>
            <w:tcW w:w="992" w:type="dxa"/>
          </w:tcPr>
          <w:p w:rsidR="00A650E2" w:rsidRPr="00EB2AA0" w:rsidRDefault="00A650E2" w:rsidP="008C3684">
            <w:pPr>
              <w:tabs>
                <w:tab w:val="decimal" w:pos="601"/>
              </w:tabs>
              <w:rPr>
                <w:sz w:val="20"/>
              </w:rPr>
            </w:pPr>
            <w:r>
              <w:rPr>
                <w:sz w:val="20"/>
              </w:rPr>
              <w:t>(</w:t>
            </w:r>
            <w:r w:rsidR="008C3684">
              <w:rPr>
                <w:sz w:val="20"/>
              </w:rPr>
              <w:t>618</w:t>
            </w:r>
            <w:r>
              <w:rPr>
                <w:sz w:val="20"/>
              </w:rPr>
              <w:t>)</w:t>
            </w:r>
          </w:p>
        </w:tc>
        <w:tc>
          <w:tcPr>
            <w:tcW w:w="1135" w:type="dxa"/>
          </w:tcPr>
          <w:p w:rsidR="00A650E2" w:rsidRPr="00EB2AA0" w:rsidRDefault="00A650E2" w:rsidP="008C3684">
            <w:pPr>
              <w:tabs>
                <w:tab w:val="decimal" w:pos="742"/>
              </w:tabs>
              <w:jc w:val="both"/>
              <w:rPr>
                <w:sz w:val="20"/>
              </w:rPr>
            </w:pPr>
            <w:r>
              <w:rPr>
                <w:sz w:val="20"/>
              </w:rPr>
              <w:t>7,</w:t>
            </w:r>
            <w:r w:rsidR="008C3684">
              <w:rPr>
                <w:sz w:val="20"/>
              </w:rPr>
              <w:t>466</w:t>
            </w:r>
          </w:p>
        </w:tc>
        <w:tc>
          <w:tcPr>
            <w:tcW w:w="992" w:type="dxa"/>
          </w:tcPr>
          <w:p w:rsidR="00A650E2" w:rsidRPr="00EB2AA0" w:rsidRDefault="00A650E2" w:rsidP="007851E4">
            <w:pPr>
              <w:tabs>
                <w:tab w:val="decimal" w:pos="741"/>
              </w:tabs>
              <w:rPr>
                <w:sz w:val="20"/>
              </w:rPr>
            </w:pPr>
            <w:r>
              <w:rPr>
                <w:sz w:val="20"/>
              </w:rPr>
              <w:t>7,021</w:t>
            </w:r>
          </w:p>
        </w:tc>
        <w:tc>
          <w:tcPr>
            <w:tcW w:w="992" w:type="dxa"/>
          </w:tcPr>
          <w:p w:rsidR="00A650E2" w:rsidRPr="00EB2AA0" w:rsidRDefault="00A650E2" w:rsidP="007851E4">
            <w:pPr>
              <w:tabs>
                <w:tab w:val="decimal" w:pos="742"/>
              </w:tabs>
              <w:rPr>
                <w:sz w:val="20"/>
              </w:rPr>
            </w:pPr>
            <w:r>
              <w:rPr>
                <w:sz w:val="20"/>
              </w:rPr>
              <w:t>(403)</w:t>
            </w:r>
          </w:p>
        </w:tc>
        <w:tc>
          <w:tcPr>
            <w:tcW w:w="1135" w:type="dxa"/>
          </w:tcPr>
          <w:p w:rsidR="00A650E2" w:rsidRPr="00EB2AA0" w:rsidRDefault="00A650E2" w:rsidP="00296A09">
            <w:pPr>
              <w:tabs>
                <w:tab w:val="decimal" w:pos="742"/>
              </w:tabs>
              <w:jc w:val="both"/>
              <w:rPr>
                <w:sz w:val="20"/>
              </w:rPr>
            </w:pPr>
            <w:r>
              <w:rPr>
                <w:sz w:val="20"/>
              </w:rPr>
              <w:t>6,618</w:t>
            </w:r>
          </w:p>
        </w:tc>
      </w:tr>
      <w:tr w:rsidR="00A650E2" w:rsidTr="003601D2">
        <w:tc>
          <w:tcPr>
            <w:tcW w:w="851" w:type="dxa"/>
          </w:tcPr>
          <w:p w:rsidR="00A650E2" w:rsidRDefault="00A650E2" w:rsidP="00A650E2">
            <w:pPr>
              <w:jc w:val="center"/>
            </w:pPr>
            <w:r w:rsidRPr="00325A38">
              <w:rPr>
                <w:sz w:val="20"/>
              </w:rPr>
              <w:t>1</w:t>
            </w:r>
          </w:p>
        </w:tc>
        <w:tc>
          <w:tcPr>
            <w:tcW w:w="7513" w:type="dxa"/>
          </w:tcPr>
          <w:p w:rsidR="00A650E2" w:rsidRPr="004478E2" w:rsidRDefault="00A650E2" w:rsidP="003601D2">
            <w:pPr>
              <w:ind w:left="720"/>
              <w:jc w:val="both"/>
              <w:rPr>
                <w:sz w:val="20"/>
              </w:rPr>
            </w:pPr>
            <w:r>
              <w:rPr>
                <w:sz w:val="20"/>
              </w:rPr>
              <w:t>People and Development</w:t>
            </w:r>
          </w:p>
        </w:tc>
        <w:tc>
          <w:tcPr>
            <w:tcW w:w="1134" w:type="dxa"/>
          </w:tcPr>
          <w:p w:rsidR="00A650E2" w:rsidRPr="00360402" w:rsidRDefault="00A650E2" w:rsidP="003601D2">
            <w:pPr>
              <w:tabs>
                <w:tab w:val="decimal" w:pos="884"/>
              </w:tabs>
              <w:rPr>
                <w:sz w:val="20"/>
              </w:rPr>
            </w:pPr>
            <w:r w:rsidRPr="00360402">
              <w:rPr>
                <w:sz w:val="20"/>
              </w:rPr>
              <w:t>1,303</w:t>
            </w:r>
          </w:p>
        </w:tc>
        <w:tc>
          <w:tcPr>
            <w:tcW w:w="992" w:type="dxa"/>
          </w:tcPr>
          <w:p w:rsidR="00A650E2" w:rsidRPr="00EB2AA0" w:rsidRDefault="00A650E2" w:rsidP="003601D2">
            <w:pPr>
              <w:tabs>
                <w:tab w:val="decimal" w:pos="601"/>
              </w:tabs>
              <w:rPr>
                <w:sz w:val="20"/>
              </w:rPr>
            </w:pPr>
            <w:r>
              <w:rPr>
                <w:sz w:val="20"/>
              </w:rPr>
              <w:t>-</w:t>
            </w:r>
          </w:p>
        </w:tc>
        <w:tc>
          <w:tcPr>
            <w:tcW w:w="1135" w:type="dxa"/>
          </w:tcPr>
          <w:p w:rsidR="00A650E2" w:rsidRPr="00EB2AA0" w:rsidRDefault="00A650E2" w:rsidP="005F0653">
            <w:pPr>
              <w:tabs>
                <w:tab w:val="decimal" w:pos="742"/>
              </w:tabs>
              <w:jc w:val="both"/>
              <w:rPr>
                <w:sz w:val="20"/>
              </w:rPr>
            </w:pPr>
            <w:r>
              <w:rPr>
                <w:sz w:val="20"/>
              </w:rPr>
              <w:t>1,303</w:t>
            </w:r>
          </w:p>
        </w:tc>
        <w:tc>
          <w:tcPr>
            <w:tcW w:w="992" w:type="dxa"/>
          </w:tcPr>
          <w:p w:rsidR="00A650E2" w:rsidRPr="00EB2AA0" w:rsidRDefault="00A650E2" w:rsidP="007851E4">
            <w:pPr>
              <w:tabs>
                <w:tab w:val="decimal" w:pos="741"/>
              </w:tabs>
              <w:rPr>
                <w:sz w:val="20"/>
              </w:rPr>
            </w:pPr>
            <w:r>
              <w:rPr>
                <w:sz w:val="20"/>
              </w:rPr>
              <w:t>1,123</w:t>
            </w:r>
          </w:p>
        </w:tc>
        <w:tc>
          <w:tcPr>
            <w:tcW w:w="992" w:type="dxa"/>
          </w:tcPr>
          <w:p w:rsidR="00A650E2" w:rsidRPr="00EB2AA0" w:rsidRDefault="00A650E2" w:rsidP="007851E4">
            <w:pPr>
              <w:tabs>
                <w:tab w:val="decimal" w:pos="742"/>
              </w:tabs>
              <w:rPr>
                <w:sz w:val="20"/>
              </w:rPr>
            </w:pPr>
            <w:r>
              <w:rPr>
                <w:sz w:val="20"/>
              </w:rPr>
              <w:t>-</w:t>
            </w:r>
          </w:p>
        </w:tc>
        <w:tc>
          <w:tcPr>
            <w:tcW w:w="1135" w:type="dxa"/>
          </w:tcPr>
          <w:p w:rsidR="00A650E2" w:rsidRPr="00EB2AA0" w:rsidRDefault="00A650E2" w:rsidP="00296A09">
            <w:pPr>
              <w:tabs>
                <w:tab w:val="decimal" w:pos="742"/>
              </w:tabs>
              <w:jc w:val="both"/>
              <w:rPr>
                <w:sz w:val="20"/>
              </w:rPr>
            </w:pPr>
            <w:r>
              <w:rPr>
                <w:sz w:val="20"/>
              </w:rPr>
              <w:t>1,123</w:t>
            </w:r>
          </w:p>
        </w:tc>
      </w:tr>
      <w:tr w:rsidR="00A650E2" w:rsidTr="003601D2">
        <w:tc>
          <w:tcPr>
            <w:tcW w:w="851" w:type="dxa"/>
            <w:tcBorders>
              <w:bottom w:val="nil"/>
            </w:tcBorders>
          </w:tcPr>
          <w:p w:rsidR="00A650E2" w:rsidRDefault="00A650E2" w:rsidP="00A650E2">
            <w:pPr>
              <w:jc w:val="center"/>
            </w:pPr>
            <w:r w:rsidRPr="00325A38">
              <w:rPr>
                <w:sz w:val="20"/>
              </w:rPr>
              <w:t>1</w:t>
            </w:r>
          </w:p>
        </w:tc>
        <w:tc>
          <w:tcPr>
            <w:tcW w:w="7513" w:type="dxa"/>
            <w:tcBorders>
              <w:bottom w:val="nil"/>
            </w:tcBorders>
          </w:tcPr>
          <w:p w:rsidR="00A650E2" w:rsidRPr="004478E2" w:rsidRDefault="00A650E2" w:rsidP="003601D2">
            <w:pPr>
              <w:ind w:left="720"/>
              <w:jc w:val="both"/>
              <w:rPr>
                <w:sz w:val="20"/>
              </w:rPr>
            </w:pPr>
            <w:r>
              <w:rPr>
                <w:sz w:val="20"/>
              </w:rPr>
              <w:t>Corporate Services</w:t>
            </w:r>
          </w:p>
        </w:tc>
        <w:tc>
          <w:tcPr>
            <w:tcW w:w="1134" w:type="dxa"/>
          </w:tcPr>
          <w:p w:rsidR="00A650E2" w:rsidRPr="00360402" w:rsidRDefault="00A650E2" w:rsidP="005F0653">
            <w:pPr>
              <w:tabs>
                <w:tab w:val="decimal" w:pos="884"/>
              </w:tabs>
              <w:rPr>
                <w:sz w:val="20"/>
              </w:rPr>
            </w:pPr>
            <w:r w:rsidRPr="00360402">
              <w:rPr>
                <w:sz w:val="20"/>
              </w:rPr>
              <w:t>4,224</w:t>
            </w:r>
          </w:p>
        </w:tc>
        <w:tc>
          <w:tcPr>
            <w:tcW w:w="992" w:type="dxa"/>
          </w:tcPr>
          <w:p w:rsidR="00A650E2" w:rsidRPr="00EB2AA0" w:rsidRDefault="00A650E2" w:rsidP="003601D2">
            <w:pPr>
              <w:tabs>
                <w:tab w:val="decimal" w:pos="601"/>
              </w:tabs>
              <w:rPr>
                <w:sz w:val="20"/>
              </w:rPr>
            </w:pPr>
            <w:r>
              <w:rPr>
                <w:sz w:val="20"/>
              </w:rPr>
              <w:t>(59)</w:t>
            </w:r>
          </w:p>
        </w:tc>
        <w:tc>
          <w:tcPr>
            <w:tcW w:w="1135" w:type="dxa"/>
          </w:tcPr>
          <w:p w:rsidR="00A650E2" w:rsidRPr="00EB2AA0" w:rsidRDefault="00A650E2" w:rsidP="0038630C">
            <w:pPr>
              <w:tabs>
                <w:tab w:val="decimal" w:pos="742"/>
              </w:tabs>
              <w:jc w:val="both"/>
              <w:rPr>
                <w:sz w:val="20"/>
              </w:rPr>
            </w:pPr>
            <w:r>
              <w:rPr>
                <w:sz w:val="20"/>
              </w:rPr>
              <w:t>4,165</w:t>
            </w:r>
          </w:p>
        </w:tc>
        <w:tc>
          <w:tcPr>
            <w:tcW w:w="992" w:type="dxa"/>
          </w:tcPr>
          <w:p w:rsidR="00A650E2" w:rsidRPr="00EB2AA0" w:rsidRDefault="00A650E2" w:rsidP="007851E4">
            <w:pPr>
              <w:tabs>
                <w:tab w:val="decimal" w:pos="741"/>
              </w:tabs>
              <w:rPr>
                <w:sz w:val="20"/>
              </w:rPr>
            </w:pPr>
            <w:r>
              <w:rPr>
                <w:sz w:val="20"/>
              </w:rPr>
              <w:t>3,219</w:t>
            </w:r>
          </w:p>
        </w:tc>
        <w:tc>
          <w:tcPr>
            <w:tcW w:w="992" w:type="dxa"/>
          </w:tcPr>
          <w:p w:rsidR="00A650E2" w:rsidRPr="00EB2AA0" w:rsidRDefault="00A650E2" w:rsidP="007851E4">
            <w:pPr>
              <w:tabs>
                <w:tab w:val="decimal" w:pos="742"/>
              </w:tabs>
              <w:rPr>
                <w:sz w:val="20"/>
              </w:rPr>
            </w:pPr>
            <w:r>
              <w:rPr>
                <w:sz w:val="20"/>
              </w:rPr>
              <w:t>(57)</w:t>
            </w:r>
          </w:p>
        </w:tc>
        <w:tc>
          <w:tcPr>
            <w:tcW w:w="1135" w:type="dxa"/>
          </w:tcPr>
          <w:p w:rsidR="00A650E2" w:rsidRPr="00EB2AA0" w:rsidRDefault="00A650E2" w:rsidP="00296A09">
            <w:pPr>
              <w:tabs>
                <w:tab w:val="decimal" w:pos="742"/>
              </w:tabs>
              <w:jc w:val="both"/>
              <w:rPr>
                <w:sz w:val="20"/>
              </w:rPr>
            </w:pPr>
            <w:r>
              <w:rPr>
                <w:sz w:val="20"/>
              </w:rPr>
              <w:t>3,162</w:t>
            </w:r>
          </w:p>
        </w:tc>
      </w:tr>
      <w:tr w:rsidR="00A650E2" w:rsidTr="003601D2">
        <w:tc>
          <w:tcPr>
            <w:tcW w:w="851" w:type="dxa"/>
            <w:tcBorders>
              <w:bottom w:val="nil"/>
            </w:tcBorders>
          </w:tcPr>
          <w:p w:rsidR="00A650E2" w:rsidRDefault="00A650E2" w:rsidP="00A650E2">
            <w:pPr>
              <w:jc w:val="center"/>
            </w:pPr>
            <w:r w:rsidRPr="00325A38">
              <w:rPr>
                <w:sz w:val="20"/>
              </w:rPr>
              <w:t>1</w:t>
            </w:r>
          </w:p>
        </w:tc>
        <w:tc>
          <w:tcPr>
            <w:tcW w:w="7513" w:type="dxa"/>
            <w:tcBorders>
              <w:bottom w:val="nil"/>
            </w:tcBorders>
          </w:tcPr>
          <w:p w:rsidR="00A650E2" w:rsidRPr="004478E2" w:rsidRDefault="00A650E2" w:rsidP="003601D2">
            <w:pPr>
              <w:ind w:left="720"/>
              <w:jc w:val="both"/>
              <w:rPr>
                <w:sz w:val="20"/>
              </w:rPr>
            </w:pPr>
            <w:r>
              <w:rPr>
                <w:sz w:val="20"/>
              </w:rPr>
              <w:t>Fire-fighters Pensions</w:t>
            </w:r>
          </w:p>
        </w:tc>
        <w:tc>
          <w:tcPr>
            <w:tcW w:w="1134" w:type="dxa"/>
          </w:tcPr>
          <w:p w:rsidR="00A650E2" w:rsidRPr="00360402" w:rsidRDefault="00A650E2" w:rsidP="003601D2">
            <w:pPr>
              <w:tabs>
                <w:tab w:val="decimal" w:pos="884"/>
              </w:tabs>
              <w:rPr>
                <w:sz w:val="20"/>
              </w:rPr>
            </w:pPr>
            <w:r w:rsidRPr="00360402">
              <w:rPr>
                <w:sz w:val="20"/>
              </w:rPr>
              <w:t>1,138</w:t>
            </w:r>
          </w:p>
        </w:tc>
        <w:tc>
          <w:tcPr>
            <w:tcW w:w="992" w:type="dxa"/>
          </w:tcPr>
          <w:p w:rsidR="00A650E2" w:rsidRPr="00EB2AA0" w:rsidRDefault="00A650E2" w:rsidP="003601D2">
            <w:pPr>
              <w:tabs>
                <w:tab w:val="decimal" w:pos="601"/>
              </w:tabs>
              <w:rPr>
                <w:sz w:val="20"/>
              </w:rPr>
            </w:pPr>
            <w:r>
              <w:rPr>
                <w:sz w:val="20"/>
              </w:rPr>
              <w:t>-</w:t>
            </w:r>
          </w:p>
        </w:tc>
        <w:tc>
          <w:tcPr>
            <w:tcW w:w="1135" w:type="dxa"/>
          </w:tcPr>
          <w:p w:rsidR="00A650E2" w:rsidRPr="00EB2AA0" w:rsidRDefault="00A650E2" w:rsidP="00FE0533">
            <w:pPr>
              <w:tabs>
                <w:tab w:val="decimal" w:pos="742"/>
              </w:tabs>
              <w:jc w:val="both"/>
              <w:rPr>
                <w:sz w:val="20"/>
              </w:rPr>
            </w:pPr>
            <w:r>
              <w:rPr>
                <w:sz w:val="20"/>
              </w:rPr>
              <w:t>1,138</w:t>
            </w:r>
          </w:p>
        </w:tc>
        <w:tc>
          <w:tcPr>
            <w:tcW w:w="992" w:type="dxa"/>
          </w:tcPr>
          <w:p w:rsidR="00A650E2" w:rsidRPr="00EB2AA0" w:rsidRDefault="00A650E2" w:rsidP="007851E4">
            <w:pPr>
              <w:tabs>
                <w:tab w:val="decimal" w:pos="741"/>
              </w:tabs>
              <w:rPr>
                <w:sz w:val="20"/>
              </w:rPr>
            </w:pPr>
            <w:r>
              <w:rPr>
                <w:sz w:val="20"/>
              </w:rPr>
              <w:t>1,232</w:t>
            </w:r>
          </w:p>
        </w:tc>
        <w:tc>
          <w:tcPr>
            <w:tcW w:w="992" w:type="dxa"/>
          </w:tcPr>
          <w:p w:rsidR="00A650E2" w:rsidRPr="00EB2AA0" w:rsidRDefault="00A650E2" w:rsidP="007851E4">
            <w:pPr>
              <w:tabs>
                <w:tab w:val="decimal" w:pos="742"/>
              </w:tabs>
              <w:rPr>
                <w:sz w:val="20"/>
              </w:rPr>
            </w:pPr>
            <w:r>
              <w:rPr>
                <w:sz w:val="20"/>
              </w:rPr>
              <w:t>(4)</w:t>
            </w:r>
          </w:p>
        </w:tc>
        <w:tc>
          <w:tcPr>
            <w:tcW w:w="1135" w:type="dxa"/>
          </w:tcPr>
          <w:p w:rsidR="00A650E2" w:rsidRPr="00EB2AA0" w:rsidRDefault="00A650E2" w:rsidP="00296A09">
            <w:pPr>
              <w:tabs>
                <w:tab w:val="decimal" w:pos="742"/>
              </w:tabs>
              <w:jc w:val="both"/>
              <w:rPr>
                <w:sz w:val="20"/>
              </w:rPr>
            </w:pPr>
            <w:r>
              <w:rPr>
                <w:sz w:val="20"/>
              </w:rPr>
              <w:t>1,228</w:t>
            </w:r>
          </w:p>
        </w:tc>
      </w:tr>
      <w:tr w:rsidR="00A650E2" w:rsidTr="003601D2">
        <w:tc>
          <w:tcPr>
            <w:tcW w:w="851" w:type="dxa"/>
            <w:tcBorders>
              <w:top w:val="nil"/>
              <w:left w:val="nil"/>
              <w:bottom w:val="nil"/>
              <w:right w:val="nil"/>
            </w:tcBorders>
          </w:tcPr>
          <w:p w:rsidR="00A650E2" w:rsidRDefault="00A650E2" w:rsidP="00A650E2">
            <w:pPr>
              <w:jc w:val="center"/>
            </w:pPr>
            <w:r w:rsidRPr="00325A38">
              <w:rPr>
                <w:sz w:val="20"/>
              </w:rPr>
              <w:t>1</w:t>
            </w:r>
          </w:p>
        </w:tc>
        <w:tc>
          <w:tcPr>
            <w:tcW w:w="7513" w:type="dxa"/>
            <w:tcBorders>
              <w:top w:val="nil"/>
              <w:left w:val="nil"/>
              <w:bottom w:val="nil"/>
              <w:right w:val="nil"/>
            </w:tcBorders>
          </w:tcPr>
          <w:p w:rsidR="00A650E2" w:rsidRPr="004478E2" w:rsidRDefault="00A650E2" w:rsidP="003601D2">
            <w:pPr>
              <w:ind w:left="720"/>
              <w:jc w:val="both"/>
              <w:rPr>
                <w:sz w:val="20"/>
              </w:rPr>
            </w:pPr>
            <w:r>
              <w:rPr>
                <w:sz w:val="20"/>
              </w:rPr>
              <w:t>Overheads</w:t>
            </w:r>
          </w:p>
        </w:tc>
        <w:tc>
          <w:tcPr>
            <w:tcW w:w="1134" w:type="dxa"/>
            <w:tcBorders>
              <w:left w:val="nil"/>
              <w:bottom w:val="single" w:sz="6" w:space="0" w:color="000000"/>
            </w:tcBorders>
          </w:tcPr>
          <w:p w:rsidR="00A650E2" w:rsidRPr="00360402" w:rsidRDefault="00A650E2" w:rsidP="008C3684">
            <w:pPr>
              <w:tabs>
                <w:tab w:val="decimal" w:pos="884"/>
              </w:tabs>
              <w:rPr>
                <w:sz w:val="20"/>
              </w:rPr>
            </w:pPr>
            <w:r w:rsidRPr="00360402">
              <w:rPr>
                <w:sz w:val="20"/>
              </w:rPr>
              <w:t>6,</w:t>
            </w:r>
            <w:r w:rsidR="008C3684" w:rsidRPr="00360402">
              <w:rPr>
                <w:sz w:val="20"/>
              </w:rPr>
              <w:t>4</w:t>
            </w:r>
            <w:r w:rsidR="008C3684">
              <w:rPr>
                <w:sz w:val="20"/>
              </w:rPr>
              <w:t>36</w:t>
            </w:r>
          </w:p>
        </w:tc>
        <w:tc>
          <w:tcPr>
            <w:tcW w:w="992" w:type="dxa"/>
            <w:tcBorders>
              <w:bottom w:val="single" w:sz="6" w:space="0" w:color="000000"/>
            </w:tcBorders>
          </w:tcPr>
          <w:p w:rsidR="00A650E2" w:rsidRPr="006C28D2" w:rsidRDefault="00A650E2" w:rsidP="003601D2">
            <w:pPr>
              <w:tabs>
                <w:tab w:val="decimal" w:pos="601"/>
              </w:tabs>
              <w:rPr>
                <w:sz w:val="20"/>
              </w:rPr>
            </w:pPr>
            <w:r>
              <w:rPr>
                <w:sz w:val="20"/>
              </w:rPr>
              <w:t>(1,790)</w:t>
            </w:r>
          </w:p>
        </w:tc>
        <w:tc>
          <w:tcPr>
            <w:tcW w:w="1135" w:type="dxa"/>
            <w:tcBorders>
              <w:bottom w:val="single" w:sz="6" w:space="0" w:color="000000"/>
            </w:tcBorders>
          </w:tcPr>
          <w:p w:rsidR="00A650E2" w:rsidRPr="006C28D2" w:rsidRDefault="00A650E2" w:rsidP="008C3684">
            <w:pPr>
              <w:tabs>
                <w:tab w:val="decimal" w:pos="742"/>
              </w:tabs>
              <w:jc w:val="both"/>
              <w:rPr>
                <w:sz w:val="20"/>
              </w:rPr>
            </w:pPr>
            <w:r>
              <w:rPr>
                <w:sz w:val="20"/>
              </w:rPr>
              <w:t>4,</w:t>
            </w:r>
            <w:r w:rsidR="008C3684">
              <w:rPr>
                <w:sz w:val="20"/>
              </w:rPr>
              <w:t>646</w:t>
            </w:r>
          </w:p>
        </w:tc>
        <w:tc>
          <w:tcPr>
            <w:tcW w:w="992" w:type="dxa"/>
            <w:tcBorders>
              <w:bottom w:val="single" w:sz="6" w:space="0" w:color="000000"/>
            </w:tcBorders>
          </w:tcPr>
          <w:p w:rsidR="00A650E2" w:rsidRPr="006C28D2" w:rsidRDefault="00A650E2" w:rsidP="007851E4">
            <w:pPr>
              <w:tabs>
                <w:tab w:val="decimal" w:pos="741"/>
              </w:tabs>
              <w:rPr>
                <w:sz w:val="20"/>
              </w:rPr>
            </w:pPr>
            <w:r>
              <w:rPr>
                <w:sz w:val="20"/>
              </w:rPr>
              <w:t>8,749</w:t>
            </w:r>
          </w:p>
        </w:tc>
        <w:tc>
          <w:tcPr>
            <w:tcW w:w="992" w:type="dxa"/>
            <w:tcBorders>
              <w:bottom w:val="single" w:sz="6" w:space="0" w:color="000000"/>
            </w:tcBorders>
          </w:tcPr>
          <w:p w:rsidR="00A650E2" w:rsidRPr="006C28D2" w:rsidRDefault="00A650E2" w:rsidP="007851E4">
            <w:pPr>
              <w:tabs>
                <w:tab w:val="decimal" w:pos="742"/>
              </w:tabs>
              <w:rPr>
                <w:sz w:val="20"/>
              </w:rPr>
            </w:pPr>
            <w:r>
              <w:rPr>
                <w:sz w:val="20"/>
              </w:rPr>
              <w:t>(1,796)</w:t>
            </w:r>
          </w:p>
        </w:tc>
        <w:tc>
          <w:tcPr>
            <w:tcW w:w="1135" w:type="dxa"/>
            <w:tcBorders>
              <w:bottom w:val="single" w:sz="6" w:space="0" w:color="000000"/>
            </w:tcBorders>
          </w:tcPr>
          <w:p w:rsidR="00A650E2" w:rsidRPr="006C28D2" w:rsidRDefault="00A650E2" w:rsidP="00296A09">
            <w:pPr>
              <w:tabs>
                <w:tab w:val="decimal" w:pos="742"/>
              </w:tabs>
              <w:jc w:val="both"/>
              <w:rPr>
                <w:sz w:val="20"/>
              </w:rPr>
            </w:pPr>
            <w:r>
              <w:rPr>
                <w:sz w:val="20"/>
              </w:rPr>
              <w:t>6,953</w:t>
            </w:r>
          </w:p>
        </w:tc>
      </w:tr>
      <w:tr w:rsidR="00A650E2" w:rsidTr="003601D2">
        <w:tc>
          <w:tcPr>
            <w:tcW w:w="851" w:type="dxa"/>
            <w:tcBorders>
              <w:top w:val="nil"/>
            </w:tcBorders>
          </w:tcPr>
          <w:p w:rsidR="00A650E2" w:rsidRDefault="00A650E2" w:rsidP="00A650E2">
            <w:pPr>
              <w:jc w:val="center"/>
            </w:pPr>
            <w:r w:rsidRPr="00325A38">
              <w:rPr>
                <w:sz w:val="20"/>
              </w:rPr>
              <w:t>1</w:t>
            </w:r>
          </w:p>
        </w:tc>
        <w:tc>
          <w:tcPr>
            <w:tcW w:w="7513" w:type="dxa"/>
            <w:tcBorders>
              <w:top w:val="nil"/>
            </w:tcBorders>
          </w:tcPr>
          <w:p w:rsidR="00A650E2" w:rsidRPr="004478E2" w:rsidRDefault="00A650E2" w:rsidP="003601D2">
            <w:pPr>
              <w:jc w:val="both"/>
              <w:rPr>
                <w:sz w:val="20"/>
              </w:rPr>
            </w:pPr>
            <w:r w:rsidRPr="004478E2">
              <w:rPr>
                <w:sz w:val="20"/>
              </w:rPr>
              <w:t>Net Cost of Services</w:t>
            </w:r>
          </w:p>
        </w:tc>
        <w:tc>
          <w:tcPr>
            <w:tcW w:w="1134" w:type="dxa"/>
          </w:tcPr>
          <w:p w:rsidR="00A650E2" w:rsidRPr="00360402" w:rsidRDefault="00A650E2" w:rsidP="00B034C5">
            <w:pPr>
              <w:tabs>
                <w:tab w:val="decimal" w:pos="884"/>
              </w:tabs>
              <w:rPr>
                <w:sz w:val="20"/>
              </w:rPr>
            </w:pPr>
            <w:r w:rsidRPr="00360402">
              <w:rPr>
                <w:sz w:val="20"/>
              </w:rPr>
              <w:t>50,</w:t>
            </w:r>
            <w:r w:rsidR="00B034C5">
              <w:rPr>
                <w:sz w:val="20"/>
              </w:rPr>
              <w:t>766</w:t>
            </w:r>
          </w:p>
        </w:tc>
        <w:tc>
          <w:tcPr>
            <w:tcW w:w="992" w:type="dxa"/>
          </w:tcPr>
          <w:p w:rsidR="00A650E2" w:rsidRPr="006C28D2" w:rsidRDefault="00A650E2" w:rsidP="00B034C5">
            <w:pPr>
              <w:tabs>
                <w:tab w:val="decimal" w:pos="601"/>
              </w:tabs>
              <w:rPr>
                <w:sz w:val="20"/>
              </w:rPr>
            </w:pPr>
            <w:r>
              <w:rPr>
                <w:sz w:val="20"/>
              </w:rPr>
              <w:t>(4,</w:t>
            </w:r>
            <w:r w:rsidR="00B034C5">
              <w:rPr>
                <w:sz w:val="20"/>
              </w:rPr>
              <w:t>640</w:t>
            </w:r>
            <w:r>
              <w:rPr>
                <w:sz w:val="20"/>
              </w:rPr>
              <w:t>)</w:t>
            </w:r>
          </w:p>
        </w:tc>
        <w:tc>
          <w:tcPr>
            <w:tcW w:w="1135" w:type="dxa"/>
          </w:tcPr>
          <w:p w:rsidR="00A650E2" w:rsidRPr="006C28D2" w:rsidRDefault="00B034C5" w:rsidP="0038630C">
            <w:pPr>
              <w:tabs>
                <w:tab w:val="decimal" w:pos="742"/>
              </w:tabs>
              <w:jc w:val="both"/>
              <w:rPr>
                <w:sz w:val="20"/>
              </w:rPr>
            </w:pPr>
            <w:r>
              <w:rPr>
                <w:sz w:val="20"/>
              </w:rPr>
              <w:t>46,126</w:t>
            </w:r>
          </w:p>
        </w:tc>
        <w:tc>
          <w:tcPr>
            <w:tcW w:w="992" w:type="dxa"/>
          </w:tcPr>
          <w:p w:rsidR="00A650E2" w:rsidRPr="006C28D2" w:rsidRDefault="00913B2F" w:rsidP="007851E4">
            <w:pPr>
              <w:tabs>
                <w:tab w:val="decimal" w:pos="741"/>
              </w:tabs>
              <w:rPr>
                <w:sz w:val="20"/>
              </w:rPr>
            </w:pPr>
            <w:r>
              <w:rPr>
                <w:sz w:val="20"/>
              </w:rPr>
              <w:t>46,487</w:t>
            </w:r>
          </w:p>
        </w:tc>
        <w:tc>
          <w:tcPr>
            <w:tcW w:w="992" w:type="dxa"/>
          </w:tcPr>
          <w:p w:rsidR="00A650E2" w:rsidRPr="006C28D2" w:rsidRDefault="00A650E2" w:rsidP="00913B2F">
            <w:pPr>
              <w:tabs>
                <w:tab w:val="decimal" w:pos="742"/>
              </w:tabs>
              <w:rPr>
                <w:sz w:val="20"/>
              </w:rPr>
            </w:pPr>
            <w:r>
              <w:rPr>
                <w:sz w:val="20"/>
              </w:rPr>
              <w:t>(4,</w:t>
            </w:r>
            <w:r w:rsidR="00913B2F">
              <w:rPr>
                <w:sz w:val="20"/>
              </w:rPr>
              <w:t>363</w:t>
            </w:r>
            <w:r>
              <w:rPr>
                <w:sz w:val="20"/>
              </w:rPr>
              <w:t>)</w:t>
            </w:r>
          </w:p>
        </w:tc>
        <w:tc>
          <w:tcPr>
            <w:tcW w:w="1135" w:type="dxa"/>
          </w:tcPr>
          <w:p w:rsidR="00A650E2" w:rsidRPr="006C28D2" w:rsidRDefault="00913B2F" w:rsidP="00296A09">
            <w:pPr>
              <w:tabs>
                <w:tab w:val="decimal" w:pos="742"/>
              </w:tabs>
              <w:jc w:val="both"/>
              <w:rPr>
                <w:sz w:val="20"/>
              </w:rPr>
            </w:pPr>
            <w:r>
              <w:rPr>
                <w:sz w:val="20"/>
              </w:rPr>
              <w:t>42,124</w:t>
            </w:r>
          </w:p>
        </w:tc>
      </w:tr>
      <w:tr w:rsidR="003601D2" w:rsidTr="003601D2">
        <w:tc>
          <w:tcPr>
            <w:tcW w:w="851" w:type="dxa"/>
          </w:tcPr>
          <w:p w:rsidR="003601D2" w:rsidRPr="007077EF" w:rsidRDefault="003601D2" w:rsidP="003601D2">
            <w:pPr>
              <w:jc w:val="both"/>
              <w:rPr>
                <w:sz w:val="16"/>
                <w:szCs w:val="16"/>
                <w:highlight w:val="yellow"/>
              </w:rPr>
            </w:pPr>
          </w:p>
        </w:tc>
        <w:tc>
          <w:tcPr>
            <w:tcW w:w="7513" w:type="dxa"/>
          </w:tcPr>
          <w:p w:rsidR="003601D2" w:rsidRPr="00AE13B8" w:rsidRDefault="003601D2" w:rsidP="003601D2">
            <w:pPr>
              <w:jc w:val="both"/>
              <w:rPr>
                <w:sz w:val="16"/>
                <w:szCs w:val="16"/>
                <w:highlight w:val="yellow"/>
              </w:rPr>
            </w:pPr>
          </w:p>
        </w:tc>
        <w:tc>
          <w:tcPr>
            <w:tcW w:w="1134" w:type="dxa"/>
          </w:tcPr>
          <w:p w:rsidR="003601D2" w:rsidRPr="006C28D2" w:rsidRDefault="003601D2" w:rsidP="003601D2">
            <w:pPr>
              <w:tabs>
                <w:tab w:val="decimal" w:pos="884"/>
              </w:tabs>
              <w:rPr>
                <w:sz w:val="16"/>
                <w:szCs w:val="16"/>
              </w:rPr>
            </w:pPr>
          </w:p>
        </w:tc>
        <w:tc>
          <w:tcPr>
            <w:tcW w:w="992" w:type="dxa"/>
          </w:tcPr>
          <w:p w:rsidR="003601D2" w:rsidRPr="006C28D2" w:rsidRDefault="003601D2" w:rsidP="003601D2">
            <w:pPr>
              <w:tabs>
                <w:tab w:val="decimal" w:pos="884"/>
              </w:tabs>
              <w:rPr>
                <w:sz w:val="16"/>
                <w:szCs w:val="16"/>
              </w:rPr>
            </w:pPr>
          </w:p>
        </w:tc>
        <w:tc>
          <w:tcPr>
            <w:tcW w:w="1135" w:type="dxa"/>
          </w:tcPr>
          <w:p w:rsidR="003601D2" w:rsidRPr="006C28D2" w:rsidRDefault="003601D2" w:rsidP="0038630C">
            <w:pPr>
              <w:tabs>
                <w:tab w:val="decimal" w:pos="601"/>
                <w:tab w:val="decimal" w:pos="742"/>
              </w:tabs>
              <w:jc w:val="both"/>
              <w:rPr>
                <w:sz w:val="16"/>
                <w:szCs w:val="16"/>
              </w:rPr>
            </w:pPr>
          </w:p>
        </w:tc>
        <w:tc>
          <w:tcPr>
            <w:tcW w:w="992" w:type="dxa"/>
          </w:tcPr>
          <w:p w:rsidR="003601D2" w:rsidRPr="00AE13B8" w:rsidRDefault="003601D2" w:rsidP="003601D2">
            <w:pPr>
              <w:tabs>
                <w:tab w:val="decimal" w:pos="885"/>
              </w:tabs>
              <w:rPr>
                <w:sz w:val="16"/>
                <w:szCs w:val="16"/>
              </w:rPr>
            </w:pPr>
          </w:p>
        </w:tc>
        <w:tc>
          <w:tcPr>
            <w:tcW w:w="992" w:type="dxa"/>
          </w:tcPr>
          <w:p w:rsidR="003601D2" w:rsidRPr="00AE13B8" w:rsidRDefault="003601D2" w:rsidP="003601D2">
            <w:pPr>
              <w:tabs>
                <w:tab w:val="decimal" w:pos="601"/>
              </w:tabs>
              <w:jc w:val="both"/>
              <w:rPr>
                <w:sz w:val="16"/>
                <w:szCs w:val="16"/>
              </w:rPr>
            </w:pPr>
          </w:p>
        </w:tc>
        <w:tc>
          <w:tcPr>
            <w:tcW w:w="1135" w:type="dxa"/>
          </w:tcPr>
          <w:p w:rsidR="003601D2" w:rsidRPr="00AE13B8" w:rsidRDefault="003601D2" w:rsidP="003601D2">
            <w:pPr>
              <w:tabs>
                <w:tab w:val="decimal" w:pos="744"/>
              </w:tabs>
              <w:rPr>
                <w:sz w:val="16"/>
                <w:szCs w:val="16"/>
              </w:rPr>
            </w:pP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rPr>
                <w:sz w:val="20"/>
              </w:rPr>
            </w:pPr>
            <w:r>
              <w:rPr>
                <w:sz w:val="20"/>
              </w:rPr>
              <w:t xml:space="preserve">Loss on disposal of </w:t>
            </w:r>
            <w:proofErr w:type="spellStart"/>
            <w:r>
              <w:rPr>
                <w:sz w:val="20"/>
              </w:rPr>
              <w:t>non current</w:t>
            </w:r>
            <w:proofErr w:type="spellEnd"/>
            <w:r>
              <w:rPr>
                <w:sz w:val="20"/>
              </w:rPr>
              <w:t xml:space="preserve"> assets</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A650E2" w:rsidP="0038630C">
            <w:pPr>
              <w:tabs>
                <w:tab w:val="decimal" w:pos="742"/>
              </w:tabs>
              <w:rPr>
                <w:sz w:val="20"/>
              </w:rPr>
            </w:pPr>
            <w:r>
              <w:rPr>
                <w:sz w:val="20"/>
              </w:rPr>
              <w:t>(13)</w:t>
            </w:r>
          </w:p>
        </w:tc>
        <w:tc>
          <w:tcPr>
            <w:tcW w:w="992" w:type="dxa"/>
          </w:tcPr>
          <w:p w:rsidR="007077EF" w:rsidRPr="00EC1933" w:rsidRDefault="007077EF" w:rsidP="003601D2">
            <w:pPr>
              <w:tabs>
                <w:tab w:val="decimal" w:pos="885"/>
              </w:tabs>
              <w:rPr>
                <w:sz w:val="20"/>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296A09">
            <w:pPr>
              <w:tabs>
                <w:tab w:val="decimal" w:pos="742"/>
              </w:tabs>
              <w:rPr>
                <w:sz w:val="20"/>
              </w:rPr>
            </w:pPr>
            <w:r>
              <w:rPr>
                <w:sz w:val="20"/>
              </w:rPr>
              <w:t>-</w:t>
            </w: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rPr>
                <w:sz w:val="20"/>
              </w:rPr>
            </w:pP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7077EF" w:rsidP="0038630C">
            <w:pPr>
              <w:tabs>
                <w:tab w:val="decimal" w:pos="742"/>
              </w:tabs>
              <w:rPr>
                <w:sz w:val="20"/>
              </w:rPr>
            </w:pPr>
          </w:p>
        </w:tc>
        <w:tc>
          <w:tcPr>
            <w:tcW w:w="992" w:type="dxa"/>
          </w:tcPr>
          <w:p w:rsidR="007077EF" w:rsidRPr="00EC1933" w:rsidRDefault="007077EF" w:rsidP="003601D2">
            <w:pPr>
              <w:tabs>
                <w:tab w:val="decimal" w:pos="885"/>
              </w:tabs>
              <w:rPr>
                <w:sz w:val="20"/>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296A09">
            <w:pPr>
              <w:tabs>
                <w:tab w:val="decimal" w:pos="742"/>
              </w:tabs>
              <w:rPr>
                <w:sz w:val="20"/>
              </w:rPr>
            </w:pP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rPr>
                <w:sz w:val="20"/>
              </w:rPr>
            </w:pPr>
            <w:r w:rsidRPr="00252085">
              <w:rPr>
                <w:sz w:val="20"/>
              </w:rPr>
              <w:t>Financing &amp; investment income &amp; expenditure</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7077EF" w:rsidP="0038630C">
            <w:pPr>
              <w:tabs>
                <w:tab w:val="decimal" w:pos="742"/>
              </w:tabs>
              <w:rPr>
                <w:sz w:val="20"/>
              </w:rPr>
            </w:pPr>
          </w:p>
        </w:tc>
        <w:tc>
          <w:tcPr>
            <w:tcW w:w="992" w:type="dxa"/>
          </w:tcPr>
          <w:p w:rsidR="007077EF" w:rsidRPr="00EC1933" w:rsidRDefault="007077EF" w:rsidP="003601D2">
            <w:pPr>
              <w:tabs>
                <w:tab w:val="decimal" w:pos="885"/>
              </w:tabs>
              <w:rPr>
                <w:sz w:val="20"/>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296A09">
            <w:pPr>
              <w:tabs>
                <w:tab w:val="decimal" w:pos="742"/>
              </w:tabs>
              <w:rPr>
                <w:sz w:val="20"/>
              </w:rPr>
            </w:pPr>
          </w:p>
        </w:tc>
      </w:tr>
      <w:tr w:rsidR="007077EF" w:rsidTr="003601D2">
        <w:tc>
          <w:tcPr>
            <w:tcW w:w="851" w:type="dxa"/>
          </w:tcPr>
          <w:p w:rsidR="007077EF" w:rsidRPr="00040749" w:rsidRDefault="00040749" w:rsidP="003601D2">
            <w:pPr>
              <w:jc w:val="center"/>
              <w:rPr>
                <w:sz w:val="20"/>
              </w:rPr>
            </w:pPr>
            <w:r w:rsidRPr="00040749">
              <w:rPr>
                <w:sz w:val="20"/>
              </w:rPr>
              <w:t>8</w:t>
            </w:r>
          </w:p>
        </w:tc>
        <w:tc>
          <w:tcPr>
            <w:tcW w:w="7513" w:type="dxa"/>
          </w:tcPr>
          <w:p w:rsidR="007077EF" w:rsidRPr="00252085" w:rsidRDefault="007077EF" w:rsidP="003601D2">
            <w:pPr>
              <w:ind w:left="720"/>
              <w:jc w:val="both"/>
              <w:rPr>
                <w:sz w:val="20"/>
              </w:rPr>
            </w:pPr>
            <w:r w:rsidRPr="00252085">
              <w:rPr>
                <w:sz w:val="20"/>
              </w:rPr>
              <w:t>Interest payable and similar charges</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A650E2" w:rsidP="0038630C">
            <w:pPr>
              <w:tabs>
                <w:tab w:val="decimal" w:pos="742"/>
              </w:tabs>
              <w:rPr>
                <w:sz w:val="20"/>
              </w:rPr>
            </w:pPr>
            <w:r>
              <w:rPr>
                <w:sz w:val="20"/>
              </w:rPr>
              <w:t>1,576</w:t>
            </w:r>
          </w:p>
        </w:tc>
        <w:tc>
          <w:tcPr>
            <w:tcW w:w="992" w:type="dxa"/>
          </w:tcPr>
          <w:p w:rsidR="007077EF" w:rsidRPr="006C1779" w:rsidRDefault="007077EF" w:rsidP="003601D2">
            <w:pPr>
              <w:tabs>
                <w:tab w:val="decimal" w:pos="885"/>
              </w:tabs>
              <w:rPr>
                <w:sz w:val="20"/>
                <w:highlight w:val="yellow"/>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296A09">
            <w:pPr>
              <w:tabs>
                <w:tab w:val="decimal" w:pos="742"/>
              </w:tabs>
              <w:rPr>
                <w:sz w:val="20"/>
              </w:rPr>
            </w:pPr>
            <w:r>
              <w:rPr>
                <w:sz w:val="20"/>
              </w:rPr>
              <w:t>1,674</w:t>
            </w:r>
          </w:p>
        </w:tc>
      </w:tr>
      <w:tr w:rsidR="007077EF" w:rsidTr="003601D2">
        <w:tc>
          <w:tcPr>
            <w:tcW w:w="851" w:type="dxa"/>
          </w:tcPr>
          <w:p w:rsidR="007077EF" w:rsidRPr="00040749" w:rsidRDefault="00040749" w:rsidP="008053DE">
            <w:pPr>
              <w:jc w:val="center"/>
              <w:rPr>
                <w:sz w:val="20"/>
              </w:rPr>
            </w:pPr>
            <w:r w:rsidRPr="00040749">
              <w:rPr>
                <w:sz w:val="20"/>
              </w:rPr>
              <w:t>15</w:t>
            </w:r>
          </w:p>
        </w:tc>
        <w:tc>
          <w:tcPr>
            <w:tcW w:w="7513" w:type="dxa"/>
          </w:tcPr>
          <w:p w:rsidR="007077EF" w:rsidRPr="00252085" w:rsidRDefault="007077EF" w:rsidP="003601D2">
            <w:pPr>
              <w:ind w:left="720"/>
              <w:jc w:val="both"/>
              <w:rPr>
                <w:sz w:val="20"/>
              </w:rPr>
            </w:pPr>
            <w:r w:rsidRPr="00252085">
              <w:rPr>
                <w:sz w:val="20"/>
              </w:rPr>
              <w:t>Pensions interest cost and expected return on pensions assets</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357FBD" w:rsidP="00FC240C">
            <w:pPr>
              <w:tabs>
                <w:tab w:val="decimal" w:pos="742"/>
              </w:tabs>
              <w:rPr>
                <w:sz w:val="20"/>
              </w:rPr>
            </w:pPr>
            <w:r>
              <w:rPr>
                <w:sz w:val="20"/>
              </w:rPr>
              <w:t>21,005</w:t>
            </w:r>
          </w:p>
        </w:tc>
        <w:tc>
          <w:tcPr>
            <w:tcW w:w="992" w:type="dxa"/>
          </w:tcPr>
          <w:p w:rsidR="007077EF" w:rsidRPr="006C1779" w:rsidRDefault="007077EF" w:rsidP="003601D2">
            <w:pPr>
              <w:tabs>
                <w:tab w:val="decimal" w:pos="885"/>
              </w:tabs>
              <w:rPr>
                <w:sz w:val="20"/>
                <w:highlight w:val="yellow"/>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984272">
            <w:pPr>
              <w:tabs>
                <w:tab w:val="decimal" w:pos="742"/>
              </w:tabs>
              <w:rPr>
                <w:sz w:val="20"/>
              </w:rPr>
            </w:pPr>
            <w:r>
              <w:rPr>
                <w:sz w:val="20"/>
              </w:rPr>
              <w:t>23,</w:t>
            </w:r>
            <w:r w:rsidR="00984272">
              <w:rPr>
                <w:sz w:val="20"/>
              </w:rPr>
              <w:t>285</w:t>
            </w:r>
          </w:p>
        </w:tc>
      </w:tr>
      <w:tr w:rsidR="007077EF" w:rsidTr="003601D2">
        <w:tc>
          <w:tcPr>
            <w:tcW w:w="851" w:type="dxa"/>
          </w:tcPr>
          <w:p w:rsidR="007077EF" w:rsidRPr="00040749" w:rsidRDefault="00040749" w:rsidP="003601D2">
            <w:pPr>
              <w:jc w:val="center"/>
              <w:rPr>
                <w:sz w:val="20"/>
              </w:rPr>
            </w:pPr>
            <w:r w:rsidRPr="00040749">
              <w:rPr>
                <w:sz w:val="20"/>
              </w:rPr>
              <w:t>8</w:t>
            </w:r>
          </w:p>
        </w:tc>
        <w:tc>
          <w:tcPr>
            <w:tcW w:w="7513" w:type="dxa"/>
          </w:tcPr>
          <w:p w:rsidR="007077EF" w:rsidRPr="00252085" w:rsidRDefault="007077EF" w:rsidP="003601D2">
            <w:pPr>
              <w:ind w:left="720"/>
              <w:jc w:val="both"/>
              <w:rPr>
                <w:sz w:val="20"/>
              </w:rPr>
            </w:pPr>
            <w:r w:rsidRPr="00252085">
              <w:rPr>
                <w:sz w:val="20"/>
              </w:rPr>
              <w:t xml:space="preserve">Interest </w:t>
            </w:r>
            <w:r>
              <w:rPr>
                <w:sz w:val="20"/>
              </w:rPr>
              <w:t xml:space="preserve">receivable </w:t>
            </w:r>
            <w:r w:rsidRPr="00252085">
              <w:rPr>
                <w:sz w:val="20"/>
              </w:rPr>
              <w:t xml:space="preserve">and </w:t>
            </w:r>
            <w:r>
              <w:rPr>
                <w:sz w:val="20"/>
              </w:rPr>
              <w:t>similar</w:t>
            </w:r>
            <w:r w:rsidRPr="00252085">
              <w:rPr>
                <w:sz w:val="20"/>
              </w:rPr>
              <w:t xml:space="preserve"> Income</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6C28D2" w:rsidRDefault="00A650E2" w:rsidP="00357FBD">
            <w:pPr>
              <w:tabs>
                <w:tab w:val="decimal" w:pos="742"/>
              </w:tabs>
              <w:rPr>
                <w:sz w:val="20"/>
              </w:rPr>
            </w:pPr>
            <w:r>
              <w:rPr>
                <w:sz w:val="20"/>
              </w:rPr>
              <w:t>(</w:t>
            </w:r>
            <w:r w:rsidR="00357FBD">
              <w:rPr>
                <w:sz w:val="20"/>
              </w:rPr>
              <w:t>267</w:t>
            </w:r>
            <w:r>
              <w:rPr>
                <w:sz w:val="20"/>
              </w:rPr>
              <w:t>)</w:t>
            </w:r>
          </w:p>
        </w:tc>
        <w:tc>
          <w:tcPr>
            <w:tcW w:w="992" w:type="dxa"/>
          </w:tcPr>
          <w:p w:rsidR="007077EF" w:rsidRPr="006C1779" w:rsidRDefault="007077EF" w:rsidP="003601D2">
            <w:pPr>
              <w:tabs>
                <w:tab w:val="decimal" w:pos="885"/>
              </w:tabs>
              <w:rPr>
                <w:sz w:val="20"/>
                <w:highlight w:val="yellow"/>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6C28D2" w:rsidRDefault="007077EF" w:rsidP="00984272">
            <w:pPr>
              <w:tabs>
                <w:tab w:val="decimal" w:pos="742"/>
              </w:tabs>
              <w:rPr>
                <w:sz w:val="20"/>
              </w:rPr>
            </w:pPr>
            <w:r>
              <w:rPr>
                <w:sz w:val="20"/>
              </w:rPr>
              <w:t>(</w:t>
            </w:r>
            <w:r w:rsidR="00984272">
              <w:rPr>
                <w:sz w:val="20"/>
              </w:rPr>
              <w:t>305</w:t>
            </w:r>
            <w:r>
              <w:rPr>
                <w:sz w:val="20"/>
              </w:rPr>
              <w:t>)</w:t>
            </w:r>
          </w:p>
        </w:tc>
      </w:tr>
      <w:tr w:rsidR="003601D2" w:rsidTr="003601D2">
        <w:tc>
          <w:tcPr>
            <w:tcW w:w="851" w:type="dxa"/>
          </w:tcPr>
          <w:p w:rsidR="003601D2" w:rsidRPr="007077EF" w:rsidRDefault="003601D2" w:rsidP="003601D2">
            <w:pPr>
              <w:jc w:val="center"/>
              <w:rPr>
                <w:sz w:val="16"/>
                <w:szCs w:val="16"/>
                <w:highlight w:val="yellow"/>
              </w:rPr>
            </w:pPr>
          </w:p>
        </w:tc>
        <w:tc>
          <w:tcPr>
            <w:tcW w:w="7513" w:type="dxa"/>
          </w:tcPr>
          <w:p w:rsidR="003601D2" w:rsidRPr="00AE13B8" w:rsidRDefault="003601D2" w:rsidP="003601D2">
            <w:pPr>
              <w:jc w:val="both"/>
              <w:rPr>
                <w:sz w:val="16"/>
                <w:szCs w:val="16"/>
                <w:highlight w:val="yellow"/>
              </w:rPr>
            </w:pPr>
          </w:p>
        </w:tc>
        <w:tc>
          <w:tcPr>
            <w:tcW w:w="1134" w:type="dxa"/>
          </w:tcPr>
          <w:p w:rsidR="003601D2" w:rsidRPr="006C28D2" w:rsidRDefault="003601D2" w:rsidP="003601D2">
            <w:pPr>
              <w:tabs>
                <w:tab w:val="decimal" w:pos="884"/>
              </w:tabs>
              <w:rPr>
                <w:sz w:val="16"/>
                <w:szCs w:val="16"/>
              </w:rPr>
            </w:pPr>
          </w:p>
        </w:tc>
        <w:tc>
          <w:tcPr>
            <w:tcW w:w="992" w:type="dxa"/>
          </w:tcPr>
          <w:p w:rsidR="003601D2" w:rsidRPr="006C28D2" w:rsidRDefault="003601D2" w:rsidP="003601D2">
            <w:pPr>
              <w:tabs>
                <w:tab w:val="decimal" w:pos="884"/>
              </w:tabs>
              <w:rPr>
                <w:sz w:val="16"/>
                <w:szCs w:val="16"/>
              </w:rPr>
            </w:pPr>
          </w:p>
        </w:tc>
        <w:tc>
          <w:tcPr>
            <w:tcW w:w="1135" w:type="dxa"/>
          </w:tcPr>
          <w:p w:rsidR="003601D2" w:rsidRPr="006C28D2" w:rsidRDefault="003601D2" w:rsidP="0038630C">
            <w:pPr>
              <w:tabs>
                <w:tab w:val="decimal" w:pos="742"/>
              </w:tabs>
              <w:rPr>
                <w:sz w:val="16"/>
                <w:szCs w:val="16"/>
              </w:rPr>
            </w:pPr>
          </w:p>
        </w:tc>
        <w:tc>
          <w:tcPr>
            <w:tcW w:w="992" w:type="dxa"/>
          </w:tcPr>
          <w:p w:rsidR="003601D2" w:rsidRPr="00AE13B8" w:rsidRDefault="003601D2" w:rsidP="003601D2">
            <w:pPr>
              <w:tabs>
                <w:tab w:val="decimal" w:pos="885"/>
              </w:tabs>
              <w:rPr>
                <w:sz w:val="16"/>
                <w:szCs w:val="16"/>
                <w:highlight w:val="yellow"/>
              </w:rPr>
            </w:pPr>
          </w:p>
        </w:tc>
        <w:tc>
          <w:tcPr>
            <w:tcW w:w="992" w:type="dxa"/>
          </w:tcPr>
          <w:p w:rsidR="003601D2" w:rsidRPr="00AE13B8" w:rsidRDefault="003601D2" w:rsidP="003601D2">
            <w:pPr>
              <w:tabs>
                <w:tab w:val="decimal" w:pos="601"/>
              </w:tabs>
              <w:jc w:val="both"/>
              <w:rPr>
                <w:sz w:val="16"/>
                <w:szCs w:val="16"/>
                <w:highlight w:val="yellow"/>
              </w:rPr>
            </w:pPr>
          </w:p>
        </w:tc>
        <w:tc>
          <w:tcPr>
            <w:tcW w:w="1135" w:type="dxa"/>
          </w:tcPr>
          <w:p w:rsidR="003601D2" w:rsidRPr="006C28D2" w:rsidRDefault="003601D2" w:rsidP="003601D2">
            <w:pPr>
              <w:tabs>
                <w:tab w:val="decimal" w:pos="744"/>
              </w:tabs>
              <w:rPr>
                <w:sz w:val="16"/>
                <w:szCs w:val="16"/>
              </w:rPr>
            </w:pPr>
          </w:p>
        </w:tc>
      </w:tr>
      <w:tr w:rsidR="003601D2" w:rsidTr="003601D2">
        <w:tc>
          <w:tcPr>
            <w:tcW w:w="851" w:type="dxa"/>
          </w:tcPr>
          <w:p w:rsidR="003601D2" w:rsidRPr="007077EF" w:rsidRDefault="003601D2" w:rsidP="003601D2">
            <w:pPr>
              <w:jc w:val="center"/>
              <w:rPr>
                <w:sz w:val="20"/>
                <w:highlight w:val="yellow"/>
              </w:rPr>
            </w:pPr>
          </w:p>
        </w:tc>
        <w:tc>
          <w:tcPr>
            <w:tcW w:w="7513" w:type="dxa"/>
          </w:tcPr>
          <w:p w:rsidR="003601D2" w:rsidRPr="00252085" w:rsidRDefault="003601D2" w:rsidP="003601D2">
            <w:pPr>
              <w:jc w:val="both"/>
              <w:rPr>
                <w:sz w:val="20"/>
              </w:rPr>
            </w:pPr>
            <w:r w:rsidRPr="00252085">
              <w:rPr>
                <w:sz w:val="20"/>
              </w:rPr>
              <w:t>Taxation and non-specific grant income</w:t>
            </w:r>
          </w:p>
        </w:tc>
        <w:tc>
          <w:tcPr>
            <w:tcW w:w="1134" w:type="dxa"/>
          </w:tcPr>
          <w:p w:rsidR="003601D2" w:rsidRPr="006C28D2" w:rsidRDefault="003601D2" w:rsidP="003601D2">
            <w:pPr>
              <w:tabs>
                <w:tab w:val="decimal" w:pos="884"/>
              </w:tabs>
              <w:rPr>
                <w:sz w:val="20"/>
              </w:rPr>
            </w:pPr>
          </w:p>
        </w:tc>
        <w:tc>
          <w:tcPr>
            <w:tcW w:w="992" w:type="dxa"/>
          </w:tcPr>
          <w:p w:rsidR="003601D2" w:rsidRPr="006C28D2" w:rsidRDefault="003601D2" w:rsidP="003601D2">
            <w:pPr>
              <w:tabs>
                <w:tab w:val="decimal" w:pos="884"/>
              </w:tabs>
              <w:rPr>
                <w:sz w:val="20"/>
              </w:rPr>
            </w:pPr>
          </w:p>
        </w:tc>
        <w:tc>
          <w:tcPr>
            <w:tcW w:w="1135" w:type="dxa"/>
          </w:tcPr>
          <w:p w:rsidR="003601D2" w:rsidRPr="006C28D2" w:rsidRDefault="003601D2" w:rsidP="0038630C">
            <w:pPr>
              <w:tabs>
                <w:tab w:val="decimal" w:pos="742"/>
              </w:tabs>
              <w:rPr>
                <w:sz w:val="20"/>
              </w:rPr>
            </w:pPr>
          </w:p>
        </w:tc>
        <w:tc>
          <w:tcPr>
            <w:tcW w:w="992" w:type="dxa"/>
          </w:tcPr>
          <w:p w:rsidR="003601D2" w:rsidRPr="006C1779" w:rsidRDefault="003601D2" w:rsidP="003601D2">
            <w:pPr>
              <w:tabs>
                <w:tab w:val="decimal" w:pos="885"/>
              </w:tabs>
              <w:rPr>
                <w:sz w:val="20"/>
                <w:highlight w:val="yellow"/>
              </w:rPr>
            </w:pPr>
          </w:p>
        </w:tc>
        <w:tc>
          <w:tcPr>
            <w:tcW w:w="992" w:type="dxa"/>
          </w:tcPr>
          <w:p w:rsidR="003601D2" w:rsidRPr="006C1779" w:rsidRDefault="003601D2" w:rsidP="003601D2">
            <w:pPr>
              <w:tabs>
                <w:tab w:val="decimal" w:pos="601"/>
              </w:tabs>
              <w:jc w:val="both"/>
              <w:rPr>
                <w:sz w:val="20"/>
                <w:highlight w:val="yellow"/>
              </w:rPr>
            </w:pPr>
          </w:p>
        </w:tc>
        <w:tc>
          <w:tcPr>
            <w:tcW w:w="1135" w:type="dxa"/>
          </w:tcPr>
          <w:p w:rsidR="003601D2" w:rsidRPr="006C28D2" w:rsidRDefault="003601D2" w:rsidP="003601D2">
            <w:pPr>
              <w:tabs>
                <w:tab w:val="decimal" w:pos="744"/>
              </w:tabs>
              <w:rPr>
                <w:sz w:val="20"/>
              </w:rPr>
            </w:pPr>
          </w:p>
        </w:tc>
      </w:tr>
      <w:tr w:rsidR="00913B2F" w:rsidTr="003601D2">
        <w:tc>
          <w:tcPr>
            <w:tcW w:w="851" w:type="dxa"/>
          </w:tcPr>
          <w:p w:rsidR="00913B2F" w:rsidRPr="00854EFD" w:rsidRDefault="00913B2F" w:rsidP="003601D2">
            <w:pPr>
              <w:jc w:val="center"/>
              <w:rPr>
                <w:sz w:val="20"/>
              </w:rPr>
            </w:pPr>
          </w:p>
        </w:tc>
        <w:tc>
          <w:tcPr>
            <w:tcW w:w="7513" w:type="dxa"/>
          </w:tcPr>
          <w:p w:rsidR="00913B2F" w:rsidRPr="009614ED" w:rsidRDefault="00984272" w:rsidP="003601D2">
            <w:pPr>
              <w:ind w:left="720"/>
              <w:jc w:val="both"/>
              <w:rPr>
                <w:sz w:val="20"/>
              </w:rPr>
            </w:pPr>
            <w:r w:rsidRPr="009614ED">
              <w:rPr>
                <w:sz w:val="20"/>
              </w:rPr>
              <w:t xml:space="preserve">Taxation on NW </w:t>
            </w:r>
            <w:proofErr w:type="spellStart"/>
            <w:r w:rsidRPr="009614ED">
              <w:rPr>
                <w:sz w:val="20"/>
              </w:rPr>
              <w:t>FireControl</w:t>
            </w:r>
            <w:proofErr w:type="spellEnd"/>
          </w:p>
        </w:tc>
        <w:tc>
          <w:tcPr>
            <w:tcW w:w="1134" w:type="dxa"/>
          </w:tcPr>
          <w:p w:rsidR="00913B2F" w:rsidRPr="009614ED" w:rsidRDefault="00913B2F" w:rsidP="003601D2">
            <w:pPr>
              <w:tabs>
                <w:tab w:val="decimal" w:pos="884"/>
              </w:tabs>
              <w:rPr>
                <w:sz w:val="20"/>
              </w:rPr>
            </w:pPr>
          </w:p>
        </w:tc>
        <w:tc>
          <w:tcPr>
            <w:tcW w:w="992" w:type="dxa"/>
          </w:tcPr>
          <w:p w:rsidR="00913B2F" w:rsidRPr="009614ED" w:rsidRDefault="00913B2F" w:rsidP="003601D2">
            <w:pPr>
              <w:tabs>
                <w:tab w:val="decimal" w:pos="884"/>
              </w:tabs>
              <w:rPr>
                <w:sz w:val="20"/>
              </w:rPr>
            </w:pPr>
          </w:p>
        </w:tc>
        <w:tc>
          <w:tcPr>
            <w:tcW w:w="1135" w:type="dxa"/>
          </w:tcPr>
          <w:p w:rsidR="00913B2F" w:rsidRPr="00854EFD" w:rsidRDefault="00357FBD" w:rsidP="00A5630D">
            <w:pPr>
              <w:tabs>
                <w:tab w:val="decimal" w:pos="742"/>
              </w:tabs>
              <w:rPr>
                <w:sz w:val="20"/>
              </w:rPr>
            </w:pPr>
            <w:r w:rsidRPr="00854EFD">
              <w:rPr>
                <w:sz w:val="20"/>
              </w:rPr>
              <w:t>1</w:t>
            </w:r>
          </w:p>
        </w:tc>
        <w:tc>
          <w:tcPr>
            <w:tcW w:w="992" w:type="dxa"/>
          </w:tcPr>
          <w:p w:rsidR="00913B2F" w:rsidRPr="00854EFD" w:rsidRDefault="00913B2F" w:rsidP="003601D2">
            <w:pPr>
              <w:tabs>
                <w:tab w:val="decimal" w:pos="885"/>
              </w:tabs>
              <w:rPr>
                <w:sz w:val="20"/>
              </w:rPr>
            </w:pPr>
          </w:p>
        </w:tc>
        <w:tc>
          <w:tcPr>
            <w:tcW w:w="992" w:type="dxa"/>
          </w:tcPr>
          <w:p w:rsidR="00913B2F" w:rsidRPr="00854EFD" w:rsidRDefault="00913B2F" w:rsidP="003601D2">
            <w:pPr>
              <w:tabs>
                <w:tab w:val="decimal" w:pos="601"/>
              </w:tabs>
              <w:jc w:val="both"/>
              <w:rPr>
                <w:sz w:val="20"/>
              </w:rPr>
            </w:pPr>
          </w:p>
        </w:tc>
        <w:tc>
          <w:tcPr>
            <w:tcW w:w="1135" w:type="dxa"/>
          </w:tcPr>
          <w:p w:rsidR="00913B2F" w:rsidRPr="00854EFD" w:rsidRDefault="00984272" w:rsidP="00296A09">
            <w:pPr>
              <w:tabs>
                <w:tab w:val="decimal" w:pos="742"/>
              </w:tabs>
              <w:rPr>
                <w:sz w:val="20"/>
              </w:rPr>
            </w:pPr>
            <w:r w:rsidRPr="00854EFD">
              <w:rPr>
                <w:sz w:val="20"/>
              </w:rPr>
              <w:t>1</w:t>
            </w: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ind w:left="720"/>
              <w:jc w:val="both"/>
              <w:rPr>
                <w:sz w:val="20"/>
              </w:rPr>
            </w:pPr>
            <w:r w:rsidRPr="00252085">
              <w:rPr>
                <w:sz w:val="20"/>
              </w:rPr>
              <w:t>Council tax</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57360C" w:rsidRDefault="00A650E2" w:rsidP="00A5630D">
            <w:pPr>
              <w:tabs>
                <w:tab w:val="decimal" w:pos="742"/>
              </w:tabs>
              <w:rPr>
                <w:sz w:val="20"/>
              </w:rPr>
            </w:pPr>
            <w:r>
              <w:rPr>
                <w:sz w:val="20"/>
              </w:rPr>
              <w:t>(28,233)</w:t>
            </w:r>
          </w:p>
        </w:tc>
        <w:tc>
          <w:tcPr>
            <w:tcW w:w="992" w:type="dxa"/>
          </w:tcPr>
          <w:p w:rsidR="007077EF" w:rsidRPr="006C1779" w:rsidRDefault="007077EF" w:rsidP="003601D2">
            <w:pPr>
              <w:tabs>
                <w:tab w:val="decimal" w:pos="885"/>
              </w:tabs>
              <w:rPr>
                <w:sz w:val="20"/>
                <w:highlight w:val="yellow"/>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57360C" w:rsidRDefault="007077EF" w:rsidP="00296A09">
            <w:pPr>
              <w:tabs>
                <w:tab w:val="decimal" w:pos="742"/>
              </w:tabs>
              <w:rPr>
                <w:sz w:val="20"/>
              </w:rPr>
            </w:pPr>
            <w:r w:rsidRPr="0057360C">
              <w:rPr>
                <w:sz w:val="20"/>
              </w:rPr>
              <w:t>(27,800)</w:t>
            </w: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ind w:left="720"/>
              <w:jc w:val="both"/>
              <w:rPr>
                <w:sz w:val="20"/>
              </w:rPr>
            </w:pPr>
            <w:r w:rsidRPr="00252085">
              <w:rPr>
                <w:sz w:val="20"/>
              </w:rPr>
              <w:t>Revenue Support Grant</w:t>
            </w:r>
          </w:p>
        </w:tc>
        <w:tc>
          <w:tcPr>
            <w:tcW w:w="1134" w:type="dxa"/>
          </w:tcPr>
          <w:p w:rsidR="007077EF" w:rsidRPr="006C28D2" w:rsidRDefault="007077EF" w:rsidP="003601D2">
            <w:pPr>
              <w:tabs>
                <w:tab w:val="decimal" w:pos="884"/>
              </w:tabs>
              <w:rPr>
                <w:sz w:val="20"/>
              </w:rPr>
            </w:pPr>
          </w:p>
        </w:tc>
        <w:tc>
          <w:tcPr>
            <w:tcW w:w="992" w:type="dxa"/>
          </w:tcPr>
          <w:p w:rsidR="007077EF" w:rsidRPr="006C28D2" w:rsidRDefault="007077EF" w:rsidP="003601D2">
            <w:pPr>
              <w:tabs>
                <w:tab w:val="decimal" w:pos="884"/>
              </w:tabs>
              <w:rPr>
                <w:sz w:val="20"/>
              </w:rPr>
            </w:pPr>
          </w:p>
        </w:tc>
        <w:tc>
          <w:tcPr>
            <w:tcW w:w="1135" w:type="dxa"/>
          </w:tcPr>
          <w:p w:rsidR="007077EF" w:rsidRPr="0057360C" w:rsidRDefault="00A650E2" w:rsidP="0038630C">
            <w:pPr>
              <w:tabs>
                <w:tab w:val="decimal" w:pos="742"/>
              </w:tabs>
              <w:rPr>
                <w:sz w:val="20"/>
              </w:rPr>
            </w:pPr>
            <w:r>
              <w:rPr>
                <w:sz w:val="20"/>
              </w:rPr>
              <w:t>(10,659)</w:t>
            </w:r>
          </w:p>
        </w:tc>
        <w:tc>
          <w:tcPr>
            <w:tcW w:w="992" w:type="dxa"/>
          </w:tcPr>
          <w:p w:rsidR="007077EF" w:rsidRPr="006C1779" w:rsidRDefault="007077EF" w:rsidP="003601D2">
            <w:pPr>
              <w:tabs>
                <w:tab w:val="decimal" w:pos="885"/>
              </w:tabs>
              <w:rPr>
                <w:sz w:val="20"/>
                <w:highlight w:val="yellow"/>
              </w:rPr>
            </w:pPr>
          </w:p>
        </w:tc>
        <w:tc>
          <w:tcPr>
            <w:tcW w:w="992" w:type="dxa"/>
          </w:tcPr>
          <w:p w:rsidR="007077EF" w:rsidRPr="006C1779" w:rsidRDefault="007077EF" w:rsidP="003601D2">
            <w:pPr>
              <w:tabs>
                <w:tab w:val="decimal" w:pos="601"/>
              </w:tabs>
              <w:jc w:val="both"/>
              <w:rPr>
                <w:sz w:val="20"/>
                <w:highlight w:val="yellow"/>
              </w:rPr>
            </w:pPr>
          </w:p>
        </w:tc>
        <w:tc>
          <w:tcPr>
            <w:tcW w:w="1135" w:type="dxa"/>
          </w:tcPr>
          <w:p w:rsidR="007077EF" w:rsidRPr="0057360C" w:rsidRDefault="007077EF" w:rsidP="00296A09">
            <w:pPr>
              <w:tabs>
                <w:tab w:val="decimal" w:pos="742"/>
              </w:tabs>
              <w:rPr>
                <w:sz w:val="20"/>
              </w:rPr>
            </w:pPr>
            <w:r w:rsidRPr="0057360C">
              <w:rPr>
                <w:sz w:val="20"/>
              </w:rPr>
              <w:t>(13,218)</w:t>
            </w:r>
          </w:p>
        </w:tc>
      </w:tr>
      <w:tr w:rsidR="007077EF" w:rsidTr="003601D2">
        <w:tc>
          <w:tcPr>
            <w:tcW w:w="851" w:type="dxa"/>
          </w:tcPr>
          <w:p w:rsidR="007077EF" w:rsidRPr="007077EF" w:rsidRDefault="007077EF" w:rsidP="003601D2">
            <w:pPr>
              <w:jc w:val="center"/>
              <w:rPr>
                <w:sz w:val="20"/>
                <w:highlight w:val="yellow"/>
              </w:rPr>
            </w:pPr>
          </w:p>
        </w:tc>
        <w:tc>
          <w:tcPr>
            <w:tcW w:w="7513" w:type="dxa"/>
          </w:tcPr>
          <w:p w:rsidR="007077EF" w:rsidRPr="00252085" w:rsidRDefault="007077EF" w:rsidP="003601D2">
            <w:pPr>
              <w:ind w:left="720"/>
              <w:jc w:val="both"/>
              <w:rPr>
                <w:sz w:val="20"/>
              </w:rPr>
            </w:pPr>
            <w:r w:rsidRPr="00252085">
              <w:rPr>
                <w:sz w:val="20"/>
              </w:rPr>
              <w:t>Non-domestic rates redistribution</w:t>
            </w:r>
          </w:p>
        </w:tc>
        <w:tc>
          <w:tcPr>
            <w:tcW w:w="1134" w:type="dxa"/>
          </w:tcPr>
          <w:p w:rsidR="007077EF" w:rsidRPr="00ED0BEC" w:rsidRDefault="007077EF" w:rsidP="003601D2">
            <w:pPr>
              <w:tabs>
                <w:tab w:val="decimal" w:pos="884"/>
              </w:tabs>
              <w:rPr>
                <w:sz w:val="20"/>
              </w:rPr>
            </w:pPr>
          </w:p>
        </w:tc>
        <w:tc>
          <w:tcPr>
            <w:tcW w:w="992" w:type="dxa"/>
          </w:tcPr>
          <w:p w:rsidR="007077EF" w:rsidRPr="00ED0BEC" w:rsidRDefault="007077EF" w:rsidP="003601D2">
            <w:pPr>
              <w:tabs>
                <w:tab w:val="decimal" w:pos="884"/>
              </w:tabs>
              <w:rPr>
                <w:sz w:val="20"/>
              </w:rPr>
            </w:pPr>
          </w:p>
        </w:tc>
        <w:tc>
          <w:tcPr>
            <w:tcW w:w="1135" w:type="dxa"/>
            <w:tcBorders>
              <w:bottom w:val="nil"/>
            </w:tcBorders>
          </w:tcPr>
          <w:p w:rsidR="007077EF" w:rsidRPr="0057360C" w:rsidRDefault="00A650E2" w:rsidP="00A5630D">
            <w:pPr>
              <w:tabs>
                <w:tab w:val="decimal" w:pos="742"/>
              </w:tabs>
              <w:rPr>
                <w:sz w:val="20"/>
              </w:rPr>
            </w:pPr>
            <w:r>
              <w:rPr>
                <w:sz w:val="20"/>
              </w:rPr>
              <w:t>(14,605)</w:t>
            </w:r>
          </w:p>
        </w:tc>
        <w:tc>
          <w:tcPr>
            <w:tcW w:w="992" w:type="dxa"/>
            <w:tcBorders>
              <w:bottom w:val="nil"/>
            </w:tcBorders>
          </w:tcPr>
          <w:p w:rsidR="007077EF" w:rsidRPr="006C1779" w:rsidRDefault="007077EF" w:rsidP="003601D2">
            <w:pPr>
              <w:tabs>
                <w:tab w:val="decimal" w:pos="885"/>
              </w:tabs>
              <w:rPr>
                <w:sz w:val="20"/>
                <w:highlight w:val="yellow"/>
              </w:rPr>
            </w:pPr>
          </w:p>
        </w:tc>
        <w:tc>
          <w:tcPr>
            <w:tcW w:w="992" w:type="dxa"/>
            <w:tcBorders>
              <w:bottom w:val="nil"/>
            </w:tcBorders>
          </w:tcPr>
          <w:p w:rsidR="007077EF" w:rsidRPr="006C1779" w:rsidRDefault="007077EF" w:rsidP="003601D2">
            <w:pPr>
              <w:tabs>
                <w:tab w:val="decimal" w:pos="601"/>
              </w:tabs>
              <w:jc w:val="both"/>
              <w:rPr>
                <w:sz w:val="20"/>
                <w:highlight w:val="yellow"/>
              </w:rPr>
            </w:pPr>
          </w:p>
        </w:tc>
        <w:tc>
          <w:tcPr>
            <w:tcW w:w="1135" w:type="dxa"/>
            <w:tcBorders>
              <w:bottom w:val="nil"/>
            </w:tcBorders>
          </w:tcPr>
          <w:p w:rsidR="007077EF" w:rsidRPr="0057360C" w:rsidRDefault="007077EF" w:rsidP="00296A09">
            <w:pPr>
              <w:tabs>
                <w:tab w:val="decimal" w:pos="742"/>
              </w:tabs>
              <w:rPr>
                <w:sz w:val="20"/>
              </w:rPr>
            </w:pPr>
            <w:r w:rsidRPr="0057360C">
              <w:rPr>
                <w:sz w:val="20"/>
              </w:rPr>
              <w:t>(14,756)</w:t>
            </w:r>
          </w:p>
        </w:tc>
      </w:tr>
      <w:tr w:rsidR="007077EF" w:rsidTr="003601D2">
        <w:tc>
          <w:tcPr>
            <w:tcW w:w="851" w:type="dxa"/>
            <w:tcBorders>
              <w:bottom w:val="nil"/>
            </w:tcBorders>
          </w:tcPr>
          <w:p w:rsidR="007077EF" w:rsidRPr="007077EF" w:rsidRDefault="007077EF" w:rsidP="003601D2">
            <w:pPr>
              <w:jc w:val="center"/>
              <w:rPr>
                <w:sz w:val="20"/>
                <w:highlight w:val="yellow"/>
              </w:rPr>
            </w:pPr>
          </w:p>
        </w:tc>
        <w:tc>
          <w:tcPr>
            <w:tcW w:w="7513" w:type="dxa"/>
            <w:tcBorders>
              <w:bottom w:val="nil"/>
            </w:tcBorders>
          </w:tcPr>
          <w:p w:rsidR="007077EF" w:rsidRPr="000612BA" w:rsidRDefault="007077EF" w:rsidP="003601D2">
            <w:pPr>
              <w:ind w:left="720"/>
              <w:jc w:val="both"/>
              <w:rPr>
                <w:sz w:val="20"/>
              </w:rPr>
            </w:pPr>
            <w:r>
              <w:rPr>
                <w:sz w:val="20"/>
              </w:rPr>
              <w:t>Capital</w:t>
            </w:r>
            <w:r w:rsidRPr="000612BA">
              <w:rPr>
                <w:sz w:val="20"/>
              </w:rPr>
              <w:t xml:space="preserve"> grant income</w:t>
            </w:r>
          </w:p>
        </w:tc>
        <w:tc>
          <w:tcPr>
            <w:tcW w:w="1134" w:type="dxa"/>
            <w:tcBorders>
              <w:bottom w:val="nil"/>
            </w:tcBorders>
          </w:tcPr>
          <w:p w:rsidR="007077EF" w:rsidRPr="00ED0BEC" w:rsidRDefault="007077EF" w:rsidP="003601D2">
            <w:pPr>
              <w:tabs>
                <w:tab w:val="decimal" w:pos="884"/>
              </w:tabs>
              <w:rPr>
                <w:sz w:val="20"/>
              </w:rPr>
            </w:pPr>
          </w:p>
        </w:tc>
        <w:tc>
          <w:tcPr>
            <w:tcW w:w="992" w:type="dxa"/>
            <w:tcBorders>
              <w:bottom w:val="nil"/>
              <w:right w:val="nil"/>
            </w:tcBorders>
          </w:tcPr>
          <w:p w:rsidR="007077EF" w:rsidRPr="00ED0BEC" w:rsidRDefault="007077EF" w:rsidP="003601D2">
            <w:pPr>
              <w:tabs>
                <w:tab w:val="decimal" w:pos="884"/>
              </w:tabs>
              <w:rPr>
                <w:sz w:val="20"/>
              </w:rPr>
            </w:pPr>
          </w:p>
        </w:tc>
        <w:tc>
          <w:tcPr>
            <w:tcW w:w="1135" w:type="dxa"/>
            <w:tcBorders>
              <w:top w:val="nil"/>
              <w:left w:val="nil"/>
              <w:bottom w:val="nil"/>
              <w:right w:val="nil"/>
            </w:tcBorders>
          </w:tcPr>
          <w:p w:rsidR="007077EF" w:rsidRPr="00FB3CCD" w:rsidRDefault="00A650E2" w:rsidP="0038630C">
            <w:pPr>
              <w:tabs>
                <w:tab w:val="decimal" w:pos="742"/>
              </w:tabs>
              <w:rPr>
                <w:sz w:val="20"/>
              </w:rPr>
            </w:pPr>
            <w:r>
              <w:rPr>
                <w:sz w:val="20"/>
              </w:rPr>
              <w:t>-</w:t>
            </w:r>
          </w:p>
        </w:tc>
        <w:tc>
          <w:tcPr>
            <w:tcW w:w="992" w:type="dxa"/>
            <w:tcBorders>
              <w:top w:val="nil"/>
              <w:left w:val="nil"/>
              <w:bottom w:val="nil"/>
              <w:right w:val="nil"/>
            </w:tcBorders>
          </w:tcPr>
          <w:p w:rsidR="007077EF" w:rsidRPr="006C1779" w:rsidRDefault="007077EF" w:rsidP="003601D2">
            <w:pPr>
              <w:tabs>
                <w:tab w:val="decimal" w:pos="885"/>
              </w:tabs>
              <w:rPr>
                <w:sz w:val="20"/>
                <w:highlight w:val="yellow"/>
              </w:rPr>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nil"/>
              <w:left w:val="nil"/>
              <w:bottom w:val="nil"/>
              <w:right w:val="nil"/>
            </w:tcBorders>
          </w:tcPr>
          <w:p w:rsidR="007077EF" w:rsidRPr="00FB3CCD" w:rsidRDefault="007077EF" w:rsidP="00296A09">
            <w:pPr>
              <w:tabs>
                <w:tab w:val="decimal" w:pos="742"/>
              </w:tabs>
              <w:rPr>
                <w:sz w:val="20"/>
              </w:rPr>
            </w:pPr>
            <w:r>
              <w:rPr>
                <w:sz w:val="20"/>
              </w:rPr>
              <w:t>-</w:t>
            </w:r>
          </w:p>
        </w:tc>
      </w:tr>
      <w:tr w:rsidR="007077EF" w:rsidTr="003601D2">
        <w:tc>
          <w:tcPr>
            <w:tcW w:w="851" w:type="dxa"/>
            <w:tcBorders>
              <w:bottom w:val="nil"/>
            </w:tcBorders>
          </w:tcPr>
          <w:p w:rsidR="007077EF" w:rsidRPr="007077EF" w:rsidRDefault="007077EF" w:rsidP="003601D2">
            <w:pPr>
              <w:jc w:val="center"/>
              <w:rPr>
                <w:sz w:val="20"/>
                <w:highlight w:val="yellow"/>
              </w:rPr>
            </w:pPr>
          </w:p>
        </w:tc>
        <w:tc>
          <w:tcPr>
            <w:tcW w:w="7513" w:type="dxa"/>
            <w:tcBorders>
              <w:bottom w:val="nil"/>
            </w:tcBorders>
          </w:tcPr>
          <w:p w:rsidR="007077EF" w:rsidRDefault="007077EF" w:rsidP="003601D2">
            <w:pPr>
              <w:ind w:left="720"/>
              <w:jc w:val="both"/>
              <w:rPr>
                <w:sz w:val="20"/>
              </w:rPr>
            </w:pPr>
            <w:r>
              <w:rPr>
                <w:sz w:val="20"/>
              </w:rPr>
              <w:t>Business rates S31 grant</w:t>
            </w:r>
          </w:p>
        </w:tc>
        <w:tc>
          <w:tcPr>
            <w:tcW w:w="1134" w:type="dxa"/>
            <w:tcBorders>
              <w:bottom w:val="nil"/>
            </w:tcBorders>
          </w:tcPr>
          <w:p w:rsidR="007077EF" w:rsidRPr="00ED0BEC" w:rsidRDefault="007077EF" w:rsidP="003601D2">
            <w:pPr>
              <w:tabs>
                <w:tab w:val="decimal" w:pos="884"/>
              </w:tabs>
              <w:rPr>
                <w:sz w:val="20"/>
              </w:rPr>
            </w:pPr>
          </w:p>
        </w:tc>
        <w:tc>
          <w:tcPr>
            <w:tcW w:w="992" w:type="dxa"/>
            <w:tcBorders>
              <w:bottom w:val="nil"/>
              <w:right w:val="nil"/>
            </w:tcBorders>
          </w:tcPr>
          <w:p w:rsidR="007077EF" w:rsidRPr="00ED0BEC" w:rsidRDefault="007077EF" w:rsidP="003601D2">
            <w:pPr>
              <w:tabs>
                <w:tab w:val="decimal" w:pos="884"/>
              </w:tabs>
              <w:rPr>
                <w:sz w:val="20"/>
              </w:rPr>
            </w:pPr>
          </w:p>
        </w:tc>
        <w:tc>
          <w:tcPr>
            <w:tcW w:w="1135" w:type="dxa"/>
            <w:tcBorders>
              <w:top w:val="nil"/>
              <w:left w:val="nil"/>
              <w:bottom w:val="nil"/>
              <w:right w:val="nil"/>
            </w:tcBorders>
          </w:tcPr>
          <w:p w:rsidR="007077EF" w:rsidRPr="00AB205B" w:rsidRDefault="00A650E2" w:rsidP="0038630C">
            <w:pPr>
              <w:tabs>
                <w:tab w:val="decimal" w:pos="742"/>
              </w:tabs>
              <w:rPr>
                <w:sz w:val="20"/>
              </w:rPr>
            </w:pPr>
            <w:r>
              <w:rPr>
                <w:sz w:val="20"/>
              </w:rPr>
              <w:t>(511)</w:t>
            </w:r>
          </w:p>
        </w:tc>
        <w:tc>
          <w:tcPr>
            <w:tcW w:w="992" w:type="dxa"/>
            <w:tcBorders>
              <w:top w:val="nil"/>
              <w:left w:val="nil"/>
              <w:bottom w:val="nil"/>
              <w:right w:val="nil"/>
            </w:tcBorders>
          </w:tcPr>
          <w:p w:rsidR="007077EF" w:rsidRPr="006C1779" w:rsidRDefault="007077EF" w:rsidP="003601D2">
            <w:pPr>
              <w:tabs>
                <w:tab w:val="decimal" w:pos="885"/>
              </w:tabs>
              <w:rPr>
                <w:sz w:val="20"/>
                <w:highlight w:val="yellow"/>
              </w:rPr>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nil"/>
              <w:left w:val="nil"/>
              <w:bottom w:val="nil"/>
              <w:right w:val="nil"/>
            </w:tcBorders>
          </w:tcPr>
          <w:p w:rsidR="007077EF" w:rsidRPr="00AB205B" w:rsidRDefault="007077EF" w:rsidP="00296A09">
            <w:pPr>
              <w:tabs>
                <w:tab w:val="decimal" w:pos="742"/>
              </w:tabs>
              <w:rPr>
                <w:sz w:val="20"/>
              </w:rPr>
            </w:pPr>
            <w:r>
              <w:rPr>
                <w:sz w:val="20"/>
              </w:rPr>
              <w:t>(447)</w:t>
            </w:r>
          </w:p>
        </w:tc>
      </w:tr>
      <w:tr w:rsidR="003601D2" w:rsidTr="003601D2">
        <w:tc>
          <w:tcPr>
            <w:tcW w:w="851" w:type="dxa"/>
            <w:tcBorders>
              <w:bottom w:val="nil"/>
            </w:tcBorders>
          </w:tcPr>
          <w:p w:rsidR="003601D2" w:rsidRPr="007077EF" w:rsidRDefault="003601D2" w:rsidP="003601D2">
            <w:pPr>
              <w:jc w:val="center"/>
              <w:rPr>
                <w:sz w:val="20"/>
                <w:highlight w:val="yellow"/>
              </w:rPr>
            </w:pPr>
          </w:p>
        </w:tc>
        <w:tc>
          <w:tcPr>
            <w:tcW w:w="7513" w:type="dxa"/>
            <w:tcBorders>
              <w:bottom w:val="nil"/>
            </w:tcBorders>
          </w:tcPr>
          <w:p w:rsidR="003601D2" w:rsidRDefault="003601D2" w:rsidP="003601D2">
            <w:pPr>
              <w:ind w:left="720"/>
              <w:jc w:val="both"/>
              <w:rPr>
                <w:sz w:val="20"/>
              </w:rPr>
            </w:pPr>
          </w:p>
        </w:tc>
        <w:tc>
          <w:tcPr>
            <w:tcW w:w="1134" w:type="dxa"/>
            <w:tcBorders>
              <w:bottom w:val="nil"/>
            </w:tcBorders>
          </w:tcPr>
          <w:p w:rsidR="003601D2" w:rsidRPr="00ED0BEC" w:rsidRDefault="003601D2" w:rsidP="003601D2">
            <w:pPr>
              <w:tabs>
                <w:tab w:val="decimal" w:pos="884"/>
              </w:tabs>
              <w:rPr>
                <w:sz w:val="20"/>
              </w:rPr>
            </w:pPr>
          </w:p>
        </w:tc>
        <w:tc>
          <w:tcPr>
            <w:tcW w:w="992" w:type="dxa"/>
            <w:tcBorders>
              <w:bottom w:val="nil"/>
            </w:tcBorders>
          </w:tcPr>
          <w:p w:rsidR="003601D2" w:rsidRPr="00ED0BEC" w:rsidRDefault="003601D2" w:rsidP="003601D2">
            <w:pPr>
              <w:tabs>
                <w:tab w:val="decimal" w:pos="884"/>
              </w:tabs>
              <w:rPr>
                <w:sz w:val="20"/>
              </w:rPr>
            </w:pPr>
          </w:p>
        </w:tc>
        <w:tc>
          <w:tcPr>
            <w:tcW w:w="1135" w:type="dxa"/>
            <w:tcBorders>
              <w:top w:val="nil"/>
              <w:bottom w:val="single" w:sz="4" w:space="0" w:color="auto"/>
            </w:tcBorders>
          </w:tcPr>
          <w:p w:rsidR="003601D2" w:rsidRPr="00AB205B" w:rsidRDefault="003601D2" w:rsidP="0038630C">
            <w:pPr>
              <w:tabs>
                <w:tab w:val="decimal" w:pos="742"/>
              </w:tabs>
              <w:rPr>
                <w:sz w:val="20"/>
              </w:rPr>
            </w:pPr>
          </w:p>
        </w:tc>
        <w:tc>
          <w:tcPr>
            <w:tcW w:w="992" w:type="dxa"/>
            <w:tcBorders>
              <w:top w:val="nil"/>
              <w:bottom w:val="nil"/>
            </w:tcBorders>
          </w:tcPr>
          <w:p w:rsidR="003601D2" w:rsidRPr="006C1779" w:rsidRDefault="003601D2" w:rsidP="003601D2">
            <w:pPr>
              <w:tabs>
                <w:tab w:val="decimal" w:pos="885"/>
              </w:tabs>
              <w:rPr>
                <w:sz w:val="20"/>
                <w:highlight w:val="yellow"/>
              </w:rPr>
            </w:pPr>
          </w:p>
        </w:tc>
        <w:tc>
          <w:tcPr>
            <w:tcW w:w="992" w:type="dxa"/>
            <w:tcBorders>
              <w:top w:val="nil"/>
              <w:bottom w:val="nil"/>
              <w:right w:val="nil"/>
            </w:tcBorders>
          </w:tcPr>
          <w:p w:rsidR="003601D2" w:rsidRPr="006C1779" w:rsidRDefault="003601D2" w:rsidP="003601D2">
            <w:pPr>
              <w:tabs>
                <w:tab w:val="decimal" w:pos="601"/>
              </w:tabs>
              <w:jc w:val="both"/>
              <w:rPr>
                <w:sz w:val="20"/>
                <w:highlight w:val="yellow"/>
              </w:rPr>
            </w:pPr>
          </w:p>
        </w:tc>
        <w:tc>
          <w:tcPr>
            <w:tcW w:w="1135" w:type="dxa"/>
            <w:tcBorders>
              <w:top w:val="nil"/>
              <w:bottom w:val="single" w:sz="4" w:space="0" w:color="auto"/>
              <w:right w:val="nil"/>
            </w:tcBorders>
          </w:tcPr>
          <w:p w:rsidR="003601D2" w:rsidRPr="00AB205B" w:rsidRDefault="003601D2" w:rsidP="003601D2">
            <w:pPr>
              <w:tabs>
                <w:tab w:val="decimal" w:pos="744"/>
              </w:tabs>
              <w:rPr>
                <w:sz w:val="20"/>
              </w:rPr>
            </w:pPr>
          </w:p>
        </w:tc>
      </w:tr>
      <w:tr w:rsidR="007077EF" w:rsidTr="003601D2">
        <w:tc>
          <w:tcPr>
            <w:tcW w:w="851" w:type="dxa"/>
            <w:tcBorders>
              <w:bottom w:val="nil"/>
            </w:tcBorders>
          </w:tcPr>
          <w:p w:rsidR="007077EF" w:rsidRPr="007077EF" w:rsidRDefault="007077EF" w:rsidP="003601D2">
            <w:pPr>
              <w:jc w:val="center"/>
              <w:rPr>
                <w:sz w:val="20"/>
                <w:highlight w:val="yellow"/>
              </w:rPr>
            </w:pPr>
          </w:p>
        </w:tc>
        <w:tc>
          <w:tcPr>
            <w:tcW w:w="7513" w:type="dxa"/>
            <w:tcBorders>
              <w:bottom w:val="nil"/>
            </w:tcBorders>
          </w:tcPr>
          <w:p w:rsidR="007077EF" w:rsidRPr="00252085" w:rsidRDefault="007077EF" w:rsidP="003601D2">
            <w:pPr>
              <w:jc w:val="both"/>
              <w:rPr>
                <w:sz w:val="20"/>
              </w:rPr>
            </w:pPr>
            <w:r w:rsidRPr="00252085">
              <w:rPr>
                <w:sz w:val="20"/>
              </w:rPr>
              <w:t>Deficit</w:t>
            </w:r>
            <w:r>
              <w:rPr>
                <w:sz w:val="20"/>
              </w:rPr>
              <w:t>/(Surplus)</w:t>
            </w:r>
            <w:r w:rsidRPr="00252085">
              <w:rPr>
                <w:sz w:val="20"/>
              </w:rPr>
              <w:t xml:space="preserve"> on the provision of services</w:t>
            </w:r>
          </w:p>
        </w:tc>
        <w:tc>
          <w:tcPr>
            <w:tcW w:w="1134" w:type="dxa"/>
            <w:tcBorders>
              <w:bottom w:val="nil"/>
            </w:tcBorders>
          </w:tcPr>
          <w:p w:rsidR="007077EF" w:rsidRPr="00ED0BEC" w:rsidRDefault="007077EF" w:rsidP="003601D2">
            <w:pPr>
              <w:tabs>
                <w:tab w:val="decimal" w:pos="884"/>
              </w:tabs>
              <w:rPr>
                <w:sz w:val="20"/>
              </w:rPr>
            </w:pPr>
          </w:p>
        </w:tc>
        <w:tc>
          <w:tcPr>
            <w:tcW w:w="992" w:type="dxa"/>
            <w:tcBorders>
              <w:bottom w:val="nil"/>
            </w:tcBorders>
          </w:tcPr>
          <w:p w:rsidR="007077EF" w:rsidRPr="00EC1933" w:rsidRDefault="007077EF" w:rsidP="003601D2">
            <w:pPr>
              <w:tabs>
                <w:tab w:val="decimal" w:pos="884"/>
              </w:tabs>
              <w:rPr>
                <w:sz w:val="20"/>
              </w:rPr>
            </w:pPr>
          </w:p>
        </w:tc>
        <w:tc>
          <w:tcPr>
            <w:tcW w:w="1135" w:type="dxa"/>
            <w:tcBorders>
              <w:top w:val="single" w:sz="4" w:space="0" w:color="auto"/>
              <w:bottom w:val="single" w:sz="4" w:space="0" w:color="auto"/>
            </w:tcBorders>
          </w:tcPr>
          <w:p w:rsidR="007077EF" w:rsidRPr="006C28D2" w:rsidRDefault="00357FBD" w:rsidP="0038630C">
            <w:pPr>
              <w:tabs>
                <w:tab w:val="decimal" w:pos="742"/>
              </w:tabs>
              <w:rPr>
                <w:sz w:val="20"/>
              </w:rPr>
            </w:pPr>
            <w:r>
              <w:rPr>
                <w:sz w:val="20"/>
              </w:rPr>
              <w:t>14.421</w:t>
            </w:r>
          </w:p>
        </w:tc>
        <w:tc>
          <w:tcPr>
            <w:tcW w:w="992" w:type="dxa"/>
            <w:tcBorders>
              <w:bottom w:val="nil"/>
            </w:tcBorders>
          </w:tcPr>
          <w:p w:rsidR="007077EF" w:rsidRPr="00EC1933" w:rsidRDefault="007077EF" w:rsidP="003601D2">
            <w:pPr>
              <w:tabs>
                <w:tab w:val="decimal" w:pos="885"/>
              </w:tabs>
              <w:rPr>
                <w:sz w:val="20"/>
              </w:rPr>
            </w:pPr>
          </w:p>
        </w:tc>
        <w:tc>
          <w:tcPr>
            <w:tcW w:w="992" w:type="dxa"/>
            <w:tcBorders>
              <w:bottom w:val="nil"/>
              <w:right w:val="nil"/>
            </w:tcBorders>
          </w:tcPr>
          <w:p w:rsidR="007077EF" w:rsidRPr="006C1779" w:rsidRDefault="007077EF" w:rsidP="003601D2">
            <w:pPr>
              <w:tabs>
                <w:tab w:val="decimal" w:pos="601"/>
              </w:tabs>
              <w:jc w:val="both"/>
              <w:rPr>
                <w:sz w:val="20"/>
                <w:highlight w:val="yellow"/>
              </w:rPr>
            </w:pPr>
          </w:p>
        </w:tc>
        <w:tc>
          <w:tcPr>
            <w:tcW w:w="1135" w:type="dxa"/>
            <w:tcBorders>
              <w:bottom w:val="single" w:sz="4" w:space="0" w:color="auto"/>
              <w:right w:val="nil"/>
            </w:tcBorders>
          </w:tcPr>
          <w:p w:rsidR="007077EF" w:rsidRPr="006C28D2" w:rsidRDefault="007077EF" w:rsidP="00984272">
            <w:pPr>
              <w:tabs>
                <w:tab w:val="decimal" w:pos="742"/>
              </w:tabs>
              <w:rPr>
                <w:sz w:val="20"/>
              </w:rPr>
            </w:pPr>
            <w:r>
              <w:rPr>
                <w:sz w:val="20"/>
              </w:rPr>
              <w:t>10,</w:t>
            </w:r>
            <w:r w:rsidR="00984272">
              <w:rPr>
                <w:sz w:val="20"/>
              </w:rPr>
              <w:t>557</w:t>
            </w:r>
          </w:p>
        </w:tc>
      </w:tr>
      <w:tr w:rsidR="007077EF" w:rsidTr="003601D2">
        <w:tc>
          <w:tcPr>
            <w:tcW w:w="851" w:type="dxa"/>
            <w:tcBorders>
              <w:top w:val="nil"/>
              <w:left w:val="nil"/>
              <w:bottom w:val="nil"/>
              <w:right w:val="nil"/>
            </w:tcBorders>
          </w:tcPr>
          <w:p w:rsidR="007077EF" w:rsidRPr="007077EF" w:rsidRDefault="007077EF" w:rsidP="003601D2">
            <w:pPr>
              <w:jc w:val="center"/>
              <w:rPr>
                <w:sz w:val="16"/>
                <w:szCs w:val="16"/>
                <w:highlight w:val="yellow"/>
              </w:rPr>
            </w:pPr>
          </w:p>
        </w:tc>
        <w:tc>
          <w:tcPr>
            <w:tcW w:w="7513" w:type="dxa"/>
            <w:tcBorders>
              <w:top w:val="nil"/>
              <w:left w:val="nil"/>
              <w:bottom w:val="nil"/>
              <w:right w:val="nil"/>
            </w:tcBorders>
          </w:tcPr>
          <w:p w:rsidR="007077EF" w:rsidRPr="00AE13B8" w:rsidRDefault="007077EF" w:rsidP="003601D2">
            <w:pPr>
              <w:jc w:val="both"/>
              <w:rPr>
                <w:sz w:val="16"/>
                <w:szCs w:val="16"/>
                <w:highlight w:val="yellow"/>
              </w:rPr>
            </w:pPr>
          </w:p>
        </w:tc>
        <w:tc>
          <w:tcPr>
            <w:tcW w:w="1134" w:type="dxa"/>
            <w:tcBorders>
              <w:top w:val="nil"/>
              <w:left w:val="nil"/>
              <w:bottom w:val="nil"/>
              <w:right w:val="nil"/>
            </w:tcBorders>
          </w:tcPr>
          <w:p w:rsidR="007077EF" w:rsidRPr="00AE13B8" w:rsidRDefault="007077EF" w:rsidP="003601D2">
            <w:pPr>
              <w:tabs>
                <w:tab w:val="decimal" w:pos="884"/>
              </w:tabs>
              <w:rPr>
                <w:sz w:val="16"/>
                <w:szCs w:val="16"/>
                <w:highlight w:val="yellow"/>
              </w:rPr>
            </w:pPr>
          </w:p>
        </w:tc>
        <w:tc>
          <w:tcPr>
            <w:tcW w:w="992" w:type="dxa"/>
            <w:tcBorders>
              <w:top w:val="nil"/>
              <w:left w:val="nil"/>
              <w:bottom w:val="nil"/>
              <w:right w:val="nil"/>
            </w:tcBorders>
          </w:tcPr>
          <w:p w:rsidR="007077EF" w:rsidRPr="00AE13B8" w:rsidRDefault="007077EF" w:rsidP="003601D2">
            <w:pPr>
              <w:tabs>
                <w:tab w:val="decimal" w:pos="884"/>
              </w:tabs>
              <w:rPr>
                <w:sz w:val="16"/>
                <w:szCs w:val="16"/>
              </w:rPr>
            </w:pPr>
          </w:p>
        </w:tc>
        <w:tc>
          <w:tcPr>
            <w:tcW w:w="1135" w:type="dxa"/>
            <w:tcBorders>
              <w:top w:val="single" w:sz="4" w:space="0" w:color="auto"/>
              <w:left w:val="nil"/>
              <w:bottom w:val="nil"/>
              <w:right w:val="nil"/>
            </w:tcBorders>
          </w:tcPr>
          <w:p w:rsidR="007077EF" w:rsidRPr="006C28D2" w:rsidRDefault="007077EF" w:rsidP="0038630C">
            <w:pPr>
              <w:tabs>
                <w:tab w:val="decimal" w:pos="742"/>
              </w:tabs>
              <w:rPr>
                <w:sz w:val="16"/>
                <w:szCs w:val="16"/>
              </w:rPr>
            </w:pPr>
          </w:p>
        </w:tc>
        <w:tc>
          <w:tcPr>
            <w:tcW w:w="992" w:type="dxa"/>
            <w:tcBorders>
              <w:top w:val="nil"/>
              <w:left w:val="nil"/>
              <w:bottom w:val="nil"/>
              <w:right w:val="nil"/>
            </w:tcBorders>
          </w:tcPr>
          <w:p w:rsidR="007077EF" w:rsidRPr="00AE13B8" w:rsidRDefault="007077EF" w:rsidP="003601D2">
            <w:pPr>
              <w:tabs>
                <w:tab w:val="decimal" w:pos="885"/>
              </w:tabs>
              <w:rPr>
                <w:sz w:val="16"/>
                <w:szCs w:val="16"/>
              </w:rPr>
            </w:pPr>
          </w:p>
        </w:tc>
        <w:tc>
          <w:tcPr>
            <w:tcW w:w="992" w:type="dxa"/>
            <w:tcBorders>
              <w:top w:val="nil"/>
              <w:left w:val="nil"/>
              <w:bottom w:val="nil"/>
              <w:right w:val="nil"/>
            </w:tcBorders>
          </w:tcPr>
          <w:p w:rsidR="007077EF" w:rsidRPr="00AE13B8" w:rsidRDefault="007077EF" w:rsidP="003601D2">
            <w:pPr>
              <w:tabs>
                <w:tab w:val="decimal" w:pos="601"/>
              </w:tabs>
              <w:jc w:val="both"/>
              <w:rPr>
                <w:sz w:val="16"/>
                <w:szCs w:val="16"/>
                <w:highlight w:val="yellow"/>
              </w:rPr>
            </w:pPr>
          </w:p>
        </w:tc>
        <w:tc>
          <w:tcPr>
            <w:tcW w:w="1135" w:type="dxa"/>
            <w:tcBorders>
              <w:top w:val="nil"/>
              <w:left w:val="nil"/>
              <w:bottom w:val="nil"/>
              <w:right w:val="nil"/>
            </w:tcBorders>
          </w:tcPr>
          <w:p w:rsidR="007077EF" w:rsidRPr="006C28D2" w:rsidRDefault="007077EF" w:rsidP="00296A09">
            <w:pPr>
              <w:tabs>
                <w:tab w:val="decimal" w:pos="742"/>
              </w:tabs>
              <w:rPr>
                <w:sz w:val="16"/>
                <w:szCs w:val="16"/>
              </w:rPr>
            </w:pPr>
          </w:p>
        </w:tc>
      </w:tr>
      <w:tr w:rsidR="007077EF" w:rsidTr="003601D2">
        <w:tc>
          <w:tcPr>
            <w:tcW w:w="851" w:type="dxa"/>
            <w:tcBorders>
              <w:top w:val="nil"/>
              <w:left w:val="nil"/>
              <w:bottom w:val="nil"/>
              <w:right w:val="nil"/>
            </w:tcBorders>
          </w:tcPr>
          <w:p w:rsidR="007077EF" w:rsidRPr="007077EF" w:rsidRDefault="007077EF" w:rsidP="003601D2">
            <w:pPr>
              <w:jc w:val="center"/>
              <w:rPr>
                <w:sz w:val="20"/>
                <w:highlight w:val="yellow"/>
              </w:rPr>
            </w:pPr>
          </w:p>
        </w:tc>
        <w:tc>
          <w:tcPr>
            <w:tcW w:w="7513" w:type="dxa"/>
            <w:tcBorders>
              <w:top w:val="nil"/>
              <w:left w:val="nil"/>
              <w:bottom w:val="nil"/>
              <w:right w:val="nil"/>
            </w:tcBorders>
          </w:tcPr>
          <w:p w:rsidR="007077EF" w:rsidRPr="00252085" w:rsidRDefault="007077EF" w:rsidP="003601D2">
            <w:pPr>
              <w:ind w:left="720"/>
              <w:jc w:val="both"/>
              <w:rPr>
                <w:sz w:val="20"/>
              </w:rPr>
            </w:pPr>
            <w:r w:rsidRPr="00252085">
              <w:rPr>
                <w:sz w:val="20"/>
              </w:rPr>
              <w:t>(Surplus)/Deficit on revaluation of non-current assets</w:t>
            </w:r>
          </w:p>
        </w:tc>
        <w:tc>
          <w:tcPr>
            <w:tcW w:w="1134" w:type="dxa"/>
            <w:tcBorders>
              <w:top w:val="nil"/>
              <w:left w:val="nil"/>
              <w:bottom w:val="nil"/>
              <w:right w:val="nil"/>
            </w:tcBorders>
          </w:tcPr>
          <w:p w:rsidR="007077EF" w:rsidRPr="00DA432E" w:rsidRDefault="007077EF" w:rsidP="003601D2">
            <w:pPr>
              <w:tabs>
                <w:tab w:val="decimal" w:pos="884"/>
              </w:tabs>
              <w:rPr>
                <w:sz w:val="20"/>
                <w:highlight w:val="yellow"/>
              </w:rPr>
            </w:pPr>
          </w:p>
        </w:tc>
        <w:tc>
          <w:tcPr>
            <w:tcW w:w="992" w:type="dxa"/>
            <w:tcBorders>
              <w:top w:val="nil"/>
              <w:left w:val="nil"/>
              <w:bottom w:val="nil"/>
              <w:right w:val="nil"/>
            </w:tcBorders>
          </w:tcPr>
          <w:p w:rsidR="007077EF" w:rsidRPr="00EC1933" w:rsidRDefault="007077EF" w:rsidP="003601D2">
            <w:pPr>
              <w:tabs>
                <w:tab w:val="decimal" w:pos="884"/>
              </w:tabs>
              <w:rPr>
                <w:sz w:val="20"/>
              </w:rPr>
            </w:pPr>
          </w:p>
        </w:tc>
        <w:tc>
          <w:tcPr>
            <w:tcW w:w="1135" w:type="dxa"/>
            <w:tcBorders>
              <w:top w:val="nil"/>
              <w:left w:val="nil"/>
              <w:bottom w:val="nil"/>
              <w:right w:val="nil"/>
            </w:tcBorders>
          </w:tcPr>
          <w:p w:rsidR="007077EF" w:rsidRPr="005126F5" w:rsidRDefault="00A650E2" w:rsidP="0038630C">
            <w:pPr>
              <w:tabs>
                <w:tab w:val="decimal" w:pos="742"/>
              </w:tabs>
              <w:rPr>
                <w:sz w:val="20"/>
              </w:rPr>
            </w:pPr>
            <w:r>
              <w:rPr>
                <w:sz w:val="20"/>
              </w:rPr>
              <w:t>(5,167)</w:t>
            </w:r>
          </w:p>
        </w:tc>
        <w:tc>
          <w:tcPr>
            <w:tcW w:w="992" w:type="dxa"/>
            <w:tcBorders>
              <w:top w:val="nil"/>
              <w:left w:val="nil"/>
              <w:bottom w:val="nil"/>
              <w:right w:val="nil"/>
            </w:tcBorders>
          </w:tcPr>
          <w:p w:rsidR="007077EF" w:rsidRPr="00EC1933" w:rsidRDefault="007077EF" w:rsidP="003601D2">
            <w:pPr>
              <w:pStyle w:val="CommentText"/>
              <w:tabs>
                <w:tab w:val="decimal" w:pos="885"/>
              </w:tabs>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nil"/>
              <w:left w:val="nil"/>
              <w:bottom w:val="nil"/>
              <w:right w:val="nil"/>
            </w:tcBorders>
          </w:tcPr>
          <w:p w:rsidR="007077EF" w:rsidRPr="005126F5" w:rsidRDefault="007077EF" w:rsidP="00296A09">
            <w:pPr>
              <w:tabs>
                <w:tab w:val="decimal" w:pos="742"/>
              </w:tabs>
              <w:rPr>
                <w:sz w:val="20"/>
              </w:rPr>
            </w:pPr>
            <w:r>
              <w:rPr>
                <w:sz w:val="20"/>
              </w:rPr>
              <w:t>(9,871)</w:t>
            </w:r>
          </w:p>
        </w:tc>
      </w:tr>
      <w:tr w:rsidR="007077EF" w:rsidTr="003601D2">
        <w:tc>
          <w:tcPr>
            <w:tcW w:w="851" w:type="dxa"/>
            <w:tcBorders>
              <w:top w:val="nil"/>
              <w:left w:val="nil"/>
              <w:bottom w:val="nil"/>
              <w:right w:val="nil"/>
            </w:tcBorders>
          </w:tcPr>
          <w:p w:rsidR="007077EF" w:rsidRPr="007077EF" w:rsidRDefault="007077EF" w:rsidP="00040749">
            <w:pPr>
              <w:jc w:val="center"/>
              <w:rPr>
                <w:sz w:val="20"/>
                <w:highlight w:val="yellow"/>
              </w:rPr>
            </w:pPr>
            <w:r w:rsidRPr="00040749">
              <w:rPr>
                <w:sz w:val="20"/>
              </w:rPr>
              <w:t>1</w:t>
            </w:r>
            <w:r w:rsidR="00040749" w:rsidRPr="00040749">
              <w:rPr>
                <w:sz w:val="20"/>
              </w:rPr>
              <w:t>8</w:t>
            </w:r>
          </w:p>
        </w:tc>
        <w:tc>
          <w:tcPr>
            <w:tcW w:w="7513" w:type="dxa"/>
            <w:tcBorders>
              <w:top w:val="nil"/>
              <w:left w:val="nil"/>
              <w:bottom w:val="nil"/>
              <w:right w:val="nil"/>
            </w:tcBorders>
          </w:tcPr>
          <w:p w:rsidR="007077EF" w:rsidRPr="00252085" w:rsidRDefault="007077EF" w:rsidP="003601D2">
            <w:pPr>
              <w:ind w:left="720"/>
              <w:jc w:val="both"/>
              <w:rPr>
                <w:sz w:val="20"/>
              </w:rPr>
            </w:pPr>
            <w:r w:rsidRPr="00252085">
              <w:rPr>
                <w:sz w:val="20"/>
              </w:rPr>
              <w:t>Actuarial (gains)/losses on pensions assets and liabilities</w:t>
            </w:r>
          </w:p>
        </w:tc>
        <w:tc>
          <w:tcPr>
            <w:tcW w:w="1134" w:type="dxa"/>
            <w:tcBorders>
              <w:top w:val="nil"/>
              <w:left w:val="nil"/>
              <w:bottom w:val="nil"/>
              <w:right w:val="nil"/>
            </w:tcBorders>
          </w:tcPr>
          <w:p w:rsidR="007077EF" w:rsidRPr="00DA432E" w:rsidRDefault="007077EF" w:rsidP="003601D2">
            <w:pPr>
              <w:tabs>
                <w:tab w:val="decimal" w:pos="884"/>
              </w:tabs>
              <w:rPr>
                <w:sz w:val="20"/>
                <w:highlight w:val="yellow"/>
              </w:rPr>
            </w:pPr>
          </w:p>
        </w:tc>
        <w:tc>
          <w:tcPr>
            <w:tcW w:w="992" w:type="dxa"/>
            <w:tcBorders>
              <w:top w:val="nil"/>
              <w:left w:val="nil"/>
              <w:bottom w:val="nil"/>
              <w:right w:val="nil"/>
            </w:tcBorders>
          </w:tcPr>
          <w:p w:rsidR="007077EF" w:rsidRPr="00EC1933" w:rsidRDefault="007077EF" w:rsidP="003601D2">
            <w:pPr>
              <w:tabs>
                <w:tab w:val="decimal" w:pos="884"/>
              </w:tabs>
              <w:rPr>
                <w:sz w:val="20"/>
              </w:rPr>
            </w:pPr>
          </w:p>
        </w:tc>
        <w:tc>
          <w:tcPr>
            <w:tcW w:w="1135" w:type="dxa"/>
            <w:tcBorders>
              <w:top w:val="nil"/>
              <w:left w:val="nil"/>
              <w:bottom w:val="single" w:sz="4" w:space="0" w:color="auto"/>
              <w:right w:val="nil"/>
            </w:tcBorders>
          </w:tcPr>
          <w:p w:rsidR="007077EF" w:rsidRPr="005126F5" w:rsidRDefault="00A650E2" w:rsidP="00357FBD">
            <w:pPr>
              <w:tabs>
                <w:tab w:val="decimal" w:pos="742"/>
              </w:tabs>
              <w:rPr>
                <w:sz w:val="20"/>
              </w:rPr>
            </w:pPr>
            <w:r>
              <w:rPr>
                <w:sz w:val="20"/>
              </w:rPr>
              <w:t>(10,</w:t>
            </w:r>
            <w:r w:rsidR="00357FBD">
              <w:rPr>
                <w:sz w:val="20"/>
              </w:rPr>
              <w:t>730</w:t>
            </w:r>
            <w:r>
              <w:rPr>
                <w:sz w:val="20"/>
              </w:rPr>
              <w:t>)</w:t>
            </w:r>
          </w:p>
        </w:tc>
        <w:tc>
          <w:tcPr>
            <w:tcW w:w="992" w:type="dxa"/>
            <w:tcBorders>
              <w:top w:val="nil"/>
              <w:left w:val="nil"/>
              <w:bottom w:val="nil"/>
              <w:right w:val="nil"/>
            </w:tcBorders>
          </w:tcPr>
          <w:p w:rsidR="007077EF" w:rsidRPr="00EC1933" w:rsidRDefault="007077EF" w:rsidP="003601D2">
            <w:pPr>
              <w:tabs>
                <w:tab w:val="decimal" w:pos="885"/>
              </w:tabs>
              <w:rPr>
                <w:sz w:val="20"/>
              </w:rPr>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nil"/>
              <w:left w:val="nil"/>
              <w:bottom w:val="single" w:sz="4" w:space="0" w:color="auto"/>
              <w:right w:val="nil"/>
            </w:tcBorders>
          </w:tcPr>
          <w:p w:rsidR="007077EF" w:rsidRPr="005126F5" w:rsidRDefault="007077EF" w:rsidP="00984272">
            <w:pPr>
              <w:tabs>
                <w:tab w:val="decimal" w:pos="742"/>
              </w:tabs>
              <w:rPr>
                <w:sz w:val="20"/>
              </w:rPr>
            </w:pPr>
            <w:r>
              <w:rPr>
                <w:sz w:val="20"/>
              </w:rPr>
              <w:t>114,</w:t>
            </w:r>
            <w:r w:rsidR="00984272">
              <w:rPr>
                <w:sz w:val="20"/>
              </w:rPr>
              <w:t>941</w:t>
            </w:r>
          </w:p>
        </w:tc>
      </w:tr>
      <w:tr w:rsidR="007077EF" w:rsidTr="003601D2">
        <w:tc>
          <w:tcPr>
            <w:tcW w:w="851" w:type="dxa"/>
            <w:tcBorders>
              <w:top w:val="nil"/>
              <w:left w:val="nil"/>
              <w:bottom w:val="nil"/>
              <w:right w:val="nil"/>
            </w:tcBorders>
          </w:tcPr>
          <w:p w:rsidR="007077EF" w:rsidRPr="007077EF" w:rsidRDefault="007077EF" w:rsidP="003601D2">
            <w:pPr>
              <w:jc w:val="center"/>
              <w:rPr>
                <w:sz w:val="20"/>
                <w:highlight w:val="yellow"/>
              </w:rPr>
            </w:pPr>
          </w:p>
        </w:tc>
        <w:tc>
          <w:tcPr>
            <w:tcW w:w="7513" w:type="dxa"/>
            <w:tcBorders>
              <w:top w:val="nil"/>
              <w:left w:val="nil"/>
              <w:bottom w:val="nil"/>
              <w:right w:val="nil"/>
            </w:tcBorders>
          </w:tcPr>
          <w:p w:rsidR="007077EF" w:rsidRPr="004D6CEF" w:rsidRDefault="007077EF" w:rsidP="003601D2">
            <w:pPr>
              <w:jc w:val="both"/>
              <w:rPr>
                <w:sz w:val="20"/>
              </w:rPr>
            </w:pPr>
            <w:r w:rsidRPr="004D6CEF">
              <w:rPr>
                <w:sz w:val="20"/>
              </w:rPr>
              <w:t>Other comprehensive income &amp; expenditure</w:t>
            </w:r>
          </w:p>
        </w:tc>
        <w:tc>
          <w:tcPr>
            <w:tcW w:w="1134" w:type="dxa"/>
            <w:tcBorders>
              <w:top w:val="nil"/>
              <w:left w:val="nil"/>
              <w:bottom w:val="nil"/>
              <w:right w:val="nil"/>
            </w:tcBorders>
          </w:tcPr>
          <w:p w:rsidR="007077EF" w:rsidRPr="00DA432E" w:rsidRDefault="007077EF" w:rsidP="003601D2">
            <w:pPr>
              <w:tabs>
                <w:tab w:val="decimal" w:pos="884"/>
              </w:tabs>
              <w:rPr>
                <w:sz w:val="20"/>
                <w:highlight w:val="yellow"/>
              </w:rPr>
            </w:pPr>
          </w:p>
        </w:tc>
        <w:tc>
          <w:tcPr>
            <w:tcW w:w="992" w:type="dxa"/>
            <w:tcBorders>
              <w:top w:val="nil"/>
              <w:left w:val="nil"/>
              <w:bottom w:val="nil"/>
              <w:right w:val="nil"/>
            </w:tcBorders>
          </w:tcPr>
          <w:p w:rsidR="007077EF" w:rsidRPr="00EC1933" w:rsidRDefault="007077EF" w:rsidP="003601D2">
            <w:pPr>
              <w:tabs>
                <w:tab w:val="decimal" w:pos="884"/>
              </w:tabs>
              <w:rPr>
                <w:sz w:val="20"/>
              </w:rPr>
            </w:pPr>
          </w:p>
        </w:tc>
        <w:tc>
          <w:tcPr>
            <w:tcW w:w="1135" w:type="dxa"/>
            <w:tcBorders>
              <w:top w:val="single" w:sz="4" w:space="0" w:color="auto"/>
              <w:left w:val="nil"/>
              <w:bottom w:val="nil"/>
              <w:right w:val="nil"/>
            </w:tcBorders>
          </w:tcPr>
          <w:p w:rsidR="007077EF" w:rsidRPr="005126F5" w:rsidRDefault="00A650E2" w:rsidP="00357FBD">
            <w:pPr>
              <w:tabs>
                <w:tab w:val="decimal" w:pos="742"/>
              </w:tabs>
              <w:rPr>
                <w:sz w:val="20"/>
              </w:rPr>
            </w:pPr>
            <w:r>
              <w:rPr>
                <w:sz w:val="20"/>
              </w:rPr>
              <w:t>(15,</w:t>
            </w:r>
            <w:r w:rsidR="00357FBD">
              <w:rPr>
                <w:sz w:val="20"/>
              </w:rPr>
              <w:t>896</w:t>
            </w:r>
            <w:r>
              <w:rPr>
                <w:sz w:val="20"/>
              </w:rPr>
              <w:t>)</w:t>
            </w:r>
          </w:p>
        </w:tc>
        <w:tc>
          <w:tcPr>
            <w:tcW w:w="992" w:type="dxa"/>
            <w:tcBorders>
              <w:top w:val="nil"/>
              <w:left w:val="nil"/>
              <w:bottom w:val="nil"/>
              <w:right w:val="nil"/>
            </w:tcBorders>
          </w:tcPr>
          <w:p w:rsidR="007077EF" w:rsidRPr="00EC1933" w:rsidRDefault="007077EF" w:rsidP="003601D2">
            <w:pPr>
              <w:tabs>
                <w:tab w:val="decimal" w:pos="885"/>
              </w:tabs>
              <w:rPr>
                <w:sz w:val="20"/>
              </w:rPr>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single" w:sz="4" w:space="0" w:color="auto"/>
              <w:left w:val="nil"/>
              <w:bottom w:val="nil"/>
              <w:right w:val="nil"/>
            </w:tcBorders>
          </w:tcPr>
          <w:p w:rsidR="007077EF" w:rsidRPr="005126F5" w:rsidRDefault="00984272" w:rsidP="00984272">
            <w:pPr>
              <w:tabs>
                <w:tab w:val="decimal" w:pos="742"/>
              </w:tabs>
              <w:rPr>
                <w:sz w:val="20"/>
              </w:rPr>
            </w:pPr>
            <w:r>
              <w:rPr>
                <w:sz w:val="20"/>
              </w:rPr>
              <w:t>105</w:t>
            </w:r>
            <w:r w:rsidR="007077EF">
              <w:rPr>
                <w:sz w:val="20"/>
              </w:rPr>
              <w:t>,</w:t>
            </w:r>
            <w:r>
              <w:rPr>
                <w:sz w:val="20"/>
              </w:rPr>
              <w:t>070</w:t>
            </w:r>
          </w:p>
        </w:tc>
      </w:tr>
      <w:tr w:rsidR="007077EF" w:rsidTr="003601D2">
        <w:tc>
          <w:tcPr>
            <w:tcW w:w="851" w:type="dxa"/>
            <w:tcBorders>
              <w:top w:val="nil"/>
              <w:left w:val="nil"/>
              <w:bottom w:val="nil"/>
              <w:right w:val="nil"/>
            </w:tcBorders>
          </w:tcPr>
          <w:p w:rsidR="007077EF" w:rsidRPr="00AE13B8" w:rsidRDefault="007077EF" w:rsidP="003601D2">
            <w:pPr>
              <w:jc w:val="center"/>
              <w:rPr>
                <w:sz w:val="16"/>
                <w:szCs w:val="16"/>
                <w:highlight w:val="yellow"/>
              </w:rPr>
            </w:pPr>
          </w:p>
        </w:tc>
        <w:tc>
          <w:tcPr>
            <w:tcW w:w="7513" w:type="dxa"/>
            <w:tcBorders>
              <w:top w:val="nil"/>
              <w:left w:val="nil"/>
              <w:bottom w:val="nil"/>
              <w:right w:val="nil"/>
            </w:tcBorders>
          </w:tcPr>
          <w:p w:rsidR="007077EF" w:rsidRPr="00AE13B8" w:rsidRDefault="007077EF" w:rsidP="003601D2">
            <w:pPr>
              <w:jc w:val="both"/>
              <w:rPr>
                <w:sz w:val="16"/>
                <w:szCs w:val="16"/>
              </w:rPr>
            </w:pPr>
          </w:p>
        </w:tc>
        <w:tc>
          <w:tcPr>
            <w:tcW w:w="1134" w:type="dxa"/>
            <w:tcBorders>
              <w:top w:val="nil"/>
              <w:left w:val="nil"/>
              <w:bottom w:val="nil"/>
              <w:right w:val="nil"/>
            </w:tcBorders>
          </w:tcPr>
          <w:p w:rsidR="007077EF" w:rsidRPr="00AE13B8" w:rsidRDefault="007077EF" w:rsidP="003601D2">
            <w:pPr>
              <w:tabs>
                <w:tab w:val="decimal" w:pos="884"/>
              </w:tabs>
              <w:rPr>
                <w:sz w:val="16"/>
                <w:szCs w:val="16"/>
                <w:highlight w:val="yellow"/>
              </w:rPr>
            </w:pPr>
          </w:p>
        </w:tc>
        <w:tc>
          <w:tcPr>
            <w:tcW w:w="992" w:type="dxa"/>
            <w:tcBorders>
              <w:top w:val="nil"/>
              <w:left w:val="nil"/>
              <w:bottom w:val="nil"/>
              <w:right w:val="nil"/>
            </w:tcBorders>
          </w:tcPr>
          <w:p w:rsidR="007077EF" w:rsidRPr="00AE13B8" w:rsidRDefault="007077EF" w:rsidP="003601D2">
            <w:pPr>
              <w:tabs>
                <w:tab w:val="decimal" w:pos="884"/>
              </w:tabs>
              <w:rPr>
                <w:sz w:val="16"/>
                <w:szCs w:val="16"/>
              </w:rPr>
            </w:pPr>
          </w:p>
        </w:tc>
        <w:tc>
          <w:tcPr>
            <w:tcW w:w="1135" w:type="dxa"/>
            <w:tcBorders>
              <w:top w:val="nil"/>
              <w:left w:val="nil"/>
              <w:bottom w:val="single" w:sz="4" w:space="0" w:color="auto"/>
              <w:right w:val="nil"/>
            </w:tcBorders>
          </w:tcPr>
          <w:p w:rsidR="007077EF" w:rsidRPr="005126F5" w:rsidRDefault="007077EF" w:rsidP="0038630C">
            <w:pPr>
              <w:tabs>
                <w:tab w:val="decimal" w:pos="742"/>
              </w:tabs>
              <w:rPr>
                <w:sz w:val="16"/>
                <w:szCs w:val="16"/>
              </w:rPr>
            </w:pPr>
          </w:p>
        </w:tc>
        <w:tc>
          <w:tcPr>
            <w:tcW w:w="992" w:type="dxa"/>
            <w:tcBorders>
              <w:top w:val="nil"/>
              <w:left w:val="nil"/>
              <w:bottom w:val="nil"/>
              <w:right w:val="nil"/>
            </w:tcBorders>
          </w:tcPr>
          <w:p w:rsidR="007077EF" w:rsidRPr="00AE13B8" w:rsidRDefault="007077EF" w:rsidP="003601D2">
            <w:pPr>
              <w:tabs>
                <w:tab w:val="decimal" w:pos="885"/>
              </w:tabs>
              <w:rPr>
                <w:sz w:val="16"/>
                <w:szCs w:val="16"/>
              </w:rPr>
            </w:pPr>
          </w:p>
        </w:tc>
        <w:tc>
          <w:tcPr>
            <w:tcW w:w="992" w:type="dxa"/>
            <w:tcBorders>
              <w:top w:val="nil"/>
              <w:left w:val="nil"/>
              <w:bottom w:val="nil"/>
              <w:right w:val="nil"/>
            </w:tcBorders>
          </w:tcPr>
          <w:p w:rsidR="007077EF" w:rsidRPr="00AE13B8" w:rsidRDefault="007077EF" w:rsidP="003601D2">
            <w:pPr>
              <w:tabs>
                <w:tab w:val="decimal" w:pos="601"/>
              </w:tabs>
              <w:jc w:val="both"/>
              <w:rPr>
                <w:sz w:val="16"/>
                <w:szCs w:val="16"/>
                <w:highlight w:val="yellow"/>
              </w:rPr>
            </w:pPr>
          </w:p>
        </w:tc>
        <w:tc>
          <w:tcPr>
            <w:tcW w:w="1135" w:type="dxa"/>
            <w:tcBorders>
              <w:top w:val="nil"/>
              <w:left w:val="nil"/>
              <w:bottom w:val="single" w:sz="4" w:space="0" w:color="auto"/>
              <w:right w:val="nil"/>
            </w:tcBorders>
          </w:tcPr>
          <w:p w:rsidR="007077EF" w:rsidRPr="005126F5" w:rsidRDefault="007077EF" w:rsidP="00296A09">
            <w:pPr>
              <w:tabs>
                <w:tab w:val="decimal" w:pos="742"/>
              </w:tabs>
              <w:rPr>
                <w:sz w:val="16"/>
                <w:szCs w:val="16"/>
              </w:rPr>
            </w:pPr>
          </w:p>
        </w:tc>
      </w:tr>
      <w:tr w:rsidR="007077EF" w:rsidTr="003601D2">
        <w:tc>
          <w:tcPr>
            <w:tcW w:w="851" w:type="dxa"/>
            <w:tcBorders>
              <w:top w:val="nil"/>
              <w:left w:val="nil"/>
              <w:bottom w:val="nil"/>
              <w:right w:val="nil"/>
            </w:tcBorders>
          </w:tcPr>
          <w:p w:rsidR="007077EF" w:rsidRPr="00FB1DA8" w:rsidRDefault="007077EF" w:rsidP="003601D2">
            <w:pPr>
              <w:jc w:val="center"/>
              <w:rPr>
                <w:sz w:val="20"/>
                <w:highlight w:val="yellow"/>
              </w:rPr>
            </w:pPr>
          </w:p>
        </w:tc>
        <w:tc>
          <w:tcPr>
            <w:tcW w:w="7513" w:type="dxa"/>
            <w:tcBorders>
              <w:top w:val="nil"/>
              <w:left w:val="nil"/>
              <w:bottom w:val="nil"/>
              <w:right w:val="nil"/>
            </w:tcBorders>
          </w:tcPr>
          <w:p w:rsidR="007077EF" w:rsidRPr="004D6CEF" w:rsidRDefault="007077EF" w:rsidP="003601D2">
            <w:pPr>
              <w:jc w:val="both"/>
              <w:rPr>
                <w:sz w:val="20"/>
              </w:rPr>
            </w:pPr>
            <w:r w:rsidRPr="004D6CEF">
              <w:rPr>
                <w:sz w:val="20"/>
              </w:rPr>
              <w:t>Total Comprehensive Income and Expenditure</w:t>
            </w:r>
          </w:p>
        </w:tc>
        <w:tc>
          <w:tcPr>
            <w:tcW w:w="1134" w:type="dxa"/>
            <w:tcBorders>
              <w:top w:val="nil"/>
              <w:left w:val="nil"/>
              <w:bottom w:val="nil"/>
              <w:right w:val="nil"/>
            </w:tcBorders>
          </w:tcPr>
          <w:p w:rsidR="007077EF" w:rsidRPr="00DA432E" w:rsidRDefault="007077EF" w:rsidP="003601D2">
            <w:pPr>
              <w:tabs>
                <w:tab w:val="decimal" w:pos="884"/>
              </w:tabs>
              <w:rPr>
                <w:sz w:val="20"/>
                <w:highlight w:val="yellow"/>
              </w:rPr>
            </w:pPr>
          </w:p>
        </w:tc>
        <w:tc>
          <w:tcPr>
            <w:tcW w:w="992" w:type="dxa"/>
            <w:tcBorders>
              <w:top w:val="nil"/>
              <w:left w:val="nil"/>
              <w:bottom w:val="nil"/>
              <w:right w:val="nil"/>
            </w:tcBorders>
          </w:tcPr>
          <w:p w:rsidR="007077EF" w:rsidRPr="00EC1933" w:rsidRDefault="007077EF" w:rsidP="003601D2">
            <w:pPr>
              <w:tabs>
                <w:tab w:val="decimal" w:pos="884"/>
              </w:tabs>
              <w:rPr>
                <w:sz w:val="20"/>
              </w:rPr>
            </w:pPr>
          </w:p>
        </w:tc>
        <w:tc>
          <w:tcPr>
            <w:tcW w:w="1135" w:type="dxa"/>
            <w:tcBorders>
              <w:top w:val="single" w:sz="4" w:space="0" w:color="auto"/>
              <w:left w:val="nil"/>
              <w:bottom w:val="double" w:sz="4" w:space="0" w:color="auto"/>
              <w:right w:val="nil"/>
            </w:tcBorders>
          </w:tcPr>
          <w:p w:rsidR="007077EF" w:rsidRPr="005126F5" w:rsidRDefault="00A650E2" w:rsidP="00357FBD">
            <w:pPr>
              <w:tabs>
                <w:tab w:val="decimal" w:pos="742"/>
              </w:tabs>
              <w:rPr>
                <w:b/>
                <w:sz w:val="20"/>
              </w:rPr>
            </w:pPr>
            <w:r>
              <w:rPr>
                <w:b/>
                <w:sz w:val="20"/>
              </w:rPr>
              <w:t>(1,</w:t>
            </w:r>
            <w:r w:rsidR="00357FBD">
              <w:rPr>
                <w:b/>
                <w:sz w:val="20"/>
              </w:rPr>
              <w:t>476</w:t>
            </w:r>
            <w:r>
              <w:rPr>
                <w:b/>
                <w:sz w:val="20"/>
              </w:rPr>
              <w:t>)</w:t>
            </w:r>
          </w:p>
        </w:tc>
        <w:tc>
          <w:tcPr>
            <w:tcW w:w="992" w:type="dxa"/>
            <w:tcBorders>
              <w:top w:val="nil"/>
              <w:left w:val="nil"/>
              <w:bottom w:val="nil"/>
              <w:right w:val="nil"/>
            </w:tcBorders>
          </w:tcPr>
          <w:p w:rsidR="007077EF" w:rsidRPr="00EC1933" w:rsidRDefault="007077EF" w:rsidP="003601D2">
            <w:pPr>
              <w:tabs>
                <w:tab w:val="decimal" w:pos="885"/>
              </w:tabs>
              <w:rPr>
                <w:b/>
                <w:sz w:val="20"/>
              </w:rPr>
            </w:pPr>
          </w:p>
        </w:tc>
        <w:tc>
          <w:tcPr>
            <w:tcW w:w="992" w:type="dxa"/>
            <w:tcBorders>
              <w:top w:val="nil"/>
              <w:left w:val="nil"/>
              <w:bottom w:val="nil"/>
              <w:right w:val="nil"/>
            </w:tcBorders>
          </w:tcPr>
          <w:p w:rsidR="007077EF" w:rsidRPr="006C1779" w:rsidRDefault="007077EF" w:rsidP="003601D2">
            <w:pPr>
              <w:tabs>
                <w:tab w:val="decimal" w:pos="601"/>
              </w:tabs>
              <w:jc w:val="both"/>
              <w:rPr>
                <w:sz w:val="20"/>
                <w:highlight w:val="yellow"/>
              </w:rPr>
            </w:pPr>
          </w:p>
        </w:tc>
        <w:tc>
          <w:tcPr>
            <w:tcW w:w="1135" w:type="dxa"/>
            <w:tcBorders>
              <w:top w:val="single" w:sz="4" w:space="0" w:color="auto"/>
              <w:left w:val="nil"/>
              <w:bottom w:val="double" w:sz="4" w:space="0" w:color="auto"/>
              <w:right w:val="nil"/>
            </w:tcBorders>
          </w:tcPr>
          <w:p w:rsidR="007077EF" w:rsidRPr="005126F5" w:rsidRDefault="00984272" w:rsidP="00296A09">
            <w:pPr>
              <w:tabs>
                <w:tab w:val="decimal" w:pos="742"/>
              </w:tabs>
              <w:rPr>
                <w:b/>
                <w:sz w:val="20"/>
              </w:rPr>
            </w:pPr>
            <w:r>
              <w:rPr>
                <w:b/>
                <w:sz w:val="20"/>
              </w:rPr>
              <w:t>115,627</w:t>
            </w:r>
          </w:p>
        </w:tc>
      </w:tr>
    </w:tbl>
    <w:p w:rsidR="003601D2" w:rsidRDefault="003601D2" w:rsidP="003601D2">
      <w:pPr>
        <w:jc w:val="both"/>
        <w:rPr>
          <w:sz w:val="22"/>
        </w:rPr>
        <w:sectPr w:rsidR="003601D2" w:rsidSect="004347D0">
          <w:pgSz w:w="16840" w:h="11907" w:orient="landscape" w:code="9"/>
          <w:pgMar w:top="737" w:right="851" w:bottom="794" w:left="624" w:header="720" w:footer="720" w:gutter="0"/>
          <w:cols w:space="720"/>
        </w:sectPr>
      </w:pPr>
    </w:p>
    <w:p w:rsidR="00BC0AFA" w:rsidRDefault="00BC0AFA" w:rsidP="00BC0AFA">
      <w:pPr>
        <w:tabs>
          <w:tab w:val="left" w:pos="720"/>
          <w:tab w:val="right" w:pos="5760"/>
        </w:tabs>
        <w:jc w:val="center"/>
        <w:rPr>
          <w:b/>
          <w:sz w:val="22"/>
        </w:rPr>
      </w:pPr>
      <w:r>
        <w:rPr>
          <w:b/>
          <w:sz w:val="22"/>
        </w:rPr>
        <w:lastRenderedPageBreak/>
        <w:t>MOVEMENT IN RESERVES</w:t>
      </w:r>
      <w:r w:rsidRPr="009B114A">
        <w:rPr>
          <w:b/>
          <w:sz w:val="22"/>
        </w:rPr>
        <w:t xml:space="preserve"> </w:t>
      </w:r>
      <w:r>
        <w:rPr>
          <w:b/>
          <w:sz w:val="22"/>
        </w:rPr>
        <w:t>STATEMENT 201</w:t>
      </w:r>
      <w:r w:rsidR="007077EF">
        <w:rPr>
          <w:b/>
          <w:sz w:val="22"/>
        </w:rPr>
        <w:t>7</w:t>
      </w:r>
      <w:r w:rsidR="00547700">
        <w:rPr>
          <w:b/>
          <w:sz w:val="22"/>
        </w:rPr>
        <w:t>/1</w:t>
      </w:r>
      <w:r w:rsidR="007077EF">
        <w:rPr>
          <w:b/>
          <w:sz w:val="22"/>
        </w:rPr>
        <w:t>8</w:t>
      </w:r>
    </w:p>
    <w:p w:rsidR="001C2B3D" w:rsidRPr="00D662AF" w:rsidRDefault="001C2B3D" w:rsidP="001C2B3D">
      <w:pPr>
        <w:tabs>
          <w:tab w:val="left" w:pos="720"/>
          <w:tab w:val="right" w:pos="5760"/>
        </w:tabs>
        <w:jc w:val="both"/>
        <w:rPr>
          <w:b/>
          <w:sz w:val="16"/>
          <w:szCs w:val="16"/>
        </w:rPr>
      </w:pPr>
    </w:p>
    <w:p w:rsidR="00D864F8" w:rsidRDefault="001C2B3D" w:rsidP="004347D0">
      <w:pPr>
        <w:ind w:right="-341"/>
        <w:jc w:val="both"/>
        <w:rPr>
          <w:sz w:val="20"/>
        </w:rPr>
      </w:pPr>
      <w:r w:rsidRPr="00534390">
        <w:rPr>
          <w:sz w:val="20"/>
        </w:rPr>
        <w:t xml:space="preserve">This statement shows the movement in the year on the different reserves held by the </w:t>
      </w:r>
      <w:r w:rsidR="006D4A6E">
        <w:rPr>
          <w:sz w:val="20"/>
        </w:rPr>
        <w:t>A</w:t>
      </w:r>
      <w:r w:rsidRPr="00534390">
        <w:rPr>
          <w:sz w:val="20"/>
        </w:rPr>
        <w:t>uthority, analysed into ‘Usable Reserves’ (i.e.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and the Comprehensive Income and Expenditure Statement for council tax setting purposes.  The Net Increase/Decrease before Transfers to Earmarked Reserves line shows the statutory General Fund Balance before any discretionary transfers to or from Earmarked Reserves undertaken by the Authority.</w:t>
      </w:r>
      <w:r>
        <w:rPr>
          <w:sz w:val="20"/>
        </w:rPr>
        <w:t xml:space="preserve"> </w:t>
      </w:r>
    </w:p>
    <w:p w:rsidR="00BC0AFA" w:rsidRPr="001C2B3D" w:rsidRDefault="001C2B3D" w:rsidP="004347D0">
      <w:pPr>
        <w:ind w:right="-341"/>
        <w:jc w:val="both"/>
        <w:rPr>
          <w:sz w:val="20"/>
        </w:rPr>
      </w:pPr>
      <w:r>
        <w:rPr>
          <w:sz w:val="20"/>
        </w:rPr>
        <w:t xml:space="preserve"> </w:t>
      </w:r>
    </w:p>
    <w:tbl>
      <w:tblPr>
        <w:tblW w:w="15916" w:type="dxa"/>
        <w:tblLayout w:type="fixed"/>
        <w:tblLook w:val="01E0" w:firstRow="1" w:lastRow="1" w:firstColumn="1" w:lastColumn="1" w:noHBand="0" w:noVBand="0"/>
      </w:tblPr>
      <w:tblGrid>
        <w:gridCol w:w="6204"/>
        <w:gridCol w:w="1063"/>
        <w:gridCol w:w="1205"/>
        <w:gridCol w:w="1064"/>
        <w:gridCol w:w="1063"/>
        <w:gridCol w:w="1063"/>
        <w:gridCol w:w="1064"/>
        <w:gridCol w:w="1063"/>
        <w:gridCol w:w="1063"/>
        <w:gridCol w:w="1064"/>
      </w:tblGrid>
      <w:tr w:rsidR="00F67BAF" w:rsidRPr="00F67BAF" w:rsidTr="002165FA">
        <w:tc>
          <w:tcPr>
            <w:tcW w:w="6204" w:type="dxa"/>
            <w:shd w:val="clear" w:color="auto" w:fill="auto"/>
          </w:tcPr>
          <w:p w:rsidR="00F67BAF" w:rsidRPr="00F67BAF" w:rsidRDefault="00F67BAF" w:rsidP="00D72DD9">
            <w:pPr>
              <w:jc w:val="both"/>
              <w:rPr>
                <w:sz w:val="18"/>
                <w:szCs w:val="18"/>
              </w:rPr>
            </w:pPr>
          </w:p>
        </w:tc>
        <w:tc>
          <w:tcPr>
            <w:tcW w:w="1063" w:type="dxa"/>
            <w:shd w:val="clear" w:color="auto" w:fill="auto"/>
          </w:tcPr>
          <w:p w:rsidR="00F67BAF" w:rsidRPr="00F67BAF" w:rsidRDefault="00F67BAF" w:rsidP="002165FA">
            <w:pPr>
              <w:jc w:val="right"/>
              <w:rPr>
                <w:sz w:val="18"/>
                <w:szCs w:val="18"/>
              </w:rPr>
            </w:pPr>
            <w:r w:rsidRPr="00F67BAF">
              <w:rPr>
                <w:sz w:val="18"/>
                <w:szCs w:val="18"/>
              </w:rPr>
              <w:t xml:space="preserve">General fund </w:t>
            </w:r>
          </w:p>
        </w:tc>
        <w:tc>
          <w:tcPr>
            <w:tcW w:w="1205" w:type="dxa"/>
            <w:shd w:val="clear" w:color="auto" w:fill="auto"/>
          </w:tcPr>
          <w:p w:rsidR="00F67BAF" w:rsidRPr="00F67BAF" w:rsidRDefault="00F67BAF" w:rsidP="00D72DD9">
            <w:pPr>
              <w:jc w:val="right"/>
              <w:rPr>
                <w:sz w:val="18"/>
                <w:szCs w:val="18"/>
              </w:rPr>
            </w:pPr>
            <w:r w:rsidRPr="00F67BAF">
              <w:rPr>
                <w:sz w:val="18"/>
                <w:szCs w:val="18"/>
              </w:rPr>
              <w:t>Earmarked reserves</w:t>
            </w:r>
          </w:p>
        </w:tc>
        <w:tc>
          <w:tcPr>
            <w:tcW w:w="1064" w:type="dxa"/>
          </w:tcPr>
          <w:p w:rsidR="00F67BAF" w:rsidRPr="00F67BAF" w:rsidRDefault="002165FA" w:rsidP="00D72DD9">
            <w:pPr>
              <w:jc w:val="right"/>
              <w:rPr>
                <w:sz w:val="18"/>
                <w:szCs w:val="18"/>
              </w:rPr>
            </w:pPr>
            <w:r>
              <w:rPr>
                <w:sz w:val="18"/>
                <w:szCs w:val="18"/>
              </w:rPr>
              <w:t>Total General Fund Balance</w:t>
            </w:r>
          </w:p>
        </w:tc>
        <w:tc>
          <w:tcPr>
            <w:tcW w:w="1063" w:type="dxa"/>
            <w:shd w:val="clear" w:color="auto" w:fill="auto"/>
          </w:tcPr>
          <w:p w:rsidR="00F67BAF" w:rsidRPr="00F67BAF" w:rsidRDefault="00F67BAF" w:rsidP="00D72DD9">
            <w:pPr>
              <w:jc w:val="right"/>
              <w:rPr>
                <w:sz w:val="18"/>
                <w:szCs w:val="18"/>
              </w:rPr>
            </w:pPr>
            <w:r w:rsidRPr="00F67BAF">
              <w:rPr>
                <w:sz w:val="18"/>
                <w:szCs w:val="18"/>
              </w:rPr>
              <w:t>Capital funding reserve</w:t>
            </w:r>
          </w:p>
        </w:tc>
        <w:tc>
          <w:tcPr>
            <w:tcW w:w="1063" w:type="dxa"/>
          </w:tcPr>
          <w:p w:rsidR="00F67BAF" w:rsidRPr="00F67BAF" w:rsidRDefault="00F67BAF" w:rsidP="00D72DD9">
            <w:pPr>
              <w:jc w:val="right"/>
              <w:rPr>
                <w:sz w:val="18"/>
                <w:szCs w:val="18"/>
              </w:rPr>
            </w:pPr>
            <w:r w:rsidRPr="00F67BAF">
              <w:rPr>
                <w:sz w:val="18"/>
                <w:szCs w:val="18"/>
              </w:rPr>
              <w:t>Capital grant unapplied reserve</w:t>
            </w:r>
          </w:p>
        </w:tc>
        <w:tc>
          <w:tcPr>
            <w:tcW w:w="1064" w:type="dxa"/>
            <w:shd w:val="clear" w:color="auto" w:fill="auto"/>
          </w:tcPr>
          <w:p w:rsidR="00F67BAF" w:rsidRPr="00F67BAF" w:rsidRDefault="00F67BAF" w:rsidP="00D72DD9">
            <w:pPr>
              <w:jc w:val="right"/>
              <w:rPr>
                <w:sz w:val="18"/>
                <w:szCs w:val="18"/>
              </w:rPr>
            </w:pPr>
            <w:r w:rsidRPr="00F67BAF">
              <w:rPr>
                <w:sz w:val="18"/>
                <w:szCs w:val="18"/>
              </w:rPr>
              <w:t>Capital receipts reserve</w:t>
            </w:r>
          </w:p>
        </w:tc>
        <w:tc>
          <w:tcPr>
            <w:tcW w:w="1063" w:type="dxa"/>
            <w:shd w:val="clear" w:color="auto" w:fill="auto"/>
          </w:tcPr>
          <w:p w:rsidR="00F67BAF" w:rsidRPr="00F67BAF" w:rsidRDefault="00F67BAF" w:rsidP="00D72DD9">
            <w:pPr>
              <w:jc w:val="right"/>
              <w:rPr>
                <w:sz w:val="18"/>
                <w:szCs w:val="18"/>
              </w:rPr>
            </w:pPr>
            <w:r w:rsidRPr="00F67BAF">
              <w:rPr>
                <w:sz w:val="18"/>
                <w:szCs w:val="18"/>
              </w:rPr>
              <w:t>Total usable reserves</w:t>
            </w:r>
          </w:p>
        </w:tc>
        <w:tc>
          <w:tcPr>
            <w:tcW w:w="1063" w:type="dxa"/>
            <w:shd w:val="clear" w:color="auto" w:fill="auto"/>
          </w:tcPr>
          <w:p w:rsidR="00F67BAF" w:rsidRPr="00F67BAF" w:rsidRDefault="00F67BAF" w:rsidP="00D72DD9">
            <w:pPr>
              <w:jc w:val="right"/>
              <w:rPr>
                <w:sz w:val="18"/>
                <w:szCs w:val="18"/>
              </w:rPr>
            </w:pPr>
            <w:r w:rsidRPr="00F67BAF">
              <w:rPr>
                <w:sz w:val="18"/>
                <w:szCs w:val="18"/>
              </w:rPr>
              <w:t>Unusable reserves</w:t>
            </w:r>
          </w:p>
        </w:tc>
        <w:tc>
          <w:tcPr>
            <w:tcW w:w="1064" w:type="dxa"/>
            <w:shd w:val="clear" w:color="auto" w:fill="auto"/>
          </w:tcPr>
          <w:p w:rsidR="00F67BAF" w:rsidRPr="00F67BAF" w:rsidRDefault="00F67BAF" w:rsidP="00D72DD9">
            <w:pPr>
              <w:jc w:val="right"/>
              <w:rPr>
                <w:sz w:val="18"/>
                <w:szCs w:val="18"/>
              </w:rPr>
            </w:pPr>
            <w:r w:rsidRPr="00F67BAF">
              <w:rPr>
                <w:sz w:val="18"/>
                <w:szCs w:val="18"/>
              </w:rPr>
              <w:t>Total Authority reserves</w:t>
            </w:r>
          </w:p>
        </w:tc>
      </w:tr>
      <w:tr w:rsidR="00F67BAF" w:rsidRPr="00F67BAF" w:rsidTr="002165FA">
        <w:tc>
          <w:tcPr>
            <w:tcW w:w="6204" w:type="dxa"/>
            <w:shd w:val="clear" w:color="auto" w:fill="auto"/>
          </w:tcPr>
          <w:p w:rsidR="00F67BAF" w:rsidRPr="00F67BAF" w:rsidRDefault="00F67BAF" w:rsidP="00D72DD9">
            <w:pPr>
              <w:jc w:val="both"/>
              <w:rPr>
                <w:sz w:val="18"/>
                <w:szCs w:val="18"/>
              </w:rPr>
            </w:pPr>
          </w:p>
        </w:tc>
        <w:tc>
          <w:tcPr>
            <w:tcW w:w="1063" w:type="dxa"/>
            <w:shd w:val="clear" w:color="auto" w:fill="auto"/>
          </w:tcPr>
          <w:p w:rsidR="00F67BAF" w:rsidRPr="00F67BAF" w:rsidRDefault="00F67BAF" w:rsidP="00D72DD9">
            <w:pPr>
              <w:jc w:val="center"/>
              <w:rPr>
                <w:sz w:val="18"/>
                <w:szCs w:val="18"/>
              </w:rPr>
            </w:pPr>
            <w:r w:rsidRPr="00F67BAF">
              <w:rPr>
                <w:sz w:val="18"/>
                <w:szCs w:val="18"/>
              </w:rPr>
              <w:t>£000</w:t>
            </w:r>
          </w:p>
        </w:tc>
        <w:tc>
          <w:tcPr>
            <w:tcW w:w="1205" w:type="dxa"/>
            <w:shd w:val="clear" w:color="auto" w:fill="auto"/>
          </w:tcPr>
          <w:p w:rsidR="00F67BAF" w:rsidRPr="00F67BAF" w:rsidRDefault="00F67BAF" w:rsidP="00D72DD9">
            <w:pPr>
              <w:jc w:val="center"/>
              <w:rPr>
                <w:sz w:val="18"/>
                <w:szCs w:val="18"/>
              </w:rPr>
            </w:pPr>
            <w:r w:rsidRPr="00F67BAF">
              <w:rPr>
                <w:sz w:val="18"/>
                <w:szCs w:val="18"/>
              </w:rPr>
              <w:t>£000</w:t>
            </w:r>
          </w:p>
        </w:tc>
        <w:tc>
          <w:tcPr>
            <w:tcW w:w="1064" w:type="dxa"/>
          </w:tcPr>
          <w:p w:rsidR="00F67BAF" w:rsidRPr="00F67BAF" w:rsidRDefault="002165FA" w:rsidP="00D72DD9">
            <w:pPr>
              <w:jc w:val="center"/>
              <w:rPr>
                <w:sz w:val="18"/>
                <w:szCs w:val="18"/>
              </w:rPr>
            </w:pPr>
            <w:r w:rsidRPr="00F67BAF">
              <w:rPr>
                <w:sz w:val="18"/>
                <w:szCs w:val="18"/>
              </w:rPr>
              <w:t>£000</w:t>
            </w:r>
          </w:p>
        </w:tc>
        <w:tc>
          <w:tcPr>
            <w:tcW w:w="1063" w:type="dxa"/>
            <w:shd w:val="clear" w:color="auto" w:fill="auto"/>
          </w:tcPr>
          <w:p w:rsidR="00F67BAF" w:rsidRPr="00F67BAF" w:rsidRDefault="00F67BAF" w:rsidP="00D72DD9">
            <w:pPr>
              <w:jc w:val="center"/>
              <w:rPr>
                <w:sz w:val="18"/>
                <w:szCs w:val="18"/>
              </w:rPr>
            </w:pPr>
            <w:r w:rsidRPr="00F67BAF">
              <w:rPr>
                <w:sz w:val="18"/>
                <w:szCs w:val="18"/>
              </w:rPr>
              <w:t>£000</w:t>
            </w:r>
          </w:p>
        </w:tc>
        <w:tc>
          <w:tcPr>
            <w:tcW w:w="1063" w:type="dxa"/>
          </w:tcPr>
          <w:p w:rsidR="00F67BAF" w:rsidRPr="00F67BAF" w:rsidRDefault="00F67BAF" w:rsidP="00D72DD9">
            <w:pPr>
              <w:jc w:val="center"/>
              <w:rPr>
                <w:sz w:val="18"/>
                <w:szCs w:val="18"/>
              </w:rPr>
            </w:pPr>
            <w:r w:rsidRPr="00F67BAF">
              <w:rPr>
                <w:sz w:val="18"/>
                <w:szCs w:val="18"/>
              </w:rPr>
              <w:t>£000</w:t>
            </w:r>
          </w:p>
        </w:tc>
        <w:tc>
          <w:tcPr>
            <w:tcW w:w="1064" w:type="dxa"/>
            <w:shd w:val="clear" w:color="auto" w:fill="auto"/>
          </w:tcPr>
          <w:p w:rsidR="00F67BAF" w:rsidRPr="00F67BAF" w:rsidRDefault="00F67BAF" w:rsidP="00D72DD9">
            <w:pPr>
              <w:jc w:val="center"/>
              <w:rPr>
                <w:sz w:val="18"/>
                <w:szCs w:val="18"/>
              </w:rPr>
            </w:pPr>
            <w:r w:rsidRPr="00F67BAF">
              <w:rPr>
                <w:sz w:val="18"/>
                <w:szCs w:val="18"/>
              </w:rPr>
              <w:t>£000</w:t>
            </w:r>
          </w:p>
        </w:tc>
        <w:tc>
          <w:tcPr>
            <w:tcW w:w="1063" w:type="dxa"/>
            <w:shd w:val="clear" w:color="auto" w:fill="auto"/>
          </w:tcPr>
          <w:p w:rsidR="00F67BAF" w:rsidRPr="00F67BAF" w:rsidRDefault="00F67BAF" w:rsidP="00D72DD9">
            <w:pPr>
              <w:jc w:val="center"/>
              <w:rPr>
                <w:sz w:val="18"/>
                <w:szCs w:val="18"/>
              </w:rPr>
            </w:pPr>
            <w:r w:rsidRPr="00F67BAF">
              <w:rPr>
                <w:sz w:val="18"/>
                <w:szCs w:val="18"/>
              </w:rPr>
              <w:t>£000</w:t>
            </w:r>
          </w:p>
        </w:tc>
        <w:tc>
          <w:tcPr>
            <w:tcW w:w="1063" w:type="dxa"/>
            <w:shd w:val="clear" w:color="auto" w:fill="auto"/>
          </w:tcPr>
          <w:p w:rsidR="00F67BAF" w:rsidRPr="00F67BAF" w:rsidRDefault="00F67BAF" w:rsidP="00D72DD9">
            <w:pPr>
              <w:jc w:val="center"/>
              <w:rPr>
                <w:sz w:val="18"/>
                <w:szCs w:val="18"/>
              </w:rPr>
            </w:pPr>
            <w:r w:rsidRPr="00F67BAF">
              <w:rPr>
                <w:sz w:val="18"/>
                <w:szCs w:val="18"/>
              </w:rPr>
              <w:t>£000</w:t>
            </w:r>
          </w:p>
        </w:tc>
        <w:tc>
          <w:tcPr>
            <w:tcW w:w="1064" w:type="dxa"/>
            <w:shd w:val="clear" w:color="auto" w:fill="auto"/>
          </w:tcPr>
          <w:p w:rsidR="00F67BAF" w:rsidRPr="00F67BAF" w:rsidRDefault="00F67BAF" w:rsidP="00D72DD9">
            <w:pPr>
              <w:jc w:val="center"/>
              <w:rPr>
                <w:sz w:val="18"/>
                <w:szCs w:val="18"/>
              </w:rPr>
            </w:pPr>
            <w:r w:rsidRPr="00F67BAF">
              <w:rPr>
                <w:sz w:val="18"/>
                <w:szCs w:val="18"/>
              </w:rPr>
              <w:t>£000</w:t>
            </w:r>
          </w:p>
        </w:tc>
      </w:tr>
      <w:tr w:rsidR="002165FA" w:rsidRPr="00F67BAF" w:rsidTr="002165FA">
        <w:tc>
          <w:tcPr>
            <w:tcW w:w="6204" w:type="dxa"/>
            <w:shd w:val="clear" w:color="auto" w:fill="auto"/>
          </w:tcPr>
          <w:p w:rsidR="002165FA" w:rsidRPr="00F67BAF" w:rsidRDefault="002165FA" w:rsidP="003C7A1B">
            <w:pPr>
              <w:jc w:val="both"/>
              <w:rPr>
                <w:sz w:val="18"/>
                <w:szCs w:val="18"/>
              </w:rPr>
            </w:pPr>
          </w:p>
        </w:tc>
        <w:tc>
          <w:tcPr>
            <w:tcW w:w="1063" w:type="dxa"/>
            <w:shd w:val="clear" w:color="auto" w:fill="auto"/>
          </w:tcPr>
          <w:p w:rsidR="002165FA" w:rsidRPr="00F67BAF" w:rsidRDefault="002165FA" w:rsidP="005B35AC">
            <w:pPr>
              <w:jc w:val="right"/>
              <w:rPr>
                <w:sz w:val="18"/>
                <w:szCs w:val="18"/>
              </w:rPr>
            </w:pPr>
          </w:p>
        </w:tc>
        <w:tc>
          <w:tcPr>
            <w:tcW w:w="1205" w:type="dxa"/>
            <w:shd w:val="clear" w:color="auto" w:fill="auto"/>
          </w:tcPr>
          <w:p w:rsidR="002165FA" w:rsidRPr="00F67BAF" w:rsidRDefault="002165FA" w:rsidP="005B35AC">
            <w:pPr>
              <w:jc w:val="right"/>
              <w:rPr>
                <w:sz w:val="18"/>
                <w:szCs w:val="18"/>
              </w:rPr>
            </w:pPr>
          </w:p>
        </w:tc>
        <w:tc>
          <w:tcPr>
            <w:tcW w:w="1064" w:type="dxa"/>
          </w:tcPr>
          <w:p w:rsidR="002165FA" w:rsidRPr="00F67BAF" w:rsidRDefault="002165FA" w:rsidP="005B35AC">
            <w:pPr>
              <w:jc w:val="right"/>
              <w:rPr>
                <w:sz w:val="18"/>
                <w:szCs w:val="18"/>
              </w:rPr>
            </w:pPr>
          </w:p>
        </w:tc>
        <w:tc>
          <w:tcPr>
            <w:tcW w:w="1063" w:type="dxa"/>
            <w:shd w:val="clear" w:color="auto" w:fill="auto"/>
          </w:tcPr>
          <w:p w:rsidR="002165FA" w:rsidRPr="00F67BAF" w:rsidRDefault="002165FA" w:rsidP="005B35AC">
            <w:pPr>
              <w:jc w:val="right"/>
              <w:rPr>
                <w:sz w:val="18"/>
                <w:szCs w:val="18"/>
              </w:rPr>
            </w:pPr>
          </w:p>
        </w:tc>
        <w:tc>
          <w:tcPr>
            <w:tcW w:w="1063" w:type="dxa"/>
          </w:tcPr>
          <w:p w:rsidR="002165FA" w:rsidRPr="00F67BAF" w:rsidRDefault="002165FA" w:rsidP="005B35AC">
            <w:pPr>
              <w:jc w:val="right"/>
              <w:rPr>
                <w:sz w:val="18"/>
                <w:szCs w:val="18"/>
              </w:rPr>
            </w:pPr>
          </w:p>
        </w:tc>
        <w:tc>
          <w:tcPr>
            <w:tcW w:w="1064" w:type="dxa"/>
            <w:shd w:val="clear" w:color="auto" w:fill="auto"/>
          </w:tcPr>
          <w:p w:rsidR="002165FA" w:rsidRPr="00F67BAF" w:rsidRDefault="002165FA" w:rsidP="005B35AC">
            <w:pPr>
              <w:jc w:val="right"/>
              <w:rPr>
                <w:sz w:val="18"/>
                <w:szCs w:val="18"/>
              </w:rPr>
            </w:pPr>
          </w:p>
        </w:tc>
        <w:tc>
          <w:tcPr>
            <w:tcW w:w="1063" w:type="dxa"/>
            <w:shd w:val="clear" w:color="auto" w:fill="auto"/>
          </w:tcPr>
          <w:p w:rsidR="002165FA" w:rsidRPr="00F67BAF" w:rsidRDefault="002165FA" w:rsidP="005B35AC">
            <w:pPr>
              <w:jc w:val="right"/>
              <w:rPr>
                <w:sz w:val="18"/>
                <w:szCs w:val="18"/>
              </w:rPr>
            </w:pPr>
          </w:p>
        </w:tc>
        <w:tc>
          <w:tcPr>
            <w:tcW w:w="1063" w:type="dxa"/>
            <w:shd w:val="clear" w:color="auto" w:fill="auto"/>
          </w:tcPr>
          <w:p w:rsidR="002165FA" w:rsidRPr="00F67BAF" w:rsidRDefault="002165FA" w:rsidP="005B35AC">
            <w:pPr>
              <w:jc w:val="right"/>
              <w:rPr>
                <w:sz w:val="18"/>
                <w:szCs w:val="18"/>
              </w:rPr>
            </w:pPr>
          </w:p>
        </w:tc>
        <w:tc>
          <w:tcPr>
            <w:tcW w:w="1064" w:type="dxa"/>
            <w:shd w:val="clear" w:color="auto" w:fill="auto"/>
          </w:tcPr>
          <w:p w:rsidR="002165FA" w:rsidRPr="00F67BAF" w:rsidRDefault="002165FA" w:rsidP="005B35AC">
            <w:pPr>
              <w:jc w:val="right"/>
              <w:rPr>
                <w:sz w:val="18"/>
                <w:szCs w:val="18"/>
              </w:rPr>
            </w:pPr>
          </w:p>
        </w:tc>
      </w:tr>
      <w:tr w:rsidR="008418E6" w:rsidRPr="00F67BAF" w:rsidTr="002165FA">
        <w:tc>
          <w:tcPr>
            <w:tcW w:w="6204" w:type="dxa"/>
            <w:shd w:val="clear" w:color="auto" w:fill="auto"/>
          </w:tcPr>
          <w:p w:rsidR="008418E6" w:rsidRPr="00F67BAF" w:rsidRDefault="008418E6" w:rsidP="00296A09">
            <w:pPr>
              <w:jc w:val="both"/>
              <w:rPr>
                <w:sz w:val="18"/>
                <w:szCs w:val="18"/>
              </w:rPr>
            </w:pPr>
            <w:r w:rsidRPr="00F67BAF">
              <w:rPr>
                <w:sz w:val="18"/>
                <w:szCs w:val="18"/>
              </w:rPr>
              <w:t>Balance at 31 March 2017 carried forwards</w:t>
            </w:r>
            <w:r>
              <w:rPr>
                <w:sz w:val="18"/>
                <w:szCs w:val="18"/>
              </w:rPr>
              <w:t xml:space="preserve"> (as restated)</w:t>
            </w:r>
          </w:p>
        </w:tc>
        <w:tc>
          <w:tcPr>
            <w:tcW w:w="1063" w:type="dxa"/>
            <w:shd w:val="clear" w:color="auto" w:fill="auto"/>
          </w:tcPr>
          <w:p w:rsidR="008418E6" w:rsidRPr="00F67BAF" w:rsidRDefault="008418E6" w:rsidP="00296A09">
            <w:pPr>
              <w:jc w:val="right"/>
              <w:rPr>
                <w:sz w:val="18"/>
                <w:szCs w:val="18"/>
              </w:rPr>
            </w:pPr>
            <w:r>
              <w:rPr>
                <w:sz w:val="18"/>
                <w:szCs w:val="18"/>
              </w:rPr>
              <w:t>10,512</w:t>
            </w:r>
          </w:p>
        </w:tc>
        <w:tc>
          <w:tcPr>
            <w:tcW w:w="1205" w:type="dxa"/>
            <w:shd w:val="clear" w:color="auto" w:fill="auto"/>
          </w:tcPr>
          <w:p w:rsidR="008418E6" w:rsidRPr="00F67BAF" w:rsidRDefault="008418E6" w:rsidP="00296A09">
            <w:pPr>
              <w:jc w:val="right"/>
              <w:rPr>
                <w:sz w:val="18"/>
                <w:szCs w:val="18"/>
              </w:rPr>
            </w:pPr>
            <w:r>
              <w:rPr>
                <w:sz w:val="18"/>
                <w:szCs w:val="18"/>
              </w:rPr>
              <w:t>7,455</w:t>
            </w:r>
          </w:p>
        </w:tc>
        <w:tc>
          <w:tcPr>
            <w:tcW w:w="1064" w:type="dxa"/>
          </w:tcPr>
          <w:p w:rsidR="008418E6" w:rsidRPr="00F67BAF" w:rsidRDefault="008418E6" w:rsidP="00296A09">
            <w:pPr>
              <w:jc w:val="right"/>
              <w:rPr>
                <w:sz w:val="18"/>
                <w:szCs w:val="18"/>
              </w:rPr>
            </w:pPr>
            <w:r>
              <w:rPr>
                <w:sz w:val="18"/>
                <w:szCs w:val="18"/>
              </w:rPr>
              <w:t>17,967</w:t>
            </w:r>
          </w:p>
        </w:tc>
        <w:tc>
          <w:tcPr>
            <w:tcW w:w="1063" w:type="dxa"/>
            <w:shd w:val="clear" w:color="auto" w:fill="auto"/>
          </w:tcPr>
          <w:p w:rsidR="008418E6" w:rsidRPr="00F67BAF" w:rsidRDefault="008418E6" w:rsidP="00296A09">
            <w:pPr>
              <w:jc w:val="right"/>
              <w:rPr>
                <w:sz w:val="18"/>
                <w:szCs w:val="18"/>
              </w:rPr>
            </w:pPr>
            <w:r>
              <w:rPr>
                <w:sz w:val="18"/>
                <w:szCs w:val="18"/>
              </w:rPr>
              <w:t>16,633</w:t>
            </w:r>
          </w:p>
        </w:tc>
        <w:tc>
          <w:tcPr>
            <w:tcW w:w="1063" w:type="dxa"/>
          </w:tcPr>
          <w:p w:rsidR="008418E6" w:rsidRPr="00F67BAF" w:rsidRDefault="008418E6" w:rsidP="00296A09">
            <w:pPr>
              <w:jc w:val="right"/>
              <w:rPr>
                <w:sz w:val="18"/>
                <w:szCs w:val="18"/>
              </w:rPr>
            </w:pPr>
            <w:r>
              <w:rPr>
                <w:sz w:val="18"/>
                <w:szCs w:val="18"/>
              </w:rPr>
              <w:t>947</w:t>
            </w:r>
          </w:p>
        </w:tc>
        <w:tc>
          <w:tcPr>
            <w:tcW w:w="1064" w:type="dxa"/>
            <w:shd w:val="clear" w:color="auto" w:fill="auto"/>
          </w:tcPr>
          <w:p w:rsidR="008418E6" w:rsidRPr="00F67BAF" w:rsidRDefault="008418E6" w:rsidP="00296A09">
            <w:pPr>
              <w:jc w:val="right"/>
              <w:rPr>
                <w:sz w:val="18"/>
                <w:szCs w:val="18"/>
              </w:rPr>
            </w:pPr>
            <w:r>
              <w:rPr>
                <w:sz w:val="18"/>
                <w:szCs w:val="18"/>
              </w:rPr>
              <w:t>1,501</w:t>
            </w:r>
          </w:p>
        </w:tc>
        <w:tc>
          <w:tcPr>
            <w:tcW w:w="1063" w:type="dxa"/>
            <w:shd w:val="clear" w:color="auto" w:fill="auto"/>
          </w:tcPr>
          <w:p w:rsidR="008418E6" w:rsidRPr="00F67BAF" w:rsidRDefault="008418E6" w:rsidP="00296A09">
            <w:pPr>
              <w:jc w:val="right"/>
              <w:rPr>
                <w:sz w:val="18"/>
                <w:szCs w:val="18"/>
              </w:rPr>
            </w:pPr>
            <w:r>
              <w:rPr>
                <w:sz w:val="18"/>
                <w:szCs w:val="18"/>
              </w:rPr>
              <w:t>37,048</w:t>
            </w:r>
          </w:p>
        </w:tc>
        <w:tc>
          <w:tcPr>
            <w:tcW w:w="1063" w:type="dxa"/>
            <w:shd w:val="clear" w:color="auto" w:fill="auto"/>
          </w:tcPr>
          <w:p w:rsidR="008418E6" w:rsidRPr="00F67BAF" w:rsidRDefault="008418E6" w:rsidP="00296A09">
            <w:pPr>
              <w:jc w:val="right"/>
              <w:rPr>
                <w:sz w:val="18"/>
                <w:szCs w:val="18"/>
              </w:rPr>
            </w:pPr>
            <w:r>
              <w:rPr>
                <w:sz w:val="18"/>
                <w:szCs w:val="18"/>
              </w:rPr>
              <w:t>(724,164)</w:t>
            </w:r>
          </w:p>
        </w:tc>
        <w:tc>
          <w:tcPr>
            <w:tcW w:w="1064" w:type="dxa"/>
            <w:shd w:val="clear" w:color="auto" w:fill="auto"/>
          </w:tcPr>
          <w:p w:rsidR="008418E6" w:rsidRPr="00F67BAF" w:rsidRDefault="008418E6" w:rsidP="00296A09">
            <w:pPr>
              <w:jc w:val="right"/>
              <w:rPr>
                <w:sz w:val="18"/>
                <w:szCs w:val="18"/>
              </w:rPr>
            </w:pPr>
            <w:r>
              <w:rPr>
                <w:sz w:val="18"/>
                <w:szCs w:val="18"/>
              </w:rPr>
              <w:t>(687,116)</w:t>
            </w:r>
          </w:p>
        </w:tc>
      </w:tr>
      <w:tr w:rsidR="00F67BAF" w:rsidRPr="00F67BAF" w:rsidTr="002165FA">
        <w:tc>
          <w:tcPr>
            <w:tcW w:w="6204" w:type="dxa"/>
            <w:shd w:val="clear" w:color="auto" w:fill="auto"/>
          </w:tcPr>
          <w:p w:rsidR="00F67BAF" w:rsidRPr="00F67BAF" w:rsidRDefault="00F67BAF" w:rsidP="00D72DD9">
            <w:pPr>
              <w:jc w:val="both"/>
              <w:rPr>
                <w:sz w:val="18"/>
                <w:szCs w:val="18"/>
              </w:rPr>
            </w:pPr>
          </w:p>
        </w:tc>
        <w:tc>
          <w:tcPr>
            <w:tcW w:w="1063" w:type="dxa"/>
            <w:shd w:val="clear" w:color="auto" w:fill="auto"/>
          </w:tcPr>
          <w:p w:rsidR="00F67BAF" w:rsidRPr="00F67BAF" w:rsidRDefault="00F67BAF" w:rsidP="00D72DD9">
            <w:pPr>
              <w:jc w:val="right"/>
              <w:rPr>
                <w:sz w:val="18"/>
                <w:szCs w:val="18"/>
                <w:highlight w:val="yellow"/>
              </w:rPr>
            </w:pPr>
          </w:p>
        </w:tc>
        <w:tc>
          <w:tcPr>
            <w:tcW w:w="1205" w:type="dxa"/>
            <w:shd w:val="clear" w:color="auto" w:fill="auto"/>
          </w:tcPr>
          <w:p w:rsidR="00F67BAF" w:rsidRPr="00F67BAF" w:rsidRDefault="00F67BAF" w:rsidP="00D72DD9">
            <w:pPr>
              <w:jc w:val="right"/>
              <w:rPr>
                <w:sz w:val="18"/>
                <w:szCs w:val="18"/>
                <w:highlight w:val="yellow"/>
              </w:rPr>
            </w:pPr>
          </w:p>
        </w:tc>
        <w:tc>
          <w:tcPr>
            <w:tcW w:w="1064" w:type="dxa"/>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3" w:type="dxa"/>
          </w:tcPr>
          <w:p w:rsidR="00F67BAF" w:rsidRPr="00F67BAF" w:rsidRDefault="00F67BAF" w:rsidP="00D72DD9">
            <w:pPr>
              <w:jc w:val="right"/>
              <w:rPr>
                <w:sz w:val="18"/>
                <w:szCs w:val="18"/>
                <w:highlight w:val="yellow"/>
              </w:rPr>
            </w:pPr>
          </w:p>
        </w:tc>
        <w:tc>
          <w:tcPr>
            <w:tcW w:w="1064" w:type="dxa"/>
            <w:shd w:val="clear" w:color="auto" w:fill="auto"/>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4" w:type="dxa"/>
            <w:shd w:val="clear" w:color="auto" w:fill="auto"/>
          </w:tcPr>
          <w:p w:rsidR="00F67BAF" w:rsidRPr="00F67BAF" w:rsidRDefault="00F67BAF" w:rsidP="00D72DD9">
            <w:pPr>
              <w:jc w:val="right"/>
              <w:rPr>
                <w:sz w:val="18"/>
                <w:szCs w:val="18"/>
                <w:highlight w:val="yellow"/>
              </w:rPr>
            </w:pPr>
          </w:p>
        </w:tc>
      </w:tr>
      <w:tr w:rsidR="00F67BAF" w:rsidRPr="00F67BAF" w:rsidTr="002165FA">
        <w:tc>
          <w:tcPr>
            <w:tcW w:w="6204" w:type="dxa"/>
            <w:shd w:val="clear" w:color="auto" w:fill="auto"/>
          </w:tcPr>
          <w:p w:rsidR="00F67BAF" w:rsidRPr="00F67BAF" w:rsidRDefault="00F67BAF" w:rsidP="007077EF">
            <w:pPr>
              <w:jc w:val="both"/>
              <w:rPr>
                <w:sz w:val="18"/>
                <w:szCs w:val="18"/>
              </w:rPr>
            </w:pPr>
            <w:r w:rsidRPr="00F67BAF">
              <w:rPr>
                <w:sz w:val="18"/>
                <w:szCs w:val="18"/>
              </w:rPr>
              <w:t>Movement in reserves during 201</w:t>
            </w:r>
            <w:r w:rsidR="007077EF">
              <w:rPr>
                <w:sz w:val="18"/>
                <w:szCs w:val="18"/>
              </w:rPr>
              <w:t>7</w:t>
            </w:r>
            <w:r w:rsidRPr="00F67BAF">
              <w:rPr>
                <w:sz w:val="18"/>
                <w:szCs w:val="18"/>
              </w:rPr>
              <w:t>/1</w:t>
            </w:r>
            <w:r w:rsidR="007077EF">
              <w:rPr>
                <w:sz w:val="18"/>
                <w:szCs w:val="18"/>
              </w:rPr>
              <w:t>8</w:t>
            </w:r>
          </w:p>
        </w:tc>
        <w:tc>
          <w:tcPr>
            <w:tcW w:w="1063" w:type="dxa"/>
            <w:shd w:val="clear" w:color="auto" w:fill="auto"/>
          </w:tcPr>
          <w:p w:rsidR="00F67BAF" w:rsidRPr="00F67BAF" w:rsidRDefault="00F67BAF" w:rsidP="00D72DD9">
            <w:pPr>
              <w:jc w:val="right"/>
              <w:rPr>
                <w:sz w:val="18"/>
                <w:szCs w:val="18"/>
                <w:highlight w:val="yellow"/>
              </w:rPr>
            </w:pPr>
          </w:p>
        </w:tc>
        <w:tc>
          <w:tcPr>
            <w:tcW w:w="1205" w:type="dxa"/>
            <w:shd w:val="clear" w:color="auto" w:fill="auto"/>
          </w:tcPr>
          <w:p w:rsidR="00F67BAF" w:rsidRPr="00F67BAF" w:rsidRDefault="00F67BAF" w:rsidP="00D72DD9">
            <w:pPr>
              <w:jc w:val="right"/>
              <w:rPr>
                <w:sz w:val="18"/>
                <w:szCs w:val="18"/>
                <w:highlight w:val="yellow"/>
              </w:rPr>
            </w:pPr>
          </w:p>
        </w:tc>
        <w:tc>
          <w:tcPr>
            <w:tcW w:w="1064" w:type="dxa"/>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3" w:type="dxa"/>
          </w:tcPr>
          <w:p w:rsidR="00F67BAF" w:rsidRPr="00F67BAF" w:rsidRDefault="00F67BAF" w:rsidP="00D72DD9">
            <w:pPr>
              <w:jc w:val="right"/>
              <w:rPr>
                <w:sz w:val="18"/>
                <w:szCs w:val="18"/>
                <w:highlight w:val="yellow"/>
              </w:rPr>
            </w:pPr>
          </w:p>
        </w:tc>
        <w:tc>
          <w:tcPr>
            <w:tcW w:w="1064" w:type="dxa"/>
            <w:shd w:val="clear" w:color="auto" w:fill="auto"/>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3" w:type="dxa"/>
            <w:shd w:val="clear" w:color="auto" w:fill="auto"/>
          </w:tcPr>
          <w:p w:rsidR="00F67BAF" w:rsidRPr="00F67BAF" w:rsidRDefault="00F67BAF" w:rsidP="00D72DD9">
            <w:pPr>
              <w:jc w:val="right"/>
              <w:rPr>
                <w:sz w:val="18"/>
                <w:szCs w:val="18"/>
                <w:highlight w:val="yellow"/>
              </w:rPr>
            </w:pPr>
          </w:p>
        </w:tc>
        <w:tc>
          <w:tcPr>
            <w:tcW w:w="1064" w:type="dxa"/>
            <w:shd w:val="clear" w:color="auto" w:fill="auto"/>
          </w:tcPr>
          <w:p w:rsidR="00F67BAF" w:rsidRPr="00F67BAF" w:rsidRDefault="00F67BAF" w:rsidP="00D72DD9">
            <w:pPr>
              <w:jc w:val="right"/>
              <w:rPr>
                <w:sz w:val="18"/>
                <w:szCs w:val="18"/>
                <w:highlight w:val="yellow"/>
              </w:rPr>
            </w:pPr>
          </w:p>
        </w:tc>
      </w:tr>
      <w:tr w:rsidR="00200BD4" w:rsidRPr="00F67BAF" w:rsidTr="002165FA">
        <w:tc>
          <w:tcPr>
            <w:tcW w:w="6204" w:type="dxa"/>
            <w:shd w:val="clear" w:color="auto" w:fill="auto"/>
          </w:tcPr>
          <w:p w:rsidR="00200BD4" w:rsidRPr="00F67BAF" w:rsidRDefault="00200BD4" w:rsidP="00D72DD9">
            <w:pPr>
              <w:ind w:left="284"/>
              <w:jc w:val="both"/>
              <w:rPr>
                <w:sz w:val="18"/>
                <w:szCs w:val="18"/>
              </w:rPr>
            </w:pPr>
            <w:r w:rsidRPr="00F67BAF">
              <w:rPr>
                <w:sz w:val="18"/>
                <w:szCs w:val="18"/>
              </w:rPr>
              <w:t>Surplus/(Deficit) on provision of services</w:t>
            </w:r>
          </w:p>
        </w:tc>
        <w:tc>
          <w:tcPr>
            <w:tcW w:w="1063" w:type="dxa"/>
            <w:shd w:val="clear" w:color="auto" w:fill="auto"/>
          </w:tcPr>
          <w:p w:rsidR="00200BD4" w:rsidRPr="00F67BAF" w:rsidRDefault="00214B85" w:rsidP="00724E33">
            <w:pPr>
              <w:jc w:val="right"/>
              <w:rPr>
                <w:sz w:val="18"/>
                <w:szCs w:val="18"/>
              </w:rPr>
            </w:pPr>
            <w:r>
              <w:rPr>
                <w:sz w:val="18"/>
                <w:szCs w:val="18"/>
              </w:rPr>
              <w:t>(</w:t>
            </w:r>
            <w:r w:rsidR="008418E6">
              <w:rPr>
                <w:sz w:val="18"/>
                <w:szCs w:val="18"/>
              </w:rPr>
              <w:t>14</w:t>
            </w:r>
            <w:r>
              <w:rPr>
                <w:sz w:val="18"/>
                <w:szCs w:val="18"/>
              </w:rPr>
              <w:t>,</w:t>
            </w:r>
            <w:r w:rsidR="008418E6">
              <w:rPr>
                <w:sz w:val="18"/>
                <w:szCs w:val="18"/>
              </w:rPr>
              <w:t>421</w:t>
            </w:r>
            <w:r>
              <w:rPr>
                <w:sz w:val="18"/>
                <w:szCs w:val="18"/>
              </w:rPr>
              <w:t>)</w:t>
            </w:r>
          </w:p>
        </w:tc>
        <w:tc>
          <w:tcPr>
            <w:tcW w:w="1205" w:type="dxa"/>
            <w:shd w:val="clear" w:color="auto" w:fill="auto"/>
          </w:tcPr>
          <w:p w:rsidR="00200BD4" w:rsidRPr="00F67BAF" w:rsidRDefault="00200BD4" w:rsidP="00D72DD9">
            <w:pPr>
              <w:jc w:val="right"/>
              <w:rPr>
                <w:sz w:val="18"/>
                <w:szCs w:val="18"/>
              </w:rPr>
            </w:pPr>
            <w:r w:rsidRPr="00F67BAF">
              <w:rPr>
                <w:sz w:val="18"/>
                <w:szCs w:val="18"/>
              </w:rPr>
              <w:t>-</w:t>
            </w:r>
          </w:p>
        </w:tc>
        <w:tc>
          <w:tcPr>
            <w:tcW w:w="1064" w:type="dxa"/>
          </w:tcPr>
          <w:p w:rsidR="00200BD4" w:rsidRPr="00F67BAF" w:rsidRDefault="008418E6" w:rsidP="00200BD4">
            <w:pPr>
              <w:jc w:val="right"/>
              <w:rPr>
                <w:sz w:val="18"/>
                <w:szCs w:val="18"/>
              </w:rPr>
            </w:pPr>
            <w:r>
              <w:rPr>
                <w:sz w:val="18"/>
                <w:szCs w:val="18"/>
              </w:rPr>
              <w:t>(14,421)</w:t>
            </w:r>
          </w:p>
        </w:tc>
        <w:tc>
          <w:tcPr>
            <w:tcW w:w="1063" w:type="dxa"/>
            <w:shd w:val="clear" w:color="auto" w:fill="auto"/>
          </w:tcPr>
          <w:p w:rsidR="00200BD4" w:rsidRPr="00F67BAF" w:rsidRDefault="00200BD4" w:rsidP="0000572C">
            <w:pPr>
              <w:jc w:val="right"/>
              <w:rPr>
                <w:sz w:val="18"/>
                <w:szCs w:val="18"/>
              </w:rPr>
            </w:pPr>
            <w:r w:rsidRPr="00F67BAF">
              <w:rPr>
                <w:sz w:val="18"/>
                <w:szCs w:val="18"/>
              </w:rPr>
              <w:t>-</w:t>
            </w:r>
          </w:p>
        </w:tc>
        <w:tc>
          <w:tcPr>
            <w:tcW w:w="1063" w:type="dxa"/>
          </w:tcPr>
          <w:p w:rsidR="00200BD4" w:rsidRPr="00F67BAF" w:rsidRDefault="00200BD4" w:rsidP="00125863">
            <w:pPr>
              <w:jc w:val="right"/>
              <w:rPr>
                <w:sz w:val="18"/>
                <w:szCs w:val="18"/>
              </w:rPr>
            </w:pPr>
            <w:r w:rsidRPr="00F67BAF">
              <w:rPr>
                <w:sz w:val="18"/>
                <w:szCs w:val="18"/>
              </w:rPr>
              <w:t>-</w:t>
            </w:r>
          </w:p>
        </w:tc>
        <w:tc>
          <w:tcPr>
            <w:tcW w:w="1064" w:type="dxa"/>
            <w:shd w:val="clear" w:color="auto" w:fill="auto"/>
          </w:tcPr>
          <w:p w:rsidR="00200BD4" w:rsidRPr="00F67BAF" w:rsidRDefault="00200BD4" w:rsidP="0000572C">
            <w:pPr>
              <w:jc w:val="right"/>
              <w:rPr>
                <w:sz w:val="18"/>
                <w:szCs w:val="18"/>
              </w:rPr>
            </w:pPr>
            <w:r w:rsidRPr="00F67BAF">
              <w:rPr>
                <w:sz w:val="18"/>
                <w:szCs w:val="18"/>
              </w:rPr>
              <w:t>-</w:t>
            </w:r>
          </w:p>
        </w:tc>
        <w:tc>
          <w:tcPr>
            <w:tcW w:w="1063" w:type="dxa"/>
            <w:shd w:val="clear" w:color="auto" w:fill="auto"/>
          </w:tcPr>
          <w:p w:rsidR="00200BD4" w:rsidRPr="00F67BAF" w:rsidRDefault="008418E6" w:rsidP="00200BD4">
            <w:pPr>
              <w:jc w:val="right"/>
              <w:rPr>
                <w:sz w:val="18"/>
                <w:szCs w:val="18"/>
              </w:rPr>
            </w:pPr>
            <w:r>
              <w:rPr>
                <w:sz w:val="18"/>
                <w:szCs w:val="18"/>
              </w:rPr>
              <w:t>(14,421)</w:t>
            </w:r>
          </w:p>
        </w:tc>
        <w:tc>
          <w:tcPr>
            <w:tcW w:w="1063" w:type="dxa"/>
            <w:shd w:val="clear" w:color="auto" w:fill="auto"/>
          </w:tcPr>
          <w:p w:rsidR="00200BD4" w:rsidRPr="00F67BAF" w:rsidRDefault="00214B85" w:rsidP="00D72DD9">
            <w:pPr>
              <w:jc w:val="right"/>
              <w:rPr>
                <w:sz w:val="18"/>
                <w:szCs w:val="18"/>
              </w:rPr>
            </w:pPr>
            <w:r>
              <w:rPr>
                <w:sz w:val="18"/>
                <w:szCs w:val="18"/>
              </w:rPr>
              <w:t>-</w:t>
            </w:r>
          </w:p>
        </w:tc>
        <w:tc>
          <w:tcPr>
            <w:tcW w:w="1064" w:type="dxa"/>
            <w:shd w:val="clear" w:color="auto" w:fill="auto"/>
          </w:tcPr>
          <w:p w:rsidR="00200BD4" w:rsidRPr="00F67BAF" w:rsidRDefault="008418E6" w:rsidP="002A607E">
            <w:pPr>
              <w:jc w:val="right"/>
              <w:rPr>
                <w:sz w:val="18"/>
                <w:szCs w:val="18"/>
              </w:rPr>
            </w:pPr>
            <w:r>
              <w:rPr>
                <w:sz w:val="18"/>
                <w:szCs w:val="18"/>
              </w:rPr>
              <w:t>(14,421)</w:t>
            </w:r>
          </w:p>
        </w:tc>
      </w:tr>
      <w:tr w:rsidR="00200BD4" w:rsidRPr="00F67BAF" w:rsidTr="002165FA">
        <w:tc>
          <w:tcPr>
            <w:tcW w:w="6204" w:type="dxa"/>
            <w:shd w:val="clear" w:color="auto" w:fill="auto"/>
          </w:tcPr>
          <w:p w:rsidR="00200BD4" w:rsidRPr="00F67BAF" w:rsidRDefault="00200BD4" w:rsidP="00D72DD9">
            <w:pPr>
              <w:ind w:left="284"/>
              <w:jc w:val="both"/>
              <w:rPr>
                <w:sz w:val="18"/>
                <w:szCs w:val="18"/>
              </w:rPr>
            </w:pPr>
            <w:r w:rsidRPr="00F67BAF">
              <w:rPr>
                <w:sz w:val="18"/>
                <w:szCs w:val="18"/>
              </w:rPr>
              <w:t>Other comprehensive income and expenditure</w:t>
            </w:r>
          </w:p>
        </w:tc>
        <w:tc>
          <w:tcPr>
            <w:tcW w:w="1063" w:type="dxa"/>
            <w:tcBorders>
              <w:bottom w:val="single" w:sz="4" w:space="0" w:color="auto"/>
            </w:tcBorders>
            <w:shd w:val="clear" w:color="auto" w:fill="auto"/>
          </w:tcPr>
          <w:p w:rsidR="00200BD4" w:rsidRPr="00F67BAF" w:rsidRDefault="00200BD4" w:rsidP="00D72DD9">
            <w:pPr>
              <w:jc w:val="right"/>
              <w:rPr>
                <w:sz w:val="18"/>
                <w:szCs w:val="18"/>
              </w:rPr>
            </w:pPr>
            <w:r>
              <w:rPr>
                <w:sz w:val="18"/>
                <w:szCs w:val="18"/>
              </w:rPr>
              <w:t>-</w:t>
            </w:r>
          </w:p>
        </w:tc>
        <w:tc>
          <w:tcPr>
            <w:tcW w:w="1205" w:type="dxa"/>
            <w:tcBorders>
              <w:bottom w:val="single" w:sz="4" w:space="0" w:color="auto"/>
            </w:tcBorders>
            <w:shd w:val="clear" w:color="auto" w:fill="auto"/>
          </w:tcPr>
          <w:p w:rsidR="00200BD4" w:rsidRPr="00F67BAF" w:rsidRDefault="00200BD4" w:rsidP="00D72DD9">
            <w:pPr>
              <w:jc w:val="right"/>
              <w:rPr>
                <w:sz w:val="18"/>
                <w:szCs w:val="18"/>
              </w:rPr>
            </w:pPr>
            <w:r w:rsidRPr="00F67BAF">
              <w:rPr>
                <w:sz w:val="18"/>
                <w:szCs w:val="18"/>
              </w:rPr>
              <w:t>-</w:t>
            </w:r>
          </w:p>
        </w:tc>
        <w:tc>
          <w:tcPr>
            <w:tcW w:w="1064" w:type="dxa"/>
            <w:tcBorders>
              <w:bottom w:val="single" w:sz="4" w:space="0" w:color="auto"/>
            </w:tcBorders>
          </w:tcPr>
          <w:p w:rsidR="00200BD4" w:rsidRPr="00F67BAF" w:rsidRDefault="00200BD4" w:rsidP="00200BD4">
            <w:pPr>
              <w:jc w:val="right"/>
              <w:rPr>
                <w:sz w:val="18"/>
                <w:szCs w:val="18"/>
              </w:rPr>
            </w:pPr>
            <w:r>
              <w:rPr>
                <w:sz w:val="18"/>
                <w:szCs w:val="18"/>
              </w:rPr>
              <w:t>-</w:t>
            </w:r>
          </w:p>
        </w:tc>
        <w:tc>
          <w:tcPr>
            <w:tcW w:w="1063" w:type="dxa"/>
            <w:tcBorders>
              <w:bottom w:val="single" w:sz="4" w:space="0" w:color="auto"/>
            </w:tcBorders>
            <w:shd w:val="clear" w:color="auto" w:fill="auto"/>
          </w:tcPr>
          <w:p w:rsidR="00200BD4" w:rsidRPr="00F67BAF" w:rsidRDefault="00200BD4" w:rsidP="0000572C">
            <w:pPr>
              <w:jc w:val="right"/>
              <w:rPr>
                <w:sz w:val="18"/>
                <w:szCs w:val="18"/>
              </w:rPr>
            </w:pPr>
            <w:r w:rsidRPr="00F67BAF">
              <w:rPr>
                <w:sz w:val="18"/>
                <w:szCs w:val="18"/>
              </w:rPr>
              <w:t>-</w:t>
            </w:r>
          </w:p>
        </w:tc>
        <w:tc>
          <w:tcPr>
            <w:tcW w:w="1063" w:type="dxa"/>
            <w:tcBorders>
              <w:bottom w:val="single" w:sz="4" w:space="0" w:color="auto"/>
            </w:tcBorders>
          </w:tcPr>
          <w:p w:rsidR="00200BD4" w:rsidRPr="00F67BAF" w:rsidRDefault="00200BD4" w:rsidP="00125863">
            <w:pPr>
              <w:jc w:val="right"/>
              <w:rPr>
                <w:sz w:val="18"/>
                <w:szCs w:val="18"/>
              </w:rPr>
            </w:pPr>
            <w:r w:rsidRPr="00F67BAF">
              <w:rPr>
                <w:sz w:val="18"/>
                <w:szCs w:val="18"/>
              </w:rPr>
              <w:t>-</w:t>
            </w:r>
          </w:p>
        </w:tc>
        <w:tc>
          <w:tcPr>
            <w:tcW w:w="1064" w:type="dxa"/>
            <w:tcBorders>
              <w:bottom w:val="single" w:sz="4" w:space="0" w:color="auto"/>
            </w:tcBorders>
            <w:shd w:val="clear" w:color="auto" w:fill="auto"/>
          </w:tcPr>
          <w:p w:rsidR="00200BD4" w:rsidRPr="00F67BAF" w:rsidRDefault="00200BD4" w:rsidP="0000572C">
            <w:pPr>
              <w:jc w:val="right"/>
              <w:rPr>
                <w:sz w:val="18"/>
                <w:szCs w:val="18"/>
              </w:rPr>
            </w:pPr>
            <w:r w:rsidRPr="00F67BAF">
              <w:rPr>
                <w:sz w:val="18"/>
                <w:szCs w:val="18"/>
              </w:rPr>
              <w:t>-</w:t>
            </w:r>
          </w:p>
        </w:tc>
        <w:tc>
          <w:tcPr>
            <w:tcW w:w="1063" w:type="dxa"/>
            <w:tcBorders>
              <w:bottom w:val="single" w:sz="4" w:space="0" w:color="auto"/>
            </w:tcBorders>
            <w:shd w:val="clear" w:color="auto" w:fill="auto"/>
          </w:tcPr>
          <w:p w:rsidR="00200BD4" w:rsidRPr="00F67BAF" w:rsidRDefault="00214B85" w:rsidP="00200BD4">
            <w:pPr>
              <w:jc w:val="right"/>
              <w:rPr>
                <w:sz w:val="18"/>
                <w:szCs w:val="18"/>
              </w:rPr>
            </w:pPr>
            <w:r>
              <w:rPr>
                <w:sz w:val="18"/>
                <w:szCs w:val="18"/>
              </w:rPr>
              <w:t>-</w:t>
            </w:r>
          </w:p>
        </w:tc>
        <w:tc>
          <w:tcPr>
            <w:tcW w:w="1063" w:type="dxa"/>
            <w:tcBorders>
              <w:bottom w:val="single" w:sz="4" w:space="0" w:color="auto"/>
            </w:tcBorders>
            <w:shd w:val="clear" w:color="auto" w:fill="auto"/>
          </w:tcPr>
          <w:p w:rsidR="00200BD4" w:rsidRPr="00F67BAF" w:rsidRDefault="00214B85" w:rsidP="00724E33">
            <w:pPr>
              <w:jc w:val="right"/>
              <w:rPr>
                <w:sz w:val="18"/>
                <w:szCs w:val="18"/>
              </w:rPr>
            </w:pPr>
            <w:r>
              <w:rPr>
                <w:sz w:val="18"/>
                <w:szCs w:val="18"/>
              </w:rPr>
              <w:t>15,</w:t>
            </w:r>
            <w:r w:rsidR="008418E6">
              <w:rPr>
                <w:sz w:val="18"/>
                <w:szCs w:val="18"/>
              </w:rPr>
              <w:t>896</w:t>
            </w:r>
          </w:p>
        </w:tc>
        <w:tc>
          <w:tcPr>
            <w:tcW w:w="1064" w:type="dxa"/>
            <w:tcBorders>
              <w:bottom w:val="single" w:sz="4" w:space="0" w:color="auto"/>
            </w:tcBorders>
            <w:shd w:val="clear" w:color="auto" w:fill="auto"/>
          </w:tcPr>
          <w:p w:rsidR="00200BD4" w:rsidRPr="00F67BAF" w:rsidRDefault="00214B85" w:rsidP="00CA025A">
            <w:pPr>
              <w:jc w:val="right"/>
              <w:rPr>
                <w:sz w:val="18"/>
                <w:szCs w:val="18"/>
              </w:rPr>
            </w:pPr>
            <w:r>
              <w:rPr>
                <w:sz w:val="18"/>
                <w:szCs w:val="18"/>
              </w:rPr>
              <w:t>15,</w:t>
            </w:r>
            <w:r w:rsidR="008418E6">
              <w:rPr>
                <w:sz w:val="18"/>
                <w:szCs w:val="18"/>
              </w:rPr>
              <w:t>896</w:t>
            </w:r>
          </w:p>
        </w:tc>
      </w:tr>
      <w:tr w:rsidR="00200BD4" w:rsidRPr="00F67BAF" w:rsidTr="002165FA">
        <w:tc>
          <w:tcPr>
            <w:tcW w:w="6204" w:type="dxa"/>
            <w:shd w:val="clear" w:color="auto" w:fill="auto"/>
          </w:tcPr>
          <w:p w:rsidR="00200BD4" w:rsidRPr="00F67BAF" w:rsidRDefault="00200BD4" w:rsidP="00D72DD9">
            <w:pPr>
              <w:jc w:val="both"/>
              <w:rPr>
                <w:sz w:val="18"/>
                <w:szCs w:val="18"/>
              </w:rPr>
            </w:pPr>
            <w:r w:rsidRPr="00F67BAF">
              <w:rPr>
                <w:sz w:val="18"/>
                <w:szCs w:val="18"/>
              </w:rPr>
              <w:t>Total comprehensive income and expenditure</w:t>
            </w:r>
          </w:p>
        </w:tc>
        <w:tc>
          <w:tcPr>
            <w:tcW w:w="1063" w:type="dxa"/>
            <w:tcBorders>
              <w:top w:val="single" w:sz="4" w:space="0" w:color="auto"/>
            </w:tcBorders>
            <w:shd w:val="clear" w:color="auto" w:fill="auto"/>
          </w:tcPr>
          <w:p w:rsidR="00200BD4" w:rsidRPr="00F67BAF" w:rsidRDefault="008418E6" w:rsidP="002A607E">
            <w:pPr>
              <w:jc w:val="right"/>
              <w:rPr>
                <w:sz w:val="18"/>
                <w:szCs w:val="18"/>
              </w:rPr>
            </w:pPr>
            <w:r>
              <w:rPr>
                <w:sz w:val="18"/>
                <w:szCs w:val="18"/>
              </w:rPr>
              <w:t>(14,421)</w:t>
            </w:r>
          </w:p>
        </w:tc>
        <w:tc>
          <w:tcPr>
            <w:tcW w:w="1205" w:type="dxa"/>
            <w:tcBorders>
              <w:top w:val="single" w:sz="4" w:space="0" w:color="auto"/>
            </w:tcBorders>
            <w:shd w:val="clear" w:color="auto" w:fill="auto"/>
          </w:tcPr>
          <w:p w:rsidR="00200BD4" w:rsidRPr="00F67BAF" w:rsidRDefault="00200BD4" w:rsidP="00D72DD9">
            <w:pPr>
              <w:jc w:val="right"/>
              <w:rPr>
                <w:sz w:val="18"/>
                <w:szCs w:val="18"/>
              </w:rPr>
            </w:pPr>
            <w:r w:rsidRPr="00F67BAF">
              <w:rPr>
                <w:sz w:val="18"/>
                <w:szCs w:val="18"/>
              </w:rPr>
              <w:t>-</w:t>
            </w:r>
          </w:p>
        </w:tc>
        <w:tc>
          <w:tcPr>
            <w:tcW w:w="1064" w:type="dxa"/>
            <w:tcBorders>
              <w:top w:val="single" w:sz="4" w:space="0" w:color="auto"/>
            </w:tcBorders>
          </w:tcPr>
          <w:p w:rsidR="00200BD4" w:rsidRPr="00F67BAF" w:rsidRDefault="008418E6" w:rsidP="00200BD4">
            <w:pPr>
              <w:jc w:val="right"/>
              <w:rPr>
                <w:sz w:val="18"/>
                <w:szCs w:val="18"/>
              </w:rPr>
            </w:pPr>
            <w:r>
              <w:rPr>
                <w:sz w:val="18"/>
                <w:szCs w:val="18"/>
              </w:rPr>
              <w:t>(14,421)</w:t>
            </w:r>
          </w:p>
        </w:tc>
        <w:tc>
          <w:tcPr>
            <w:tcW w:w="1063" w:type="dxa"/>
            <w:tcBorders>
              <w:top w:val="single" w:sz="4" w:space="0" w:color="auto"/>
            </w:tcBorders>
            <w:shd w:val="clear" w:color="auto" w:fill="auto"/>
          </w:tcPr>
          <w:p w:rsidR="00200BD4" w:rsidRPr="00F67BAF" w:rsidRDefault="00200BD4" w:rsidP="0000572C">
            <w:pPr>
              <w:jc w:val="right"/>
              <w:rPr>
                <w:sz w:val="18"/>
                <w:szCs w:val="18"/>
              </w:rPr>
            </w:pPr>
            <w:r w:rsidRPr="00F67BAF">
              <w:rPr>
                <w:sz w:val="18"/>
                <w:szCs w:val="18"/>
              </w:rPr>
              <w:t>-</w:t>
            </w:r>
          </w:p>
        </w:tc>
        <w:tc>
          <w:tcPr>
            <w:tcW w:w="1063" w:type="dxa"/>
            <w:tcBorders>
              <w:top w:val="single" w:sz="4" w:space="0" w:color="auto"/>
            </w:tcBorders>
          </w:tcPr>
          <w:p w:rsidR="00200BD4" w:rsidRPr="00F67BAF" w:rsidRDefault="00200BD4" w:rsidP="00125863">
            <w:pPr>
              <w:jc w:val="right"/>
              <w:rPr>
                <w:sz w:val="18"/>
                <w:szCs w:val="18"/>
              </w:rPr>
            </w:pPr>
            <w:r w:rsidRPr="00F67BAF">
              <w:rPr>
                <w:sz w:val="18"/>
                <w:szCs w:val="18"/>
              </w:rPr>
              <w:t>-</w:t>
            </w:r>
          </w:p>
        </w:tc>
        <w:tc>
          <w:tcPr>
            <w:tcW w:w="1064" w:type="dxa"/>
            <w:tcBorders>
              <w:top w:val="single" w:sz="4" w:space="0" w:color="auto"/>
            </w:tcBorders>
            <w:shd w:val="clear" w:color="auto" w:fill="auto"/>
          </w:tcPr>
          <w:p w:rsidR="00200BD4" w:rsidRPr="00F67BAF" w:rsidRDefault="00200BD4" w:rsidP="0000572C">
            <w:pPr>
              <w:jc w:val="right"/>
              <w:rPr>
                <w:sz w:val="18"/>
                <w:szCs w:val="18"/>
              </w:rPr>
            </w:pPr>
            <w:r w:rsidRPr="00F67BAF">
              <w:rPr>
                <w:sz w:val="18"/>
                <w:szCs w:val="18"/>
              </w:rPr>
              <w:t>-</w:t>
            </w:r>
          </w:p>
        </w:tc>
        <w:tc>
          <w:tcPr>
            <w:tcW w:w="1063" w:type="dxa"/>
            <w:tcBorders>
              <w:top w:val="single" w:sz="4" w:space="0" w:color="auto"/>
            </w:tcBorders>
            <w:shd w:val="clear" w:color="auto" w:fill="auto"/>
          </w:tcPr>
          <w:p w:rsidR="00200BD4" w:rsidRPr="00F67BAF" w:rsidRDefault="008418E6" w:rsidP="00200BD4">
            <w:pPr>
              <w:jc w:val="right"/>
              <w:rPr>
                <w:sz w:val="18"/>
                <w:szCs w:val="18"/>
              </w:rPr>
            </w:pPr>
            <w:r>
              <w:rPr>
                <w:sz w:val="18"/>
                <w:szCs w:val="18"/>
              </w:rPr>
              <w:t>(14,421)</w:t>
            </w:r>
          </w:p>
        </w:tc>
        <w:tc>
          <w:tcPr>
            <w:tcW w:w="1063" w:type="dxa"/>
            <w:tcBorders>
              <w:top w:val="single" w:sz="4" w:space="0" w:color="auto"/>
            </w:tcBorders>
            <w:shd w:val="clear" w:color="auto" w:fill="auto"/>
          </w:tcPr>
          <w:p w:rsidR="00200BD4" w:rsidRPr="00F67BAF" w:rsidRDefault="00214B85" w:rsidP="00724E33">
            <w:pPr>
              <w:jc w:val="right"/>
              <w:rPr>
                <w:sz w:val="18"/>
                <w:szCs w:val="18"/>
              </w:rPr>
            </w:pPr>
            <w:r>
              <w:rPr>
                <w:sz w:val="18"/>
                <w:szCs w:val="18"/>
              </w:rPr>
              <w:t>15,</w:t>
            </w:r>
            <w:r w:rsidR="008418E6">
              <w:rPr>
                <w:sz w:val="18"/>
                <w:szCs w:val="18"/>
              </w:rPr>
              <w:t>896</w:t>
            </w:r>
          </w:p>
        </w:tc>
        <w:tc>
          <w:tcPr>
            <w:tcW w:w="1064" w:type="dxa"/>
            <w:tcBorders>
              <w:top w:val="single" w:sz="4" w:space="0" w:color="auto"/>
            </w:tcBorders>
            <w:shd w:val="clear" w:color="auto" w:fill="auto"/>
          </w:tcPr>
          <w:p w:rsidR="00200BD4" w:rsidRPr="00F67BAF" w:rsidRDefault="00214B85" w:rsidP="00CA025A">
            <w:pPr>
              <w:jc w:val="right"/>
              <w:rPr>
                <w:sz w:val="18"/>
                <w:szCs w:val="18"/>
              </w:rPr>
            </w:pPr>
            <w:r>
              <w:rPr>
                <w:sz w:val="18"/>
                <w:szCs w:val="18"/>
              </w:rPr>
              <w:t>1,</w:t>
            </w:r>
            <w:r w:rsidR="008418E6">
              <w:rPr>
                <w:sz w:val="18"/>
                <w:szCs w:val="18"/>
              </w:rPr>
              <w:t>476</w:t>
            </w:r>
          </w:p>
        </w:tc>
      </w:tr>
      <w:tr w:rsidR="00F67BAF" w:rsidRPr="00F67BAF" w:rsidTr="002165FA">
        <w:tc>
          <w:tcPr>
            <w:tcW w:w="6204" w:type="dxa"/>
            <w:shd w:val="clear" w:color="auto" w:fill="auto"/>
          </w:tcPr>
          <w:p w:rsidR="00F67BAF" w:rsidRPr="00F67BAF" w:rsidRDefault="00F67BAF" w:rsidP="00D72DD9">
            <w:pPr>
              <w:jc w:val="both"/>
              <w:rPr>
                <w:sz w:val="18"/>
                <w:szCs w:val="18"/>
              </w:rPr>
            </w:pPr>
          </w:p>
        </w:tc>
        <w:tc>
          <w:tcPr>
            <w:tcW w:w="1063" w:type="dxa"/>
            <w:shd w:val="clear" w:color="auto" w:fill="auto"/>
          </w:tcPr>
          <w:p w:rsidR="00F67BAF" w:rsidRPr="00F67BAF" w:rsidRDefault="00F67BAF" w:rsidP="00D72DD9">
            <w:pPr>
              <w:jc w:val="right"/>
              <w:rPr>
                <w:sz w:val="18"/>
                <w:szCs w:val="18"/>
              </w:rPr>
            </w:pPr>
          </w:p>
        </w:tc>
        <w:tc>
          <w:tcPr>
            <w:tcW w:w="1205" w:type="dxa"/>
            <w:shd w:val="clear" w:color="auto" w:fill="auto"/>
          </w:tcPr>
          <w:p w:rsidR="00F67BAF" w:rsidRPr="00F67BAF" w:rsidRDefault="00F67BAF" w:rsidP="00D72DD9">
            <w:pPr>
              <w:jc w:val="right"/>
              <w:rPr>
                <w:sz w:val="18"/>
                <w:szCs w:val="18"/>
              </w:rPr>
            </w:pPr>
          </w:p>
        </w:tc>
        <w:tc>
          <w:tcPr>
            <w:tcW w:w="1064" w:type="dxa"/>
          </w:tcPr>
          <w:p w:rsidR="00F67BAF" w:rsidRPr="00F67BAF" w:rsidRDefault="00F67BAF" w:rsidP="00D72DD9">
            <w:pPr>
              <w:jc w:val="right"/>
              <w:rPr>
                <w:sz w:val="18"/>
                <w:szCs w:val="18"/>
              </w:rPr>
            </w:pPr>
          </w:p>
        </w:tc>
        <w:tc>
          <w:tcPr>
            <w:tcW w:w="1063" w:type="dxa"/>
            <w:shd w:val="clear" w:color="auto" w:fill="auto"/>
          </w:tcPr>
          <w:p w:rsidR="00F67BAF" w:rsidRPr="00F67BAF" w:rsidRDefault="00F67BAF" w:rsidP="00D72DD9">
            <w:pPr>
              <w:jc w:val="right"/>
              <w:rPr>
                <w:sz w:val="18"/>
                <w:szCs w:val="18"/>
              </w:rPr>
            </w:pPr>
          </w:p>
        </w:tc>
        <w:tc>
          <w:tcPr>
            <w:tcW w:w="1063" w:type="dxa"/>
          </w:tcPr>
          <w:p w:rsidR="00F67BAF" w:rsidRPr="00F67BAF" w:rsidRDefault="00F67BAF" w:rsidP="00125863">
            <w:pPr>
              <w:jc w:val="right"/>
              <w:rPr>
                <w:sz w:val="18"/>
                <w:szCs w:val="18"/>
              </w:rPr>
            </w:pPr>
          </w:p>
        </w:tc>
        <w:tc>
          <w:tcPr>
            <w:tcW w:w="1064" w:type="dxa"/>
            <w:shd w:val="clear" w:color="auto" w:fill="auto"/>
          </w:tcPr>
          <w:p w:rsidR="00F67BAF" w:rsidRPr="00F67BAF" w:rsidRDefault="00F67BAF" w:rsidP="00D72DD9">
            <w:pPr>
              <w:jc w:val="right"/>
              <w:rPr>
                <w:sz w:val="18"/>
                <w:szCs w:val="18"/>
              </w:rPr>
            </w:pPr>
          </w:p>
        </w:tc>
        <w:tc>
          <w:tcPr>
            <w:tcW w:w="1063" w:type="dxa"/>
            <w:shd w:val="clear" w:color="auto" w:fill="auto"/>
          </w:tcPr>
          <w:p w:rsidR="00F67BAF" w:rsidRPr="00F67BAF" w:rsidRDefault="00F67BAF" w:rsidP="00D72DD9">
            <w:pPr>
              <w:jc w:val="right"/>
              <w:rPr>
                <w:sz w:val="18"/>
                <w:szCs w:val="18"/>
              </w:rPr>
            </w:pPr>
          </w:p>
        </w:tc>
        <w:tc>
          <w:tcPr>
            <w:tcW w:w="1063" w:type="dxa"/>
            <w:shd w:val="clear" w:color="auto" w:fill="auto"/>
          </w:tcPr>
          <w:p w:rsidR="00F67BAF" w:rsidRPr="00F67BAF" w:rsidRDefault="00F67BAF" w:rsidP="00D72DD9">
            <w:pPr>
              <w:jc w:val="right"/>
              <w:rPr>
                <w:sz w:val="18"/>
                <w:szCs w:val="18"/>
              </w:rPr>
            </w:pPr>
          </w:p>
        </w:tc>
        <w:tc>
          <w:tcPr>
            <w:tcW w:w="1064" w:type="dxa"/>
            <w:shd w:val="clear" w:color="auto" w:fill="auto"/>
          </w:tcPr>
          <w:p w:rsidR="00F67BAF" w:rsidRPr="00F67BAF" w:rsidRDefault="00F67BAF" w:rsidP="00D72DD9">
            <w:pPr>
              <w:jc w:val="right"/>
              <w:rPr>
                <w:sz w:val="18"/>
                <w:szCs w:val="18"/>
              </w:rPr>
            </w:pP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r w:rsidRPr="00F67BAF">
              <w:rPr>
                <w:sz w:val="18"/>
                <w:szCs w:val="18"/>
              </w:rPr>
              <w:t>Adjustments between accounting basis and funding basis under regulations</w:t>
            </w: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205"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4" w:type="dxa"/>
            <w:tcBorders>
              <w:top w:val="nil"/>
              <w:left w:val="nil"/>
              <w:bottom w:val="nil"/>
              <w:right w:val="nil"/>
            </w:tcBorders>
          </w:tcPr>
          <w:p w:rsidR="00F67BAF" w:rsidRPr="00F67BAF" w:rsidRDefault="00F67BAF" w:rsidP="00D72DD9">
            <w:pPr>
              <w:jc w:val="right"/>
              <w:rPr>
                <w:sz w:val="18"/>
                <w:szCs w:val="18"/>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3" w:type="dxa"/>
            <w:tcBorders>
              <w:top w:val="nil"/>
              <w:left w:val="nil"/>
              <w:bottom w:val="nil"/>
              <w:right w:val="nil"/>
            </w:tcBorders>
          </w:tcPr>
          <w:p w:rsidR="00F67BAF" w:rsidRPr="00F67BAF" w:rsidRDefault="00F67BAF" w:rsidP="00125863">
            <w:pPr>
              <w:jc w:val="right"/>
              <w:rPr>
                <w:sz w:val="18"/>
                <w:szCs w:val="18"/>
              </w:rPr>
            </w:pP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D72DD9">
            <w:pPr>
              <w:ind w:left="284"/>
              <w:jc w:val="both"/>
              <w:rPr>
                <w:sz w:val="18"/>
                <w:szCs w:val="18"/>
              </w:rPr>
            </w:pPr>
            <w:r w:rsidRPr="00F67BAF">
              <w:rPr>
                <w:sz w:val="18"/>
                <w:szCs w:val="18"/>
              </w:rPr>
              <w:t>Charges for depreciation and impairment of non-current assets</w:t>
            </w:r>
          </w:p>
        </w:tc>
        <w:tc>
          <w:tcPr>
            <w:tcW w:w="1063" w:type="dxa"/>
            <w:tcBorders>
              <w:top w:val="nil"/>
              <w:left w:val="nil"/>
              <w:bottom w:val="nil"/>
              <w:right w:val="nil"/>
            </w:tcBorders>
            <w:shd w:val="clear" w:color="auto" w:fill="auto"/>
          </w:tcPr>
          <w:p w:rsidR="00410C84" w:rsidRPr="00F67BAF" w:rsidRDefault="00214B85" w:rsidP="001341E0">
            <w:pPr>
              <w:jc w:val="right"/>
              <w:rPr>
                <w:sz w:val="18"/>
                <w:szCs w:val="18"/>
              </w:rPr>
            </w:pPr>
            <w:r>
              <w:rPr>
                <w:sz w:val="18"/>
                <w:szCs w:val="18"/>
              </w:rPr>
              <w:t>4,264</w:t>
            </w:r>
          </w:p>
        </w:tc>
        <w:tc>
          <w:tcPr>
            <w:tcW w:w="1205"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4" w:type="dxa"/>
            <w:tcBorders>
              <w:top w:val="nil"/>
              <w:left w:val="nil"/>
              <w:bottom w:val="nil"/>
              <w:right w:val="nil"/>
            </w:tcBorders>
          </w:tcPr>
          <w:p w:rsidR="00410C84" w:rsidRPr="00F67BAF" w:rsidRDefault="00214B85" w:rsidP="00410C84">
            <w:pPr>
              <w:jc w:val="right"/>
              <w:rPr>
                <w:sz w:val="18"/>
                <w:szCs w:val="18"/>
              </w:rPr>
            </w:pPr>
            <w:r>
              <w:rPr>
                <w:sz w:val="18"/>
                <w:szCs w:val="18"/>
              </w:rPr>
              <w:t>4,264</w:t>
            </w:r>
          </w:p>
        </w:tc>
        <w:tc>
          <w:tcPr>
            <w:tcW w:w="1063"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3" w:type="dxa"/>
            <w:tcBorders>
              <w:top w:val="nil"/>
              <w:left w:val="nil"/>
              <w:bottom w:val="nil"/>
              <w:right w:val="nil"/>
            </w:tcBorders>
          </w:tcPr>
          <w:p w:rsidR="00410C84" w:rsidRPr="00F67BAF" w:rsidRDefault="00410C84" w:rsidP="00125863">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410C84" w:rsidRPr="00F67BAF" w:rsidRDefault="00214B85" w:rsidP="00410C84">
            <w:pPr>
              <w:jc w:val="right"/>
              <w:rPr>
                <w:sz w:val="18"/>
                <w:szCs w:val="18"/>
              </w:rPr>
            </w:pPr>
            <w:r>
              <w:rPr>
                <w:sz w:val="18"/>
                <w:szCs w:val="18"/>
              </w:rPr>
              <w:t>4,264</w:t>
            </w:r>
          </w:p>
        </w:tc>
        <w:tc>
          <w:tcPr>
            <w:tcW w:w="1063" w:type="dxa"/>
            <w:tcBorders>
              <w:top w:val="nil"/>
              <w:left w:val="nil"/>
              <w:bottom w:val="nil"/>
              <w:right w:val="nil"/>
            </w:tcBorders>
            <w:shd w:val="clear" w:color="auto" w:fill="auto"/>
          </w:tcPr>
          <w:p w:rsidR="00410C84" w:rsidRPr="00F67BAF" w:rsidRDefault="00214B85" w:rsidP="00410C84">
            <w:pPr>
              <w:jc w:val="right"/>
              <w:rPr>
                <w:sz w:val="18"/>
                <w:szCs w:val="18"/>
              </w:rPr>
            </w:pPr>
            <w:r>
              <w:rPr>
                <w:sz w:val="18"/>
                <w:szCs w:val="18"/>
              </w:rPr>
              <w:t>(4,264)</w:t>
            </w:r>
          </w:p>
        </w:tc>
        <w:tc>
          <w:tcPr>
            <w:tcW w:w="1064" w:type="dxa"/>
            <w:tcBorders>
              <w:top w:val="nil"/>
              <w:left w:val="nil"/>
              <w:bottom w:val="nil"/>
              <w:right w:val="nil"/>
            </w:tcBorders>
            <w:shd w:val="clear" w:color="auto" w:fill="auto"/>
          </w:tcPr>
          <w:p w:rsidR="00410C84" w:rsidRPr="00F67BAF" w:rsidRDefault="00410C84" w:rsidP="00D72DD9">
            <w:pPr>
              <w:jc w:val="right"/>
              <w:rPr>
                <w:sz w:val="18"/>
                <w:szCs w:val="18"/>
              </w:rPr>
            </w:pPr>
            <w:r w:rsidRPr="00F67BAF">
              <w:rPr>
                <w:sz w:val="18"/>
                <w:szCs w:val="18"/>
              </w:rPr>
              <w:t>-</w:t>
            </w: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D72DD9">
            <w:pPr>
              <w:ind w:left="284"/>
              <w:jc w:val="both"/>
              <w:rPr>
                <w:sz w:val="18"/>
                <w:szCs w:val="18"/>
              </w:rPr>
            </w:pPr>
            <w:r w:rsidRPr="00F67BAF">
              <w:rPr>
                <w:sz w:val="18"/>
                <w:szCs w:val="18"/>
              </w:rPr>
              <w:t>Amortisation of intangible assets</w:t>
            </w:r>
          </w:p>
        </w:tc>
        <w:tc>
          <w:tcPr>
            <w:tcW w:w="1063" w:type="dxa"/>
            <w:tcBorders>
              <w:top w:val="nil"/>
              <w:left w:val="nil"/>
              <w:bottom w:val="nil"/>
              <w:right w:val="nil"/>
            </w:tcBorders>
            <w:shd w:val="clear" w:color="auto" w:fill="auto"/>
          </w:tcPr>
          <w:p w:rsidR="00410C84" w:rsidRPr="00F67BAF" w:rsidRDefault="00952BFB" w:rsidP="00D72DD9">
            <w:pPr>
              <w:jc w:val="right"/>
              <w:rPr>
                <w:sz w:val="18"/>
                <w:szCs w:val="18"/>
              </w:rPr>
            </w:pPr>
            <w:r>
              <w:rPr>
                <w:sz w:val="18"/>
                <w:szCs w:val="18"/>
              </w:rPr>
              <w:t>122</w:t>
            </w:r>
          </w:p>
        </w:tc>
        <w:tc>
          <w:tcPr>
            <w:tcW w:w="1205"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4" w:type="dxa"/>
            <w:tcBorders>
              <w:top w:val="nil"/>
              <w:left w:val="nil"/>
              <w:bottom w:val="nil"/>
              <w:right w:val="nil"/>
            </w:tcBorders>
          </w:tcPr>
          <w:p w:rsidR="00410C84" w:rsidRPr="00F67BAF" w:rsidRDefault="00952BFB" w:rsidP="00410C84">
            <w:pPr>
              <w:jc w:val="right"/>
              <w:rPr>
                <w:sz w:val="18"/>
                <w:szCs w:val="18"/>
              </w:rPr>
            </w:pPr>
            <w:r>
              <w:rPr>
                <w:sz w:val="18"/>
                <w:szCs w:val="18"/>
              </w:rPr>
              <w:t>122</w:t>
            </w:r>
          </w:p>
        </w:tc>
        <w:tc>
          <w:tcPr>
            <w:tcW w:w="1063"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3" w:type="dxa"/>
            <w:tcBorders>
              <w:top w:val="nil"/>
              <w:left w:val="nil"/>
              <w:bottom w:val="nil"/>
              <w:right w:val="nil"/>
            </w:tcBorders>
          </w:tcPr>
          <w:p w:rsidR="00410C84" w:rsidRPr="00F67BAF" w:rsidRDefault="00410C84" w:rsidP="00125863">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410C84" w:rsidRPr="00F67BAF" w:rsidRDefault="00410C84" w:rsidP="00125863">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410C84" w:rsidRPr="00F67BAF" w:rsidRDefault="00952BFB" w:rsidP="00410C84">
            <w:pPr>
              <w:jc w:val="right"/>
              <w:rPr>
                <w:sz w:val="18"/>
                <w:szCs w:val="18"/>
              </w:rPr>
            </w:pPr>
            <w:r>
              <w:rPr>
                <w:sz w:val="18"/>
                <w:szCs w:val="18"/>
              </w:rPr>
              <w:t>122</w:t>
            </w:r>
          </w:p>
        </w:tc>
        <w:tc>
          <w:tcPr>
            <w:tcW w:w="1063" w:type="dxa"/>
            <w:tcBorders>
              <w:top w:val="nil"/>
              <w:left w:val="nil"/>
              <w:bottom w:val="nil"/>
              <w:right w:val="nil"/>
            </w:tcBorders>
            <w:shd w:val="clear" w:color="auto" w:fill="auto"/>
          </w:tcPr>
          <w:p w:rsidR="00410C84" w:rsidRPr="00F67BAF" w:rsidRDefault="00952BFB" w:rsidP="00410C84">
            <w:pPr>
              <w:jc w:val="right"/>
              <w:rPr>
                <w:sz w:val="18"/>
                <w:szCs w:val="18"/>
              </w:rPr>
            </w:pPr>
            <w:r>
              <w:rPr>
                <w:sz w:val="18"/>
                <w:szCs w:val="18"/>
              </w:rPr>
              <w:t>(122)</w:t>
            </w:r>
          </w:p>
        </w:tc>
        <w:tc>
          <w:tcPr>
            <w:tcW w:w="1064" w:type="dxa"/>
            <w:tcBorders>
              <w:top w:val="nil"/>
              <w:left w:val="nil"/>
              <w:bottom w:val="nil"/>
              <w:right w:val="nil"/>
            </w:tcBorders>
            <w:shd w:val="clear" w:color="auto" w:fill="auto"/>
          </w:tcPr>
          <w:p w:rsidR="00410C84" w:rsidRPr="00F67BAF" w:rsidRDefault="00410C84" w:rsidP="00D72DD9">
            <w:pPr>
              <w:jc w:val="right"/>
              <w:rPr>
                <w:sz w:val="18"/>
                <w:szCs w:val="18"/>
              </w:rPr>
            </w:pPr>
            <w:r w:rsidRPr="00F67BAF">
              <w:rPr>
                <w:sz w:val="18"/>
                <w:szCs w:val="18"/>
              </w:rPr>
              <w:t>-</w:t>
            </w:r>
          </w:p>
        </w:tc>
      </w:tr>
      <w:tr w:rsidR="004D44C6"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D44C6" w:rsidRPr="00F67BAF" w:rsidRDefault="004D44C6" w:rsidP="00D72DD9">
            <w:pPr>
              <w:ind w:left="284"/>
              <w:jc w:val="both"/>
              <w:rPr>
                <w:sz w:val="18"/>
                <w:szCs w:val="18"/>
              </w:rPr>
            </w:pPr>
            <w:r>
              <w:rPr>
                <w:sz w:val="18"/>
                <w:szCs w:val="18"/>
              </w:rPr>
              <w:t>Disposal of assets</w:t>
            </w:r>
          </w:p>
        </w:tc>
        <w:tc>
          <w:tcPr>
            <w:tcW w:w="1063" w:type="dxa"/>
            <w:tcBorders>
              <w:top w:val="nil"/>
              <w:left w:val="nil"/>
              <w:bottom w:val="nil"/>
              <w:right w:val="nil"/>
            </w:tcBorders>
            <w:shd w:val="clear" w:color="auto" w:fill="auto"/>
          </w:tcPr>
          <w:p w:rsidR="004D44C6" w:rsidRPr="00F67BAF" w:rsidRDefault="004D44C6" w:rsidP="001341E0">
            <w:pPr>
              <w:jc w:val="right"/>
              <w:rPr>
                <w:sz w:val="18"/>
                <w:szCs w:val="18"/>
              </w:rPr>
            </w:pPr>
            <w:r>
              <w:rPr>
                <w:sz w:val="18"/>
                <w:szCs w:val="18"/>
              </w:rPr>
              <w:t>(60)</w:t>
            </w:r>
          </w:p>
        </w:tc>
        <w:tc>
          <w:tcPr>
            <w:tcW w:w="1205" w:type="dxa"/>
            <w:tcBorders>
              <w:top w:val="nil"/>
              <w:left w:val="nil"/>
              <w:bottom w:val="nil"/>
              <w:right w:val="nil"/>
            </w:tcBorders>
            <w:shd w:val="clear" w:color="auto" w:fill="auto"/>
          </w:tcPr>
          <w:p w:rsidR="004D44C6" w:rsidRPr="00F67BAF" w:rsidRDefault="004D44C6" w:rsidP="00C55F9C">
            <w:pPr>
              <w:jc w:val="right"/>
              <w:rPr>
                <w:sz w:val="18"/>
                <w:szCs w:val="18"/>
              </w:rPr>
            </w:pPr>
            <w:r>
              <w:rPr>
                <w:sz w:val="18"/>
                <w:szCs w:val="18"/>
              </w:rPr>
              <w:t>-</w:t>
            </w:r>
          </w:p>
        </w:tc>
        <w:tc>
          <w:tcPr>
            <w:tcW w:w="1064" w:type="dxa"/>
            <w:tcBorders>
              <w:top w:val="nil"/>
              <w:left w:val="nil"/>
              <w:bottom w:val="nil"/>
              <w:right w:val="nil"/>
            </w:tcBorders>
          </w:tcPr>
          <w:p w:rsidR="004D44C6" w:rsidRPr="00F67BAF" w:rsidRDefault="004D44C6" w:rsidP="00C55F9C">
            <w:pPr>
              <w:jc w:val="right"/>
              <w:rPr>
                <w:sz w:val="18"/>
                <w:szCs w:val="18"/>
              </w:rPr>
            </w:pPr>
            <w:r>
              <w:rPr>
                <w:sz w:val="18"/>
                <w:szCs w:val="18"/>
              </w:rPr>
              <w:t>(60)</w:t>
            </w:r>
          </w:p>
        </w:tc>
        <w:tc>
          <w:tcPr>
            <w:tcW w:w="1063" w:type="dxa"/>
            <w:tcBorders>
              <w:top w:val="nil"/>
              <w:left w:val="nil"/>
              <w:bottom w:val="nil"/>
              <w:right w:val="nil"/>
            </w:tcBorders>
            <w:shd w:val="clear" w:color="auto" w:fill="auto"/>
          </w:tcPr>
          <w:p w:rsidR="004D44C6" w:rsidRPr="00F67BAF" w:rsidRDefault="004D44C6" w:rsidP="00C55F9C">
            <w:pPr>
              <w:jc w:val="right"/>
              <w:rPr>
                <w:sz w:val="18"/>
                <w:szCs w:val="18"/>
              </w:rPr>
            </w:pPr>
            <w:r>
              <w:rPr>
                <w:sz w:val="18"/>
                <w:szCs w:val="18"/>
              </w:rPr>
              <w:t>-</w:t>
            </w:r>
          </w:p>
        </w:tc>
        <w:tc>
          <w:tcPr>
            <w:tcW w:w="1063" w:type="dxa"/>
            <w:tcBorders>
              <w:top w:val="nil"/>
              <w:left w:val="nil"/>
              <w:bottom w:val="nil"/>
              <w:right w:val="nil"/>
            </w:tcBorders>
          </w:tcPr>
          <w:p w:rsidR="004D44C6" w:rsidRPr="00F67BAF" w:rsidRDefault="004D44C6" w:rsidP="00C55F9C">
            <w:pPr>
              <w:jc w:val="right"/>
              <w:rPr>
                <w:sz w:val="18"/>
                <w:szCs w:val="18"/>
              </w:rPr>
            </w:pPr>
            <w:r>
              <w:rPr>
                <w:sz w:val="18"/>
                <w:szCs w:val="18"/>
              </w:rPr>
              <w:t>-</w:t>
            </w:r>
          </w:p>
        </w:tc>
        <w:tc>
          <w:tcPr>
            <w:tcW w:w="1064" w:type="dxa"/>
            <w:tcBorders>
              <w:top w:val="nil"/>
              <w:left w:val="nil"/>
              <w:bottom w:val="nil"/>
              <w:right w:val="nil"/>
            </w:tcBorders>
            <w:shd w:val="clear" w:color="auto" w:fill="auto"/>
          </w:tcPr>
          <w:p w:rsidR="004D44C6" w:rsidRDefault="004D44C6" w:rsidP="00C55F9C">
            <w:pPr>
              <w:jc w:val="right"/>
              <w:rPr>
                <w:sz w:val="18"/>
                <w:szCs w:val="18"/>
              </w:rPr>
            </w:pPr>
            <w:r>
              <w:rPr>
                <w:sz w:val="18"/>
                <w:szCs w:val="18"/>
              </w:rPr>
              <w:t>81</w:t>
            </w:r>
          </w:p>
        </w:tc>
        <w:tc>
          <w:tcPr>
            <w:tcW w:w="1063" w:type="dxa"/>
            <w:tcBorders>
              <w:top w:val="nil"/>
              <w:left w:val="nil"/>
              <w:bottom w:val="nil"/>
              <w:right w:val="nil"/>
            </w:tcBorders>
            <w:shd w:val="clear" w:color="auto" w:fill="auto"/>
          </w:tcPr>
          <w:p w:rsidR="004D44C6" w:rsidRPr="00F67BAF" w:rsidRDefault="004D44C6" w:rsidP="001341E0">
            <w:pPr>
              <w:jc w:val="right"/>
              <w:rPr>
                <w:sz w:val="18"/>
                <w:szCs w:val="18"/>
              </w:rPr>
            </w:pPr>
            <w:r>
              <w:rPr>
                <w:sz w:val="18"/>
                <w:szCs w:val="18"/>
              </w:rPr>
              <w:t>21</w:t>
            </w:r>
          </w:p>
        </w:tc>
        <w:tc>
          <w:tcPr>
            <w:tcW w:w="1063" w:type="dxa"/>
            <w:tcBorders>
              <w:top w:val="nil"/>
              <w:left w:val="nil"/>
              <w:bottom w:val="nil"/>
              <w:right w:val="nil"/>
            </w:tcBorders>
            <w:shd w:val="clear" w:color="auto" w:fill="auto"/>
          </w:tcPr>
          <w:p w:rsidR="004D44C6" w:rsidRPr="00F67BAF" w:rsidRDefault="004D44C6" w:rsidP="00235282">
            <w:pPr>
              <w:jc w:val="right"/>
              <w:rPr>
                <w:sz w:val="18"/>
                <w:szCs w:val="18"/>
              </w:rPr>
            </w:pPr>
            <w:r>
              <w:rPr>
                <w:sz w:val="18"/>
                <w:szCs w:val="18"/>
              </w:rPr>
              <w:t>(21)</w:t>
            </w:r>
          </w:p>
        </w:tc>
        <w:tc>
          <w:tcPr>
            <w:tcW w:w="1064" w:type="dxa"/>
            <w:tcBorders>
              <w:top w:val="nil"/>
              <w:left w:val="nil"/>
              <w:bottom w:val="nil"/>
              <w:right w:val="nil"/>
            </w:tcBorders>
            <w:shd w:val="clear" w:color="auto" w:fill="auto"/>
          </w:tcPr>
          <w:p w:rsidR="004D44C6" w:rsidRPr="00F67BAF" w:rsidRDefault="004D44C6" w:rsidP="00D72DD9">
            <w:pPr>
              <w:jc w:val="right"/>
              <w:rPr>
                <w:sz w:val="18"/>
                <w:szCs w:val="18"/>
              </w:rPr>
            </w:pPr>
            <w:r>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ind w:left="284"/>
              <w:jc w:val="both"/>
              <w:rPr>
                <w:sz w:val="18"/>
                <w:szCs w:val="18"/>
              </w:rPr>
            </w:pPr>
            <w:r w:rsidRPr="00F67BAF">
              <w:rPr>
                <w:sz w:val="18"/>
                <w:szCs w:val="18"/>
              </w:rPr>
              <w:t>Capital grants applied</w:t>
            </w:r>
          </w:p>
        </w:tc>
        <w:tc>
          <w:tcPr>
            <w:tcW w:w="1063" w:type="dxa"/>
            <w:tcBorders>
              <w:top w:val="nil"/>
              <w:left w:val="nil"/>
              <w:bottom w:val="nil"/>
              <w:right w:val="nil"/>
            </w:tcBorders>
            <w:shd w:val="clear" w:color="auto" w:fill="auto"/>
          </w:tcPr>
          <w:p w:rsidR="00F67BAF" w:rsidRPr="00F67BAF" w:rsidRDefault="008418E6" w:rsidP="001341E0">
            <w:pPr>
              <w:jc w:val="right"/>
              <w:rPr>
                <w:sz w:val="18"/>
                <w:szCs w:val="18"/>
              </w:rPr>
            </w:pPr>
            <w:r>
              <w:rPr>
                <w:sz w:val="18"/>
                <w:szCs w:val="18"/>
              </w:rPr>
              <w:t>321</w:t>
            </w:r>
          </w:p>
        </w:tc>
        <w:tc>
          <w:tcPr>
            <w:tcW w:w="1205" w:type="dxa"/>
            <w:tcBorders>
              <w:top w:val="nil"/>
              <w:left w:val="nil"/>
              <w:bottom w:val="nil"/>
              <w:right w:val="nil"/>
            </w:tcBorders>
            <w:shd w:val="clear" w:color="auto" w:fill="auto"/>
          </w:tcPr>
          <w:p w:rsidR="00F67BAF" w:rsidRPr="00F67BAF" w:rsidRDefault="00F67BAF" w:rsidP="00C55F9C">
            <w:pPr>
              <w:jc w:val="right"/>
              <w:rPr>
                <w:sz w:val="18"/>
                <w:szCs w:val="18"/>
              </w:rPr>
            </w:pPr>
            <w:r w:rsidRPr="00F67BAF">
              <w:rPr>
                <w:sz w:val="18"/>
                <w:szCs w:val="18"/>
              </w:rPr>
              <w:t>-</w:t>
            </w:r>
          </w:p>
        </w:tc>
        <w:tc>
          <w:tcPr>
            <w:tcW w:w="1064" w:type="dxa"/>
            <w:tcBorders>
              <w:top w:val="nil"/>
              <w:left w:val="nil"/>
              <w:bottom w:val="nil"/>
              <w:right w:val="nil"/>
            </w:tcBorders>
          </w:tcPr>
          <w:p w:rsidR="00F67BAF" w:rsidRPr="00F67BAF" w:rsidRDefault="008418E6" w:rsidP="00C55F9C">
            <w:pPr>
              <w:jc w:val="right"/>
              <w:rPr>
                <w:sz w:val="18"/>
                <w:szCs w:val="18"/>
              </w:rPr>
            </w:pPr>
            <w:r>
              <w:rPr>
                <w:sz w:val="18"/>
                <w:szCs w:val="18"/>
              </w:rPr>
              <w:t>321</w:t>
            </w:r>
          </w:p>
        </w:tc>
        <w:tc>
          <w:tcPr>
            <w:tcW w:w="1063" w:type="dxa"/>
            <w:tcBorders>
              <w:top w:val="nil"/>
              <w:left w:val="nil"/>
              <w:bottom w:val="nil"/>
              <w:right w:val="nil"/>
            </w:tcBorders>
            <w:shd w:val="clear" w:color="auto" w:fill="auto"/>
          </w:tcPr>
          <w:p w:rsidR="00F67BAF" w:rsidRPr="00F67BAF" w:rsidRDefault="00F67BAF" w:rsidP="00C55F9C">
            <w:pPr>
              <w:jc w:val="right"/>
              <w:rPr>
                <w:sz w:val="18"/>
                <w:szCs w:val="18"/>
              </w:rPr>
            </w:pPr>
            <w:r w:rsidRPr="00F67BAF">
              <w:rPr>
                <w:sz w:val="18"/>
                <w:szCs w:val="18"/>
              </w:rPr>
              <w:t>-</w:t>
            </w:r>
          </w:p>
        </w:tc>
        <w:tc>
          <w:tcPr>
            <w:tcW w:w="1063" w:type="dxa"/>
            <w:tcBorders>
              <w:top w:val="nil"/>
              <w:left w:val="nil"/>
              <w:bottom w:val="nil"/>
              <w:right w:val="nil"/>
            </w:tcBorders>
          </w:tcPr>
          <w:p w:rsidR="00F67BAF" w:rsidRPr="00F67BAF" w:rsidRDefault="004D44C6" w:rsidP="00724E33">
            <w:pPr>
              <w:jc w:val="right"/>
              <w:rPr>
                <w:sz w:val="18"/>
                <w:szCs w:val="18"/>
              </w:rPr>
            </w:pPr>
            <w:r>
              <w:rPr>
                <w:sz w:val="18"/>
                <w:szCs w:val="18"/>
              </w:rPr>
              <w:t>(</w:t>
            </w:r>
            <w:r w:rsidR="008418E6">
              <w:rPr>
                <w:sz w:val="18"/>
                <w:szCs w:val="18"/>
              </w:rPr>
              <w:t>826</w:t>
            </w:r>
            <w:r>
              <w:rPr>
                <w:sz w:val="18"/>
                <w:szCs w:val="18"/>
              </w:rPr>
              <w:t>)</w:t>
            </w:r>
          </w:p>
        </w:tc>
        <w:tc>
          <w:tcPr>
            <w:tcW w:w="1064" w:type="dxa"/>
            <w:tcBorders>
              <w:top w:val="nil"/>
              <w:left w:val="nil"/>
              <w:bottom w:val="nil"/>
              <w:right w:val="nil"/>
            </w:tcBorders>
            <w:shd w:val="clear" w:color="auto" w:fill="auto"/>
          </w:tcPr>
          <w:p w:rsidR="00F67BAF" w:rsidRPr="00F67BAF" w:rsidRDefault="00410C84" w:rsidP="00C55F9C">
            <w:pPr>
              <w:jc w:val="right"/>
              <w:rPr>
                <w:sz w:val="18"/>
                <w:szCs w:val="18"/>
              </w:rPr>
            </w:pPr>
            <w:r>
              <w:rPr>
                <w:sz w:val="18"/>
                <w:szCs w:val="18"/>
              </w:rPr>
              <w:t>-</w:t>
            </w:r>
          </w:p>
        </w:tc>
        <w:tc>
          <w:tcPr>
            <w:tcW w:w="1063" w:type="dxa"/>
            <w:tcBorders>
              <w:top w:val="nil"/>
              <w:left w:val="nil"/>
              <w:bottom w:val="nil"/>
              <w:right w:val="nil"/>
            </w:tcBorders>
            <w:shd w:val="clear" w:color="auto" w:fill="auto"/>
          </w:tcPr>
          <w:p w:rsidR="00F67BAF" w:rsidRPr="00F67BAF" w:rsidRDefault="004D44C6" w:rsidP="001341E0">
            <w:pPr>
              <w:jc w:val="right"/>
              <w:rPr>
                <w:sz w:val="18"/>
                <w:szCs w:val="18"/>
              </w:rPr>
            </w:pPr>
            <w:r>
              <w:rPr>
                <w:sz w:val="18"/>
                <w:szCs w:val="18"/>
              </w:rPr>
              <w:t>(505)</w:t>
            </w:r>
          </w:p>
        </w:tc>
        <w:tc>
          <w:tcPr>
            <w:tcW w:w="1063" w:type="dxa"/>
            <w:tcBorders>
              <w:top w:val="nil"/>
              <w:left w:val="nil"/>
              <w:bottom w:val="nil"/>
              <w:right w:val="nil"/>
            </w:tcBorders>
            <w:shd w:val="clear" w:color="auto" w:fill="auto"/>
          </w:tcPr>
          <w:p w:rsidR="00F67BAF" w:rsidRPr="00F67BAF" w:rsidRDefault="004D44C6" w:rsidP="00235282">
            <w:pPr>
              <w:jc w:val="right"/>
              <w:rPr>
                <w:sz w:val="18"/>
                <w:szCs w:val="18"/>
              </w:rPr>
            </w:pPr>
            <w:r>
              <w:rPr>
                <w:sz w:val="18"/>
                <w:szCs w:val="18"/>
              </w:rPr>
              <w:t>-</w:t>
            </w: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D72DD9">
            <w:pPr>
              <w:ind w:left="284"/>
              <w:jc w:val="both"/>
              <w:rPr>
                <w:sz w:val="18"/>
                <w:szCs w:val="18"/>
              </w:rPr>
            </w:pPr>
            <w:r w:rsidRPr="00F67BAF">
              <w:rPr>
                <w:sz w:val="18"/>
                <w:szCs w:val="18"/>
              </w:rPr>
              <w:t>Provision for the repayment of debt</w:t>
            </w:r>
          </w:p>
        </w:tc>
        <w:tc>
          <w:tcPr>
            <w:tcW w:w="1063" w:type="dxa"/>
            <w:tcBorders>
              <w:top w:val="nil"/>
              <w:left w:val="nil"/>
              <w:bottom w:val="nil"/>
              <w:right w:val="nil"/>
            </w:tcBorders>
            <w:shd w:val="clear" w:color="auto" w:fill="auto"/>
          </w:tcPr>
          <w:p w:rsidR="00410C84" w:rsidRPr="00F67BAF" w:rsidRDefault="004D44C6" w:rsidP="001341E0">
            <w:pPr>
              <w:jc w:val="right"/>
              <w:rPr>
                <w:sz w:val="18"/>
                <w:szCs w:val="18"/>
              </w:rPr>
            </w:pPr>
            <w:r>
              <w:rPr>
                <w:sz w:val="18"/>
                <w:szCs w:val="18"/>
              </w:rPr>
              <w:t>(388)</w:t>
            </w:r>
          </w:p>
        </w:tc>
        <w:tc>
          <w:tcPr>
            <w:tcW w:w="1205"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tcPr>
          <w:p w:rsidR="00410C84" w:rsidRPr="00F67BAF" w:rsidRDefault="004D44C6" w:rsidP="00410C84">
            <w:pPr>
              <w:jc w:val="right"/>
              <w:rPr>
                <w:sz w:val="18"/>
                <w:szCs w:val="18"/>
              </w:rPr>
            </w:pPr>
            <w:r>
              <w:rPr>
                <w:sz w:val="18"/>
                <w:szCs w:val="18"/>
              </w:rPr>
              <w:t>(388)</w:t>
            </w:r>
          </w:p>
        </w:tc>
        <w:tc>
          <w:tcPr>
            <w:tcW w:w="1063"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410C84" w:rsidRPr="00F67BAF" w:rsidRDefault="004D44C6" w:rsidP="001341E0">
            <w:pPr>
              <w:jc w:val="right"/>
              <w:rPr>
                <w:sz w:val="18"/>
                <w:szCs w:val="18"/>
              </w:rPr>
            </w:pPr>
            <w:r>
              <w:rPr>
                <w:sz w:val="18"/>
                <w:szCs w:val="18"/>
              </w:rPr>
              <w:t>(388)</w:t>
            </w:r>
          </w:p>
        </w:tc>
        <w:tc>
          <w:tcPr>
            <w:tcW w:w="1063" w:type="dxa"/>
            <w:tcBorders>
              <w:top w:val="nil"/>
              <w:left w:val="nil"/>
              <w:bottom w:val="nil"/>
              <w:right w:val="nil"/>
            </w:tcBorders>
            <w:shd w:val="clear" w:color="auto" w:fill="auto"/>
          </w:tcPr>
          <w:p w:rsidR="00410C84" w:rsidRPr="00F67BAF" w:rsidRDefault="004D44C6" w:rsidP="00410C84">
            <w:pPr>
              <w:jc w:val="right"/>
              <w:rPr>
                <w:sz w:val="18"/>
                <w:szCs w:val="18"/>
              </w:rPr>
            </w:pPr>
            <w:r>
              <w:rPr>
                <w:sz w:val="18"/>
                <w:szCs w:val="18"/>
              </w:rPr>
              <w:t>388</w:t>
            </w:r>
          </w:p>
        </w:tc>
        <w:tc>
          <w:tcPr>
            <w:tcW w:w="1064" w:type="dxa"/>
            <w:tcBorders>
              <w:top w:val="nil"/>
              <w:left w:val="nil"/>
              <w:bottom w:val="nil"/>
              <w:right w:val="nil"/>
            </w:tcBorders>
            <w:shd w:val="clear" w:color="auto" w:fill="auto"/>
          </w:tcPr>
          <w:p w:rsidR="00410C84" w:rsidRPr="00F67BAF" w:rsidRDefault="00410C84" w:rsidP="00D72DD9">
            <w:pPr>
              <w:jc w:val="right"/>
              <w:rPr>
                <w:sz w:val="18"/>
                <w:szCs w:val="18"/>
              </w:rPr>
            </w:pPr>
            <w:r w:rsidRPr="00F67BAF">
              <w:rPr>
                <w:sz w:val="18"/>
                <w:szCs w:val="18"/>
              </w:rPr>
              <w:t>-</w:t>
            </w: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D72DD9">
            <w:pPr>
              <w:ind w:left="284"/>
              <w:jc w:val="both"/>
              <w:rPr>
                <w:sz w:val="18"/>
                <w:szCs w:val="18"/>
              </w:rPr>
            </w:pPr>
            <w:r w:rsidRPr="00F67BAF">
              <w:rPr>
                <w:sz w:val="18"/>
                <w:szCs w:val="18"/>
              </w:rPr>
              <w:t>Capital expenditure charged against General Fund Balance</w:t>
            </w:r>
          </w:p>
        </w:tc>
        <w:tc>
          <w:tcPr>
            <w:tcW w:w="1063" w:type="dxa"/>
            <w:tcBorders>
              <w:top w:val="nil"/>
              <w:left w:val="nil"/>
              <w:bottom w:val="nil"/>
              <w:right w:val="nil"/>
            </w:tcBorders>
            <w:shd w:val="clear" w:color="auto" w:fill="auto"/>
          </w:tcPr>
          <w:p w:rsidR="00410C84" w:rsidRPr="00F67BAF" w:rsidRDefault="004D44C6" w:rsidP="001341E0">
            <w:pPr>
              <w:jc w:val="right"/>
              <w:rPr>
                <w:sz w:val="18"/>
                <w:szCs w:val="18"/>
              </w:rPr>
            </w:pPr>
            <w:r>
              <w:rPr>
                <w:sz w:val="18"/>
                <w:szCs w:val="18"/>
              </w:rPr>
              <w:t>(1,493)</w:t>
            </w:r>
          </w:p>
        </w:tc>
        <w:tc>
          <w:tcPr>
            <w:tcW w:w="1205"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tcPr>
          <w:p w:rsidR="00410C84" w:rsidRPr="00F67BAF" w:rsidRDefault="004D44C6" w:rsidP="00410C84">
            <w:pPr>
              <w:jc w:val="right"/>
              <w:rPr>
                <w:sz w:val="18"/>
                <w:szCs w:val="18"/>
              </w:rPr>
            </w:pPr>
            <w:r>
              <w:rPr>
                <w:sz w:val="18"/>
                <w:szCs w:val="18"/>
              </w:rPr>
              <w:t>(1,493)</w:t>
            </w:r>
          </w:p>
        </w:tc>
        <w:tc>
          <w:tcPr>
            <w:tcW w:w="1063"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410C84" w:rsidRPr="00F67BAF" w:rsidRDefault="004D44C6" w:rsidP="00410C84">
            <w:pPr>
              <w:jc w:val="right"/>
              <w:rPr>
                <w:sz w:val="18"/>
                <w:szCs w:val="18"/>
              </w:rPr>
            </w:pPr>
            <w:r>
              <w:rPr>
                <w:sz w:val="18"/>
                <w:szCs w:val="18"/>
              </w:rPr>
              <w:t>(1,493)</w:t>
            </w:r>
          </w:p>
        </w:tc>
        <w:tc>
          <w:tcPr>
            <w:tcW w:w="1063" w:type="dxa"/>
            <w:tcBorders>
              <w:top w:val="nil"/>
              <w:left w:val="nil"/>
              <w:bottom w:val="nil"/>
              <w:right w:val="nil"/>
            </w:tcBorders>
            <w:shd w:val="clear" w:color="auto" w:fill="auto"/>
          </w:tcPr>
          <w:p w:rsidR="00410C84" w:rsidRPr="00F67BAF" w:rsidRDefault="004D44C6" w:rsidP="00D72DD9">
            <w:pPr>
              <w:jc w:val="right"/>
              <w:rPr>
                <w:sz w:val="18"/>
                <w:szCs w:val="18"/>
              </w:rPr>
            </w:pPr>
            <w:r>
              <w:rPr>
                <w:sz w:val="18"/>
                <w:szCs w:val="18"/>
              </w:rPr>
              <w:t>1,493</w:t>
            </w:r>
          </w:p>
        </w:tc>
        <w:tc>
          <w:tcPr>
            <w:tcW w:w="1064" w:type="dxa"/>
            <w:tcBorders>
              <w:top w:val="nil"/>
              <w:left w:val="nil"/>
              <w:bottom w:val="nil"/>
              <w:right w:val="nil"/>
            </w:tcBorders>
            <w:shd w:val="clear" w:color="auto" w:fill="auto"/>
          </w:tcPr>
          <w:p w:rsidR="00410C84" w:rsidRPr="00F67BAF" w:rsidRDefault="00410C84" w:rsidP="00D72DD9">
            <w:pPr>
              <w:jc w:val="right"/>
              <w:rPr>
                <w:sz w:val="18"/>
                <w:szCs w:val="18"/>
              </w:rPr>
            </w:pPr>
            <w:r w:rsidRPr="00F67BAF">
              <w:rPr>
                <w:sz w:val="18"/>
                <w:szCs w:val="18"/>
              </w:rPr>
              <w:t>-</w:t>
            </w: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D72DD9">
            <w:pPr>
              <w:ind w:left="284"/>
              <w:jc w:val="both"/>
              <w:rPr>
                <w:sz w:val="18"/>
                <w:szCs w:val="18"/>
              </w:rPr>
            </w:pPr>
            <w:r w:rsidRPr="00F67BAF">
              <w:rPr>
                <w:sz w:val="18"/>
                <w:szCs w:val="18"/>
              </w:rPr>
              <w:t>Amount by which the Code and the statutory pension costs differ</w:t>
            </w:r>
          </w:p>
        </w:tc>
        <w:tc>
          <w:tcPr>
            <w:tcW w:w="1063" w:type="dxa"/>
            <w:tcBorders>
              <w:top w:val="nil"/>
              <w:left w:val="nil"/>
              <w:bottom w:val="nil"/>
              <w:right w:val="nil"/>
            </w:tcBorders>
            <w:shd w:val="clear" w:color="auto" w:fill="auto"/>
          </w:tcPr>
          <w:p w:rsidR="00410C84" w:rsidRPr="00F67BAF" w:rsidRDefault="004D44C6" w:rsidP="00724E33">
            <w:pPr>
              <w:jc w:val="right"/>
              <w:rPr>
                <w:sz w:val="18"/>
                <w:szCs w:val="18"/>
              </w:rPr>
            </w:pPr>
            <w:r>
              <w:rPr>
                <w:sz w:val="18"/>
                <w:szCs w:val="18"/>
              </w:rPr>
              <w:t>13,</w:t>
            </w:r>
            <w:r w:rsidR="008418E6">
              <w:rPr>
                <w:sz w:val="18"/>
                <w:szCs w:val="18"/>
              </w:rPr>
              <w:t>251</w:t>
            </w:r>
          </w:p>
        </w:tc>
        <w:tc>
          <w:tcPr>
            <w:tcW w:w="1205"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tcPr>
          <w:p w:rsidR="00410C84" w:rsidRPr="00F67BAF" w:rsidRDefault="004D44C6" w:rsidP="00724E33">
            <w:pPr>
              <w:jc w:val="right"/>
              <w:rPr>
                <w:sz w:val="18"/>
                <w:szCs w:val="18"/>
              </w:rPr>
            </w:pPr>
            <w:r>
              <w:rPr>
                <w:sz w:val="18"/>
                <w:szCs w:val="18"/>
              </w:rPr>
              <w:t>13,</w:t>
            </w:r>
            <w:r w:rsidR="008418E6">
              <w:rPr>
                <w:sz w:val="18"/>
                <w:szCs w:val="18"/>
              </w:rPr>
              <w:t>251</w:t>
            </w:r>
          </w:p>
        </w:tc>
        <w:tc>
          <w:tcPr>
            <w:tcW w:w="1063"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tcPr>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410C84" w:rsidRPr="00F67BAF" w:rsidRDefault="004D44C6" w:rsidP="00724E33">
            <w:pPr>
              <w:jc w:val="right"/>
              <w:rPr>
                <w:sz w:val="18"/>
                <w:szCs w:val="18"/>
              </w:rPr>
            </w:pPr>
            <w:r>
              <w:rPr>
                <w:sz w:val="18"/>
                <w:szCs w:val="18"/>
              </w:rPr>
              <w:t>13,</w:t>
            </w:r>
            <w:r w:rsidR="008418E6">
              <w:rPr>
                <w:sz w:val="18"/>
                <w:szCs w:val="18"/>
              </w:rPr>
              <w:t>251</w:t>
            </w:r>
          </w:p>
        </w:tc>
        <w:tc>
          <w:tcPr>
            <w:tcW w:w="1063" w:type="dxa"/>
            <w:tcBorders>
              <w:top w:val="nil"/>
              <w:left w:val="nil"/>
              <w:bottom w:val="nil"/>
              <w:right w:val="nil"/>
            </w:tcBorders>
            <w:shd w:val="clear" w:color="auto" w:fill="auto"/>
          </w:tcPr>
          <w:p w:rsidR="00410C84" w:rsidRPr="00F67BAF" w:rsidRDefault="004D44C6" w:rsidP="00CA025A">
            <w:pPr>
              <w:jc w:val="right"/>
              <w:rPr>
                <w:sz w:val="18"/>
                <w:szCs w:val="18"/>
              </w:rPr>
            </w:pPr>
            <w:r>
              <w:rPr>
                <w:sz w:val="18"/>
                <w:szCs w:val="18"/>
              </w:rPr>
              <w:t>(13,</w:t>
            </w:r>
            <w:r w:rsidR="008418E6">
              <w:rPr>
                <w:sz w:val="18"/>
                <w:szCs w:val="18"/>
              </w:rPr>
              <w:t>251</w:t>
            </w:r>
            <w:r>
              <w:rPr>
                <w:sz w:val="18"/>
                <w:szCs w:val="18"/>
              </w:rPr>
              <w:t>)</w:t>
            </w:r>
          </w:p>
        </w:tc>
        <w:tc>
          <w:tcPr>
            <w:tcW w:w="1064" w:type="dxa"/>
            <w:tcBorders>
              <w:top w:val="nil"/>
              <w:left w:val="nil"/>
              <w:bottom w:val="nil"/>
              <w:right w:val="nil"/>
            </w:tcBorders>
            <w:shd w:val="clear" w:color="auto" w:fill="auto"/>
          </w:tcPr>
          <w:p w:rsidR="00410C84" w:rsidRPr="00F67BAF" w:rsidRDefault="00410C84" w:rsidP="00D72DD9">
            <w:pPr>
              <w:jc w:val="right"/>
              <w:rPr>
                <w:sz w:val="18"/>
                <w:szCs w:val="18"/>
              </w:rPr>
            </w:pPr>
            <w:r w:rsidRPr="00F67BAF">
              <w:rPr>
                <w:sz w:val="18"/>
                <w:szCs w:val="18"/>
              </w:rPr>
              <w:t>-</w:t>
            </w:r>
          </w:p>
        </w:tc>
      </w:tr>
      <w:tr w:rsidR="00410C84"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410C84" w:rsidRPr="00F67BAF" w:rsidRDefault="00410C84" w:rsidP="00AD6221">
            <w:pPr>
              <w:ind w:left="284"/>
              <w:jc w:val="both"/>
              <w:rPr>
                <w:sz w:val="18"/>
                <w:szCs w:val="18"/>
              </w:rPr>
            </w:pPr>
            <w:r w:rsidRPr="00F67BAF">
              <w:rPr>
                <w:sz w:val="18"/>
                <w:szCs w:val="18"/>
              </w:rPr>
              <w:t>Amount by which the Code and the statutory collection fund income differ</w:t>
            </w:r>
          </w:p>
        </w:tc>
        <w:tc>
          <w:tcPr>
            <w:tcW w:w="1063" w:type="dxa"/>
            <w:tcBorders>
              <w:top w:val="nil"/>
              <w:left w:val="nil"/>
              <w:bottom w:val="single" w:sz="4" w:space="0" w:color="auto"/>
              <w:right w:val="nil"/>
            </w:tcBorders>
            <w:shd w:val="clear" w:color="auto" w:fill="auto"/>
          </w:tcPr>
          <w:p w:rsidR="00410C84" w:rsidRDefault="00410C84" w:rsidP="001341E0">
            <w:pPr>
              <w:jc w:val="right"/>
              <w:rPr>
                <w:sz w:val="18"/>
                <w:szCs w:val="18"/>
              </w:rPr>
            </w:pPr>
          </w:p>
          <w:p w:rsidR="004D44C6" w:rsidRPr="00F67BAF" w:rsidRDefault="004D44C6" w:rsidP="001341E0">
            <w:pPr>
              <w:jc w:val="right"/>
              <w:rPr>
                <w:sz w:val="18"/>
                <w:szCs w:val="18"/>
              </w:rPr>
            </w:pPr>
            <w:r>
              <w:rPr>
                <w:sz w:val="18"/>
                <w:szCs w:val="18"/>
              </w:rPr>
              <w:t>(39)</w:t>
            </w:r>
          </w:p>
        </w:tc>
        <w:tc>
          <w:tcPr>
            <w:tcW w:w="1205" w:type="dxa"/>
            <w:tcBorders>
              <w:top w:val="nil"/>
              <w:left w:val="nil"/>
              <w:bottom w:val="single" w:sz="4" w:space="0" w:color="auto"/>
              <w:right w:val="nil"/>
            </w:tcBorders>
            <w:shd w:val="clear" w:color="auto" w:fill="auto"/>
          </w:tcPr>
          <w:p w:rsidR="00410C84" w:rsidRDefault="00410C84" w:rsidP="00C55F9C">
            <w:pPr>
              <w:jc w:val="right"/>
              <w:rPr>
                <w:sz w:val="18"/>
                <w:szCs w:val="18"/>
              </w:rPr>
            </w:pPr>
          </w:p>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single" w:sz="4" w:space="0" w:color="auto"/>
              <w:right w:val="nil"/>
            </w:tcBorders>
          </w:tcPr>
          <w:p w:rsidR="004D44C6" w:rsidRDefault="004D44C6" w:rsidP="004D44C6">
            <w:pPr>
              <w:jc w:val="right"/>
              <w:rPr>
                <w:sz w:val="18"/>
                <w:szCs w:val="18"/>
              </w:rPr>
            </w:pPr>
          </w:p>
          <w:p w:rsidR="00410C84" w:rsidRPr="00F67BAF" w:rsidRDefault="004D44C6" w:rsidP="004D44C6">
            <w:pPr>
              <w:jc w:val="right"/>
              <w:rPr>
                <w:sz w:val="18"/>
                <w:szCs w:val="18"/>
              </w:rPr>
            </w:pPr>
            <w:r>
              <w:rPr>
                <w:sz w:val="18"/>
                <w:szCs w:val="18"/>
              </w:rPr>
              <w:t>(39)</w:t>
            </w:r>
          </w:p>
        </w:tc>
        <w:tc>
          <w:tcPr>
            <w:tcW w:w="1063" w:type="dxa"/>
            <w:tcBorders>
              <w:top w:val="nil"/>
              <w:left w:val="nil"/>
              <w:bottom w:val="single" w:sz="4" w:space="0" w:color="auto"/>
              <w:right w:val="nil"/>
            </w:tcBorders>
            <w:shd w:val="clear" w:color="auto" w:fill="auto"/>
          </w:tcPr>
          <w:p w:rsidR="00410C84" w:rsidRDefault="00410C84" w:rsidP="00C55F9C">
            <w:pPr>
              <w:jc w:val="right"/>
              <w:rPr>
                <w:sz w:val="18"/>
                <w:szCs w:val="18"/>
              </w:rPr>
            </w:pPr>
          </w:p>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single" w:sz="4" w:space="0" w:color="auto"/>
              <w:right w:val="nil"/>
            </w:tcBorders>
          </w:tcPr>
          <w:p w:rsidR="00410C84" w:rsidRDefault="00410C84" w:rsidP="00C55F9C">
            <w:pPr>
              <w:jc w:val="right"/>
              <w:rPr>
                <w:sz w:val="18"/>
                <w:szCs w:val="18"/>
              </w:rPr>
            </w:pPr>
          </w:p>
          <w:p w:rsidR="00410C84" w:rsidRPr="00F67BAF" w:rsidRDefault="00410C84" w:rsidP="00C55F9C">
            <w:pPr>
              <w:jc w:val="right"/>
              <w:rPr>
                <w:sz w:val="18"/>
                <w:szCs w:val="18"/>
              </w:rPr>
            </w:pPr>
            <w:r w:rsidRPr="00F67BAF">
              <w:rPr>
                <w:sz w:val="18"/>
                <w:szCs w:val="18"/>
              </w:rPr>
              <w:t>-</w:t>
            </w:r>
          </w:p>
        </w:tc>
        <w:tc>
          <w:tcPr>
            <w:tcW w:w="1064" w:type="dxa"/>
            <w:tcBorders>
              <w:top w:val="nil"/>
              <w:left w:val="nil"/>
              <w:bottom w:val="single" w:sz="4" w:space="0" w:color="auto"/>
              <w:right w:val="nil"/>
            </w:tcBorders>
            <w:shd w:val="clear" w:color="auto" w:fill="auto"/>
          </w:tcPr>
          <w:p w:rsidR="00410C84" w:rsidRDefault="00410C84" w:rsidP="00C55F9C">
            <w:pPr>
              <w:jc w:val="right"/>
              <w:rPr>
                <w:sz w:val="18"/>
                <w:szCs w:val="18"/>
              </w:rPr>
            </w:pPr>
          </w:p>
          <w:p w:rsidR="00410C84" w:rsidRPr="00F67BAF" w:rsidRDefault="00410C84" w:rsidP="00C55F9C">
            <w:pPr>
              <w:jc w:val="right"/>
              <w:rPr>
                <w:sz w:val="18"/>
                <w:szCs w:val="18"/>
              </w:rPr>
            </w:pPr>
            <w:r w:rsidRPr="00F67BAF">
              <w:rPr>
                <w:sz w:val="18"/>
                <w:szCs w:val="18"/>
              </w:rPr>
              <w:t>-</w:t>
            </w:r>
          </w:p>
        </w:tc>
        <w:tc>
          <w:tcPr>
            <w:tcW w:w="1063" w:type="dxa"/>
            <w:tcBorders>
              <w:top w:val="nil"/>
              <w:left w:val="nil"/>
              <w:bottom w:val="single" w:sz="4" w:space="0" w:color="auto"/>
              <w:right w:val="nil"/>
            </w:tcBorders>
            <w:shd w:val="clear" w:color="auto" w:fill="auto"/>
          </w:tcPr>
          <w:p w:rsidR="004D44C6" w:rsidRDefault="004D44C6" w:rsidP="004D44C6">
            <w:pPr>
              <w:jc w:val="right"/>
              <w:rPr>
                <w:sz w:val="18"/>
                <w:szCs w:val="18"/>
              </w:rPr>
            </w:pPr>
          </w:p>
          <w:p w:rsidR="00410C84" w:rsidRPr="00F67BAF" w:rsidRDefault="004D44C6" w:rsidP="004D44C6">
            <w:pPr>
              <w:jc w:val="right"/>
              <w:rPr>
                <w:sz w:val="18"/>
                <w:szCs w:val="18"/>
              </w:rPr>
            </w:pPr>
            <w:r>
              <w:rPr>
                <w:sz w:val="18"/>
                <w:szCs w:val="18"/>
              </w:rPr>
              <w:t>(39)</w:t>
            </w:r>
          </w:p>
        </w:tc>
        <w:tc>
          <w:tcPr>
            <w:tcW w:w="1063" w:type="dxa"/>
            <w:tcBorders>
              <w:top w:val="nil"/>
              <w:left w:val="nil"/>
              <w:bottom w:val="single" w:sz="4" w:space="0" w:color="auto"/>
              <w:right w:val="nil"/>
            </w:tcBorders>
            <w:shd w:val="clear" w:color="auto" w:fill="auto"/>
          </w:tcPr>
          <w:p w:rsidR="004D44C6" w:rsidRDefault="004D44C6" w:rsidP="004D44C6">
            <w:pPr>
              <w:jc w:val="right"/>
              <w:rPr>
                <w:sz w:val="18"/>
                <w:szCs w:val="18"/>
              </w:rPr>
            </w:pPr>
          </w:p>
          <w:p w:rsidR="00410C84" w:rsidRPr="00F67BAF" w:rsidRDefault="004D44C6" w:rsidP="004D44C6">
            <w:pPr>
              <w:jc w:val="right"/>
              <w:rPr>
                <w:sz w:val="18"/>
                <w:szCs w:val="18"/>
              </w:rPr>
            </w:pPr>
            <w:r>
              <w:rPr>
                <w:sz w:val="18"/>
                <w:szCs w:val="18"/>
              </w:rPr>
              <w:t>39</w:t>
            </w:r>
          </w:p>
        </w:tc>
        <w:tc>
          <w:tcPr>
            <w:tcW w:w="1064" w:type="dxa"/>
            <w:tcBorders>
              <w:top w:val="nil"/>
              <w:left w:val="nil"/>
              <w:bottom w:val="single" w:sz="4" w:space="0" w:color="auto"/>
              <w:right w:val="nil"/>
            </w:tcBorders>
            <w:shd w:val="clear" w:color="auto" w:fill="auto"/>
          </w:tcPr>
          <w:p w:rsidR="00410C84" w:rsidRDefault="00410C84" w:rsidP="00D72DD9">
            <w:pPr>
              <w:jc w:val="right"/>
              <w:rPr>
                <w:sz w:val="18"/>
                <w:szCs w:val="18"/>
              </w:rPr>
            </w:pPr>
          </w:p>
          <w:p w:rsidR="00410C84" w:rsidRPr="00F67BAF" w:rsidRDefault="00410C84" w:rsidP="00D72DD9">
            <w:pPr>
              <w:jc w:val="right"/>
              <w:rPr>
                <w:sz w:val="18"/>
                <w:szCs w:val="18"/>
              </w:rPr>
            </w:pPr>
            <w:r w:rsidRPr="00F67BAF">
              <w:rPr>
                <w:sz w:val="18"/>
                <w:szCs w:val="18"/>
              </w:rPr>
              <w:t>-</w:t>
            </w:r>
          </w:p>
        </w:tc>
      </w:tr>
      <w:tr w:rsidR="00410C84" w:rsidRPr="00F67BAF" w:rsidTr="00200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6204" w:type="dxa"/>
            <w:tcBorders>
              <w:top w:val="nil"/>
              <w:left w:val="nil"/>
              <w:bottom w:val="nil"/>
              <w:right w:val="nil"/>
            </w:tcBorders>
            <w:shd w:val="clear" w:color="auto" w:fill="auto"/>
          </w:tcPr>
          <w:p w:rsidR="00410C84" w:rsidRPr="00F67BAF" w:rsidRDefault="00410C84" w:rsidP="00D72DD9">
            <w:pPr>
              <w:jc w:val="both"/>
              <w:rPr>
                <w:sz w:val="18"/>
                <w:szCs w:val="18"/>
              </w:rPr>
            </w:pPr>
          </w:p>
        </w:tc>
        <w:tc>
          <w:tcPr>
            <w:tcW w:w="1063" w:type="dxa"/>
            <w:tcBorders>
              <w:top w:val="single" w:sz="4" w:space="0" w:color="auto"/>
              <w:left w:val="nil"/>
              <w:bottom w:val="single" w:sz="4" w:space="0" w:color="auto"/>
              <w:right w:val="nil"/>
            </w:tcBorders>
            <w:shd w:val="clear" w:color="auto" w:fill="auto"/>
            <w:vAlign w:val="center"/>
          </w:tcPr>
          <w:p w:rsidR="00410C84" w:rsidRPr="00F67BAF" w:rsidRDefault="0074424A" w:rsidP="00724E33">
            <w:pPr>
              <w:jc w:val="right"/>
              <w:rPr>
                <w:sz w:val="18"/>
                <w:szCs w:val="18"/>
              </w:rPr>
            </w:pPr>
            <w:r>
              <w:rPr>
                <w:sz w:val="18"/>
                <w:szCs w:val="18"/>
              </w:rPr>
              <w:t>15,</w:t>
            </w:r>
            <w:r w:rsidR="008418E6">
              <w:rPr>
                <w:sz w:val="18"/>
                <w:szCs w:val="18"/>
              </w:rPr>
              <w:t>979</w:t>
            </w:r>
          </w:p>
        </w:tc>
        <w:tc>
          <w:tcPr>
            <w:tcW w:w="1205" w:type="dxa"/>
            <w:tcBorders>
              <w:top w:val="single" w:sz="4" w:space="0" w:color="auto"/>
              <w:left w:val="nil"/>
              <w:bottom w:val="single" w:sz="4" w:space="0" w:color="auto"/>
              <w:right w:val="nil"/>
            </w:tcBorders>
            <w:shd w:val="clear" w:color="auto" w:fill="auto"/>
            <w:vAlign w:val="center"/>
          </w:tcPr>
          <w:p w:rsidR="00410C84" w:rsidRPr="00F67BAF" w:rsidRDefault="00410C84" w:rsidP="00200BD4">
            <w:pPr>
              <w:jc w:val="right"/>
              <w:rPr>
                <w:sz w:val="18"/>
                <w:szCs w:val="18"/>
              </w:rPr>
            </w:pPr>
            <w:r w:rsidRPr="00F67BAF">
              <w:rPr>
                <w:sz w:val="18"/>
                <w:szCs w:val="18"/>
              </w:rPr>
              <w:t>-</w:t>
            </w:r>
          </w:p>
        </w:tc>
        <w:tc>
          <w:tcPr>
            <w:tcW w:w="1064" w:type="dxa"/>
            <w:tcBorders>
              <w:top w:val="single" w:sz="4" w:space="0" w:color="auto"/>
              <w:left w:val="nil"/>
              <w:bottom w:val="single" w:sz="4" w:space="0" w:color="auto"/>
              <w:right w:val="nil"/>
            </w:tcBorders>
            <w:vAlign w:val="center"/>
          </w:tcPr>
          <w:p w:rsidR="00410C84" w:rsidRPr="00F67BAF" w:rsidRDefault="0074424A" w:rsidP="00724E33">
            <w:pPr>
              <w:jc w:val="right"/>
              <w:rPr>
                <w:sz w:val="18"/>
                <w:szCs w:val="18"/>
              </w:rPr>
            </w:pPr>
            <w:r>
              <w:rPr>
                <w:sz w:val="18"/>
                <w:szCs w:val="18"/>
              </w:rPr>
              <w:t>15,</w:t>
            </w:r>
            <w:r w:rsidR="008418E6">
              <w:rPr>
                <w:sz w:val="18"/>
                <w:szCs w:val="18"/>
              </w:rPr>
              <w:t>979</w:t>
            </w:r>
          </w:p>
        </w:tc>
        <w:tc>
          <w:tcPr>
            <w:tcW w:w="1063" w:type="dxa"/>
            <w:tcBorders>
              <w:top w:val="single" w:sz="4" w:space="0" w:color="auto"/>
              <w:left w:val="nil"/>
              <w:bottom w:val="single" w:sz="4" w:space="0" w:color="auto"/>
              <w:right w:val="nil"/>
            </w:tcBorders>
            <w:shd w:val="clear" w:color="auto" w:fill="auto"/>
            <w:vAlign w:val="center"/>
          </w:tcPr>
          <w:p w:rsidR="00410C84" w:rsidRPr="00F67BAF" w:rsidRDefault="00410C84" w:rsidP="00200BD4">
            <w:pPr>
              <w:jc w:val="right"/>
              <w:rPr>
                <w:sz w:val="18"/>
                <w:szCs w:val="18"/>
              </w:rPr>
            </w:pPr>
            <w:r w:rsidRPr="00F67BAF">
              <w:rPr>
                <w:sz w:val="18"/>
                <w:szCs w:val="18"/>
              </w:rPr>
              <w:t>-</w:t>
            </w:r>
          </w:p>
        </w:tc>
        <w:tc>
          <w:tcPr>
            <w:tcW w:w="1063" w:type="dxa"/>
            <w:tcBorders>
              <w:top w:val="single" w:sz="4" w:space="0" w:color="auto"/>
              <w:left w:val="nil"/>
              <w:bottom w:val="single" w:sz="4" w:space="0" w:color="auto"/>
              <w:right w:val="nil"/>
            </w:tcBorders>
            <w:vAlign w:val="center"/>
          </w:tcPr>
          <w:p w:rsidR="00410C84" w:rsidRPr="00F67BAF" w:rsidRDefault="0074424A" w:rsidP="00724E33">
            <w:pPr>
              <w:jc w:val="right"/>
              <w:rPr>
                <w:sz w:val="18"/>
                <w:szCs w:val="18"/>
              </w:rPr>
            </w:pPr>
            <w:r>
              <w:rPr>
                <w:sz w:val="18"/>
                <w:szCs w:val="18"/>
              </w:rPr>
              <w:t>(</w:t>
            </w:r>
            <w:r w:rsidR="008418E6">
              <w:rPr>
                <w:sz w:val="18"/>
                <w:szCs w:val="18"/>
              </w:rPr>
              <w:t>826</w:t>
            </w:r>
            <w:r>
              <w:rPr>
                <w:sz w:val="18"/>
                <w:szCs w:val="18"/>
              </w:rPr>
              <w:t>)</w:t>
            </w:r>
          </w:p>
        </w:tc>
        <w:tc>
          <w:tcPr>
            <w:tcW w:w="1064" w:type="dxa"/>
            <w:tcBorders>
              <w:top w:val="single" w:sz="4" w:space="0" w:color="auto"/>
              <w:left w:val="nil"/>
              <w:bottom w:val="single" w:sz="4" w:space="0" w:color="auto"/>
              <w:right w:val="nil"/>
            </w:tcBorders>
            <w:shd w:val="clear" w:color="auto" w:fill="auto"/>
            <w:vAlign w:val="center"/>
          </w:tcPr>
          <w:p w:rsidR="00410C84" w:rsidRPr="00F67BAF" w:rsidRDefault="0074424A" w:rsidP="00200BD4">
            <w:pPr>
              <w:jc w:val="right"/>
              <w:rPr>
                <w:sz w:val="18"/>
                <w:szCs w:val="18"/>
              </w:rPr>
            </w:pPr>
            <w:r>
              <w:rPr>
                <w:sz w:val="18"/>
                <w:szCs w:val="18"/>
              </w:rPr>
              <w:t>81</w:t>
            </w:r>
          </w:p>
        </w:tc>
        <w:tc>
          <w:tcPr>
            <w:tcW w:w="1063" w:type="dxa"/>
            <w:tcBorders>
              <w:top w:val="single" w:sz="4" w:space="0" w:color="auto"/>
              <w:left w:val="nil"/>
              <w:bottom w:val="single" w:sz="4" w:space="0" w:color="auto"/>
              <w:right w:val="nil"/>
            </w:tcBorders>
            <w:shd w:val="clear" w:color="auto" w:fill="auto"/>
            <w:vAlign w:val="center"/>
          </w:tcPr>
          <w:p w:rsidR="00410C84" w:rsidRPr="00F67BAF" w:rsidRDefault="0074424A" w:rsidP="00724E33">
            <w:pPr>
              <w:jc w:val="right"/>
              <w:rPr>
                <w:sz w:val="18"/>
                <w:szCs w:val="18"/>
              </w:rPr>
            </w:pPr>
            <w:r>
              <w:rPr>
                <w:sz w:val="18"/>
                <w:szCs w:val="18"/>
              </w:rPr>
              <w:t>15,</w:t>
            </w:r>
            <w:r w:rsidR="008418E6">
              <w:rPr>
                <w:sz w:val="18"/>
                <w:szCs w:val="18"/>
              </w:rPr>
              <w:t>234</w:t>
            </w:r>
          </w:p>
        </w:tc>
        <w:tc>
          <w:tcPr>
            <w:tcW w:w="1063" w:type="dxa"/>
            <w:tcBorders>
              <w:top w:val="single" w:sz="4" w:space="0" w:color="auto"/>
              <w:left w:val="nil"/>
              <w:bottom w:val="single" w:sz="4" w:space="0" w:color="auto"/>
              <w:right w:val="nil"/>
            </w:tcBorders>
            <w:shd w:val="clear" w:color="auto" w:fill="auto"/>
            <w:vAlign w:val="center"/>
          </w:tcPr>
          <w:p w:rsidR="00410C84" w:rsidRPr="00F67BAF" w:rsidRDefault="0074424A" w:rsidP="00CA025A">
            <w:pPr>
              <w:jc w:val="right"/>
              <w:rPr>
                <w:sz w:val="18"/>
                <w:szCs w:val="18"/>
              </w:rPr>
            </w:pPr>
            <w:r>
              <w:rPr>
                <w:sz w:val="18"/>
                <w:szCs w:val="18"/>
              </w:rPr>
              <w:t>(15,</w:t>
            </w:r>
            <w:r w:rsidR="008418E6">
              <w:rPr>
                <w:sz w:val="18"/>
                <w:szCs w:val="18"/>
              </w:rPr>
              <w:t>234</w:t>
            </w:r>
            <w:r>
              <w:rPr>
                <w:sz w:val="18"/>
                <w:szCs w:val="18"/>
              </w:rPr>
              <w:t>)</w:t>
            </w:r>
          </w:p>
        </w:tc>
        <w:tc>
          <w:tcPr>
            <w:tcW w:w="1064" w:type="dxa"/>
            <w:tcBorders>
              <w:top w:val="single" w:sz="4" w:space="0" w:color="auto"/>
              <w:left w:val="nil"/>
              <w:bottom w:val="single" w:sz="4" w:space="0" w:color="auto"/>
              <w:right w:val="nil"/>
            </w:tcBorders>
            <w:shd w:val="clear" w:color="auto" w:fill="auto"/>
            <w:vAlign w:val="center"/>
          </w:tcPr>
          <w:p w:rsidR="00410C84" w:rsidRPr="00F67BAF" w:rsidRDefault="00410C84" w:rsidP="00200BD4">
            <w:pPr>
              <w:jc w:val="right"/>
              <w:rPr>
                <w:sz w:val="18"/>
                <w:szCs w:val="18"/>
              </w:rPr>
            </w:pPr>
            <w:r w:rsidRPr="00F67BAF">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r w:rsidRPr="00F67BAF">
              <w:rPr>
                <w:sz w:val="18"/>
                <w:szCs w:val="18"/>
              </w:rPr>
              <w:t>Net increase/decrease before transfers to earmarked reserves</w:t>
            </w:r>
          </w:p>
        </w:tc>
        <w:tc>
          <w:tcPr>
            <w:tcW w:w="1063" w:type="dxa"/>
            <w:tcBorders>
              <w:top w:val="single" w:sz="4" w:space="0" w:color="auto"/>
              <w:left w:val="nil"/>
              <w:bottom w:val="nil"/>
              <w:right w:val="nil"/>
            </w:tcBorders>
            <w:shd w:val="clear" w:color="auto" w:fill="auto"/>
          </w:tcPr>
          <w:p w:rsidR="00F67BAF" w:rsidRPr="00F67BAF" w:rsidRDefault="0074424A" w:rsidP="00724E33">
            <w:pPr>
              <w:jc w:val="right"/>
              <w:rPr>
                <w:sz w:val="18"/>
                <w:szCs w:val="18"/>
              </w:rPr>
            </w:pPr>
            <w:r>
              <w:rPr>
                <w:sz w:val="18"/>
                <w:szCs w:val="18"/>
              </w:rPr>
              <w:t>1,</w:t>
            </w:r>
            <w:r w:rsidR="008418E6">
              <w:rPr>
                <w:sz w:val="18"/>
                <w:szCs w:val="18"/>
              </w:rPr>
              <w:t>558</w:t>
            </w:r>
          </w:p>
        </w:tc>
        <w:tc>
          <w:tcPr>
            <w:tcW w:w="1205" w:type="dxa"/>
            <w:tcBorders>
              <w:top w:val="single" w:sz="4" w:space="0" w:color="auto"/>
              <w:left w:val="nil"/>
              <w:bottom w:val="nil"/>
              <w:right w:val="nil"/>
            </w:tcBorders>
            <w:shd w:val="clear" w:color="auto" w:fill="auto"/>
          </w:tcPr>
          <w:p w:rsidR="00F67BAF" w:rsidRPr="00F67BAF" w:rsidRDefault="00F67BAF" w:rsidP="004347D0">
            <w:pPr>
              <w:jc w:val="right"/>
              <w:rPr>
                <w:sz w:val="18"/>
                <w:szCs w:val="18"/>
              </w:rPr>
            </w:pPr>
            <w:r w:rsidRPr="00F67BAF">
              <w:rPr>
                <w:sz w:val="18"/>
                <w:szCs w:val="18"/>
              </w:rPr>
              <w:t>-</w:t>
            </w:r>
          </w:p>
        </w:tc>
        <w:tc>
          <w:tcPr>
            <w:tcW w:w="1064" w:type="dxa"/>
            <w:tcBorders>
              <w:top w:val="single" w:sz="4" w:space="0" w:color="auto"/>
              <w:left w:val="nil"/>
              <w:bottom w:val="nil"/>
              <w:right w:val="nil"/>
            </w:tcBorders>
          </w:tcPr>
          <w:p w:rsidR="00F67BAF" w:rsidRPr="00F67BAF" w:rsidRDefault="00A00554" w:rsidP="00724E33">
            <w:pPr>
              <w:jc w:val="right"/>
              <w:rPr>
                <w:sz w:val="18"/>
                <w:szCs w:val="18"/>
              </w:rPr>
            </w:pPr>
            <w:r>
              <w:rPr>
                <w:sz w:val="18"/>
                <w:szCs w:val="18"/>
              </w:rPr>
              <w:t>1,</w:t>
            </w:r>
            <w:r w:rsidR="008418E6">
              <w:rPr>
                <w:sz w:val="18"/>
                <w:szCs w:val="18"/>
              </w:rPr>
              <w:t>558</w:t>
            </w:r>
          </w:p>
        </w:tc>
        <w:tc>
          <w:tcPr>
            <w:tcW w:w="1063" w:type="dxa"/>
            <w:tcBorders>
              <w:top w:val="single" w:sz="4" w:space="0" w:color="auto"/>
              <w:left w:val="nil"/>
              <w:bottom w:val="nil"/>
              <w:right w:val="nil"/>
            </w:tcBorders>
            <w:shd w:val="clear" w:color="auto" w:fill="auto"/>
          </w:tcPr>
          <w:p w:rsidR="00F67BAF" w:rsidRPr="00F67BAF" w:rsidRDefault="00F67BAF" w:rsidP="004347D0">
            <w:pPr>
              <w:jc w:val="right"/>
              <w:rPr>
                <w:sz w:val="18"/>
                <w:szCs w:val="18"/>
              </w:rPr>
            </w:pPr>
            <w:r w:rsidRPr="00F67BAF">
              <w:rPr>
                <w:sz w:val="18"/>
                <w:szCs w:val="18"/>
              </w:rPr>
              <w:t>-</w:t>
            </w:r>
          </w:p>
        </w:tc>
        <w:tc>
          <w:tcPr>
            <w:tcW w:w="1063" w:type="dxa"/>
            <w:tcBorders>
              <w:top w:val="single" w:sz="4" w:space="0" w:color="auto"/>
              <w:left w:val="nil"/>
              <w:bottom w:val="nil"/>
              <w:right w:val="nil"/>
            </w:tcBorders>
          </w:tcPr>
          <w:p w:rsidR="00F67BAF" w:rsidRPr="00F67BAF" w:rsidRDefault="00A00554" w:rsidP="00724E33">
            <w:pPr>
              <w:jc w:val="right"/>
              <w:rPr>
                <w:sz w:val="18"/>
                <w:szCs w:val="18"/>
              </w:rPr>
            </w:pPr>
            <w:r>
              <w:rPr>
                <w:sz w:val="18"/>
                <w:szCs w:val="18"/>
              </w:rPr>
              <w:t>(</w:t>
            </w:r>
            <w:r w:rsidR="008418E6">
              <w:rPr>
                <w:sz w:val="18"/>
                <w:szCs w:val="18"/>
              </w:rPr>
              <w:t>826</w:t>
            </w:r>
            <w:r>
              <w:rPr>
                <w:sz w:val="18"/>
                <w:szCs w:val="18"/>
              </w:rPr>
              <w:t>)</w:t>
            </w:r>
          </w:p>
        </w:tc>
        <w:tc>
          <w:tcPr>
            <w:tcW w:w="1064" w:type="dxa"/>
            <w:tcBorders>
              <w:top w:val="single" w:sz="4" w:space="0" w:color="auto"/>
              <w:left w:val="nil"/>
              <w:bottom w:val="nil"/>
              <w:right w:val="nil"/>
            </w:tcBorders>
            <w:shd w:val="clear" w:color="auto" w:fill="auto"/>
          </w:tcPr>
          <w:p w:rsidR="00F67BAF" w:rsidRPr="00F67BAF" w:rsidRDefault="00A00554" w:rsidP="004347D0">
            <w:pPr>
              <w:jc w:val="right"/>
              <w:rPr>
                <w:sz w:val="18"/>
                <w:szCs w:val="18"/>
              </w:rPr>
            </w:pPr>
            <w:r>
              <w:rPr>
                <w:sz w:val="18"/>
                <w:szCs w:val="18"/>
              </w:rPr>
              <w:t>81</w:t>
            </w:r>
          </w:p>
        </w:tc>
        <w:tc>
          <w:tcPr>
            <w:tcW w:w="1063" w:type="dxa"/>
            <w:tcBorders>
              <w:top w:val="single" w:sz="4" w:space="0" w:color="auto"/>
              <w:left w:val="nil"/>
              <w:bottom w:val="nil"/>
              <w:right w:val="nil"/>
            </w:tcBorders>
            <w:shd w:val="clear" w:color="auto" w:fill="auto"/>
          </w:tcPr>
          <w:p w:rsidR="00F67BAF" w:rsidRPr="00F67BAF" w:rsidRDefault="008418E6" w:rsidP="001341E0">
            <w:pPr>
              <w:jc w:val="right"/>
              <w:rPr>
                <w:sz w:val="18"/>
                <w:szCs w:val="18"/>
              </w:rPr>
            </w:pPr>
            <w:r>
              <w:rPr>
                <w:sz w:val="18"/>
                <w:szCs w:val="18"/>
              </w:rPr>
              <w:t>813</w:t>
            </w:r>
          </w:p>
        </w:tc>
        <w:tc>
          <w:tcPr>
            <w:tcW w:w="1063" w:type="dxa"/>
            <w:tcBorders>
              <w:top w:val="single" w:sz="4" w:space="0" w:color="auto"/>
              <w:left w:val="nil"/>
              <w:bottom w:val="nil"/>
              <w:right w:val="nil"/>
            </w:tcBorders>
            <w:shd w:val="clear" w:color="auto" w:fill="auto"/>
          </w:tcPr>
          <w:p w:rsidR="00F67BAF" w:rsidRPr="00F67BAF" w:rsidRDefault="008418E6" w:rsidP="006E7841">
            <w:pPr>
              <w:jc w:val="right"/>
              <w:rPr>
                <w:sz w:val="18"/>
                <w:szCs w:val="18"/>
              </w:rPr>
            </w:pPr>
            <w:r>
              <w:rPr>
                <w:sz w:val="18"/>
                <w:szCs w:val="18"/>
              </w:rPr>
              <w:t>663</w:t>
            </w:r>
          </w:p>
        </w:tc>
        <w:tc>
          <w:tcPr>
            <w:tcW w:w="1064" w:type="dxa"/>
            <w:tcBorders>
              <w:top w:val="single" w:sz="4" w:space="0" w:color="auto"/>
              <w:left w:val="nil"/>
              <w:bottom w:val="nil"/>
              <w:right w:val="nil"/>
            </w:tcBorders>
            <w:shd w:val="clear" w:color="auto" w:fill="auto"/>
          </w:tcPr>
          <w:p w:rsidR="00F67BAF" w:rsidRPr="00F67BAF" w:rsidRDefault="00A00554" w:rsidP="00724E33">
            <w:pPr>
              <w:jc w:val="right"/>
              <w:rPr>
                <w:sz w:val="18"/>
                <w:szCs w:val="18"/>
              </w:rPr>
            </w:pPr>
            <w:r>
              <w:rPr>
                <w:sz w:val="18"/>
                <w:szCs w:val="18"/>
              </w:rPr>
              <w:t>1,</w:t>
            </w:r>
            <w:r w:rsidR="008418E6">
              <w:rPr>
                <w:sz w:val="18"/>
                <w:szCs w:val="18"/>
              </w:rPr>
              <w:t>476</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205"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4" w:type="dxa"/>
            <w:tcBorders>
              <w:top w:val="nil"/>
              <w:left w:val="nil"/>
              <w:bottom w:val="nil"/>
              <w:right w:val="nil"/>
            </w:tcBorders>
          </w:tcPr>
          <w:p w:rsidR="00F67BAF" w:rsidRPr="00F67BAF" w:rsidRDefault="00F67BAF" w:rsidP="00D72DD9">
            <w:pPr>
              <w:jc w:val="right"/>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nil"/>
              <w:left w:val="nil"/>
              <w:bottom w:val="nil"/>
              <w:right w:val="nil"/>
            </w:tcBorders>
          </w:tcPr>
          <w:p w:rsidR="00F67BAF" w:rsidRPr="00F67BAF" w:rsidRDefault="00F67BAF" w:rsidP="00D72DD9">
            <w:pPr>
              <w:jc w:val="right"/>
              <w:rPr>
                <w:sz w:val="18"/>
                <w:szCs w:val="18"/>
                <w:highlight w:val="yellow"/>
              </w:rPr>
            </w:pP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ind w:left="284"/>
              <w:jc w:val="both"/>
              <w:rPr>
                <w:sz w:val="18"/>
                <w:szCs w:val="18"/>
              </w:rPr>
            </w:pPr>
            <w:r w:rsidRPr="00F67BAF">
              <w:rPr>
                <w:sz w:val="18"/>
                <w:szCs w:val="18"/>
              </w:rPr>
              <w:t>Transfers (to)/from earmarked reserves</w:t>
            </w:r>
          </w:p>
        </w:tc>
        <w:tc>
          <w:tcPr>
            <w:tcW w:w="1063" w:type="dxa"/>
            <w:tcBorders>
              <w:top w:val="nil"/>
              <w:left w:val="nil"/>
              <w:bottom w:val="nil"/>
              <w:right w:val="nil"/>
            </w:tcBorders>
            <w:shd w:val="clear" w:color="auto" w:fill="auto"/>
          </w:tcPr>
          <w:p w:rsidR="00F67BAF" w:rsidRPr="00F67BAF" w:rsidRDefault="0074424A" w:rsidP="00CA195A">
            <w:pPr>
              <w:jc w:val="right"/>
              <w:rPr>
                <w:sz w:val="18"/>
                <w:szCs w:val="18"/>
              </w:rPr>
            </w:pPr>
            <w:r>
              <w:rPr>
                <w:sz w:val="18"/>
                <w:szCs w:val="18"/>
              </w:rPr>
              <w:t>(652)</w:t>
            </w:r>
          </w:p>
        </w:tc>
        <w:tc>
          <w:tcPr>
            <w:tcW w:w="1205" w:type="dxa"/>
            <w:tcBorders>
              <w:top w:val="nil"/>
              <w:left w:val="nil"/>
              <w:bottom w:val="nil"/>
              <w:right w:val="nil"/>
            </w:tcBorders>
            <w:shd w:val="clear" w:color="auto" w:fill="auto"/>
          </w:tcPr>
          <w:p w:rsidR="00F67BAF" w:rsidRPr="00F67BAF" w:rsidRDefault="0074424A" w:rsidP="00D72DD9">
            <w:pPr>
              <w:jc w:val="right"/>
              <w:rPr>
                <w:sz w:val="18"/>
                <w:szCs w:val="18"/>
              </w:rPr>
            </w:pPr>
            <w:r>
              <w:rPr>
                <w:sz w:val="18"/>
                <w:szCs w:val="18"/>
              </w:rPr>
              <w:t>428</w:t>
            </w:r>
          </w:p>
        </w:tc>
        <w:tc>
          <w:tcPr>
            <w:tcW w:w="1064" w:type="dxa"/>
            <w:tcBorders>
              <w:top w:val="nil"/>
              <w:left w:val="nil"/>
              <w:bottom w:val="nil"/>
              <w:right w:val="nil"/>
            </w:tcBorders>
          </w:tcPr>
          <w:p w:rsidR="00F67BAF" w:rsidRPr="00F67BAF" w:rsidRDefault="0074424A" w:rsidP="00D72DD9">
            <w:pPr>
              <w:jc w:val="right"/>
              <w:rPr>
                <w:sz w:val="18"/>
                <w:szCs w:val="18"/>
              </w:rPr>
            </w:pPr>
            <w:r>
              <w:rPr>
                <w:sz w:val="18"/>
                <w:szCs w:val="18"/>
              </w:rPr>
              <w:t>(224)</w:t>
            </w: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3" w:type="dxa"/>
            <w:tcBorders>
              <w:top w:val="nil"/>
              <w:left w:val="nil"/>
              <w:bottom w:val="nil"/>
              <w:right w:val="nil"/>
            </w:tcBorders>
          </w:tcPr>
          <w:p w:rsidR="00F67BAF" w:rsidRPr="00F67BAF" w:rsidRDefault="00F67BAF" w:rsidP="00D72DD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F67BAF" w:rsidRPr="00F67BAF" w:rsidRDefault="0074424A" w:rsidP="00D72DD9">
            <w:pPr>
              <w:jc w:val="right"/>
              <w:rPr>
                <w:sz w:val="18"/>
                <w:szCs w:val="18"/>
              </w:rPr>
            </w:pPr>
            <w:r>
              <w:rPr>
                <w:sz w:val="18"/>
                <w:szCs w:val="18"/>
              </w:rPr>
              <w:t>(224)</w:t>
            </w:r>
          </w:p>
        </w:tc>
        <w:tc>
          <w:tcPr>
            <w:tcW w:w="1063" w:type="dxa"/>
            <w:tcBorders>
              <w:top w:val="nil"/>
              <w:left w:val="nil"/>
              <w:bottom w:val="nil"/>
              <w:right w:val="nil"/>
            </w:tcBorders>
            <w:shd w:val="clear" w:color="auto" w:fill="auto"/>
          </w:tcPr>
          <w:p w:rsidR="00F67BAF" w:rsidRPr="00F67BAF" w:rsidRDefault="0074424A" w:rsidP="00D72DD9">
            <w:pPr>
              <w:jc w:val="right"/>
              <w:rPr>
                <w:sz w:val="18"/>
                <w:szCs w:val="18"/>
              </w:rPr>
            </w:pPr>
            <w:r>
              <w:rPr>
                <w:sz w:val="18"/>
                <w:szCs w:val="18"/>
              </w:rPr>
              <w:t>224</w:t>
            </w: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ind w:left="284"/>
              <w:jc w:val="both"/>
              <w:rPr>
                <w:sz w:val="18"/>
                <w:szCs w:val="18"/>
              </w:rPr>
            </w:pPr>
            <w:r w:rsidRPr="00F67BAF">
              <w:rPr>
                <w:sz w:val="18"/>
                <w:szCs w:val="18"/>
              </w:rPr>
              <w:t>Transfers (to)/from capital funding reserve</w:t>
            </w:r>
          </w:p>
        </w:tc>
        <w:tc>
          <w:tcPr>
            <w:tcW w:w="1063" w:type="dxa"/>
            <w:tcBorders>
              <w:top w:val="nil"/>
              <w:left w:val="nil"/>
              <w:bottom w:val="nil"/>
              <w:right w:val="nil"/>
            </w:tcBorders>
            <w:shd w:val="clear" w:color="auto" w:fill="auto"/>
          </w:tcPr>
          <w:p w:rsidR="00F67BAF" w:rsidRPr="00F67BAF" w:rsidRDefault="0074424A" w:rsidP="001341E0">
            <w:pPr>
              <w:jc w:val="right"/>
              <w:rPr>
                <w:sz w:val="18"/>
                <w:szCs w:val="18"/>
              </w:rPr>
            </w:pPr>
            <w:r>
              <w:rPr>
                <w:sz w:val="18"/>
                <w:szCs w:val="18"/>
              </w:rPr>
              <w:t>(3,528)</w:t>
            </w:r>
          </w:p>
        </w:tc>
        <w:tc>
          <w:tcPr>
            <w:tcW w:w="1205" w:type="dxa"/>
            <w:tcBorders>
              <w:top w:val="nil"/>
              <w:left w:val="nil"/>
              <w:bottom w:val="nil"/>
              <w:right w:val="nil"/>
            </w:tcBorders>
            <w:shd w:val="clear" w:color="auto" w:fill="auto"/>
          </w:tcPr>
          <w:p w:rsidR="00F67BAF" w:rsidRPr="00F67BAF" w:rsidRDefault="0074424A" w:rsidP="00D72DD9">
            <w:pPr>
              <w:jc w:val="right"/>
              <w:rPr>
                <w:sz w:val="18"/>
                <w:szCs w:val="18"/>
              </w:rPr>
            </w:pPr>
            <w:r>
              <w:rPr>
                <w:sz w:val="18"/>
                <w:szCs w:val="18"/>
              </w:rPr>
              <w:t>-</w:t>
            </w:r>
          </w:p>
        </w:tc>
        <w:tc>
          <w:tcPr>
            <w:tcW w:w="1064" w:type="dxa"/>
            <w:tcBorders>
              <w:top w:val="nil"/>
              <w:left w:val="nil"/>
              <w:bottom w:val="nil"/>
              <w:right w:val="nil"/>
            </w:tcBorders>
          </w:tcPr>
          <w:p w:rsidR="00F67BAF" w:rsidRPr="00F67BAF" w:rsidRDefault="0074424A" w:rsidP="00CA195A">
            <w:pPr>
              <w:jc w:val="right"/>
              <w:rPr>
                <w:sz w:val="18"/>
                <w:szCs w:val="18"/>
              </w:rPr>
            </w:pPr>
            <w:r>
              <w:rPr>
                <w:sz w:val="18"/>
                <w:szCs w:val="18"/>
              </w:rPr>
              <w:t>(3,528)</w:t>
            </w:r>
          </w:p>
        </w:tc>
        <w:tc>
          <w:tcPr>
            <w:tcW w:w="1063" w:type="dxa"/>
            <w:tcBorders>
              <w:top w:val="nil"/>
              <w:left w:val="nil"/>
              <w:bottom w:val="nil"/>
              <w:right w:val="nil"/>
            </w:tcBorders>
            <w:shd w:val="clear" w:color="auto" w:fill="auto"/>
          </w:tcPr>
          <w:p w:rsidR="00F67BAF" w:rsidRPr="00F67BAF" w:rsidRDefault="0074424A" w:rsidP="00CA195A">
            <w:pPr>
              <w:jc w:val="right"/>
              <w:rPr>
                <w:sz w:val="18"/>
                <w:szCs w:val="18"/>
              </w:rPr>
            </w:pPr>
            <w:r>
              <w:rPr>
                <w:sz w:val="18"/>
                <w:szCs w:val="18"/>
              </w:rPr>
              <w:t>1,112</w:t>
            </w:r>
          </w:p>
        </w:tc>
        <w:tc>
          <w:tcPr>
            <w:tcW w:w="1063" w:type="dxa"/>
            <w:tcBorders>
              <w:top w:val="nil"/>
              <w:left w:val="nil"/>
              <w:bottom w:val="nil"/>
              <w:right w:val="nil"/>
            </w:tcBorders>
          </w:tcPr>
          <w:p w:rsidR="00F67BAF" w:rsidRPr="00F67BAF" w:rsidRDefault="00F67BAF" w:rsidP="00D72DD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F67BAF" w:rsidRPr="00F67BAF" w:rsidRDefault="00A00554" w:rsidP="006105F5">
            <w:pPr>
              <w:jc w:val="right"/>
              <w:rPr>
                <w:sz w:val="18"/>
                <w:szCs w:val="18"/>
              </w:rPr>
            </w:pPr>
            <w:r>
              <w:rPr>
                <w:sz w:val="18"/>
                <w:szCs w:val="18"/>
              </w:rPr>
              <w:t>(2,416)</w:t>
            </w:r>
          </w:p>
        </w:tc>
        <w:tc>
          <w:tcPr>
            <w:tcW w:w="1063" w:type="dxa"/>
            <w:tcBorders>
              <w:top w:val="nil"/>
              <w:left w:val="nil"/>
              <w:bottom w:val="nil"/>
              <w:right w:val="nil"/>
            </w:tcBorders>
            <w:shd w:val="clear" w:color="auto" w:fill="auto"/>
          </w:tcPr>
          <w:p w:rsidR="00F67BAF" w:rsidRPr="00F67BAF" w:rsidRDefault="00A00554" w:rsidP="00D72DD9">
            <w:pPr>
              <w:jc w:val="right"/>
              <w:rPr>
                <w:sz w:val="18"/>
                <w:szCs w:val="18"/>
              </w:rPr>
            </w:pPr>
            <w:r>
              <w:rPr>
                <w:sz w:val="18"/>
                <w:szCs w:val="18"/>
              </w:rPr>
              <w:t>2,416</w:t>
            </w: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r w:rsidRPr="00F67BAF">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AD6221">
            <w:pPr>
              <w:ind w:left="284"/>
              <w:jc w:val="both"/>
              <w:rPr>
                <w:sz w:val="18"/>
                <w:szCs w:val="18"/>
              </w:rPr>
            </w:pPr>
            <w:r w:rsidRPr="00F67BAF">
              <w:rPr>
                <w:sz w:val="18"/>
                <w:szCs w:val="18"/>
              </w:rPr>
              <w:t>Transfers (to)/from accumulated absences adjustment account</w:t>
            </w:r>
          </w:p>
        </w:tc>
        <w:tc>
          <w:tcPr>
            <w:tcW w:w="1063" w:type="dxa"/>
            <w:tcBorders>
              <w:top w:val="nil"/>
              <w:left w:val="nil"/>
              <w:bottom w:val="single" w:sz="4" w:space="0" w:color="auto"/>
              <w:right w:val="nil"/>
            </w:tcBorders>
            <w:shd w:val="clear" w:color="auto" w:fill="auto"/>
          </w:tcPr>
          <w:p w:rsidR="00F67BAF" w:rsidRPr="00F67BAF" w:rsidRDefault="0074424A" w:rsidP="001341E0">
            <w:pPr>
              <w:jc w:val="right"/>
              <w:rPr>
                <w:sz w:val="18"/>
                <w:szCs w:val="18"/>
              </w:rPr>
            </w:pPr>
            <w:r>
              <w:rPr>
                <w:sz w:val="18"/>
                <w:szCs w:val="18"/>
              </w:rPr>
              <w:t>9</w:t>
            </w:r>
          </w:p>
        </w:tc>
        <w:tc>
          <w:tcPr>
            <w:tcW w:w="1205" w:type="dxa"/>
            <w:tcBorders>
              <w:top w:val="nil"/>
              <w:left w:val="nil"/>
              <w:bottom w:val="single" w:sz="4" w:space="0" w:color="auto"/>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4" w:type="dxa"/>
            <w:tcBorders>
              <w:top w:val="nil"/>
              <w:left w:val="nil"/>
              <w:bottom w:val="single" w:sz="4" w:space="0" w:color="auto"/>
              <w:right w:val="nil"/>
            </w:tcBorders>
          </w:tcPr>
          <w:p w:rsidR="00F67BAF" w:rsidRPr="00F67BAF" w:rsidRDefault="0074424A" w:rsidP="00D72DD9">
            <w:pPr>
              <w:jc w:val="right"/>
              <w:rPr>
                <w:sz w:val="18"/>
                <w:szCs w:val="18"/>
              </w:rPr>
            </w:pPr>
            <w:r>
              <w:rPr>
                <w:sz w:val="18"/>
                <w:szCs w:val="18"/>
              </w:rPr>
              <w:t>9</w:t>
            </w:r>
          </w:p>
        </w:tc>
        <w:tc>
          <w:tcPr>
            <w:tcW w:w="1063" w:type="dxa"/>
            <w:tcBorders>
              <w:top w:val="nil"/>
              <w:left w:val="nil"/>
              <w:bottom w:val="single" w:sz="4" w:space="0" w:color="auto"/>
              <w:right w:val="nil"/>
            </w:tcBorders>
            <w:shd w:val="clear" w:color="auto" w:fill="auto"/>
          </w:tcPr>
          <w:p w:rsidR="00F67BAF" w:rsidRPr="00F67BAF" w:rsidRDefault="00A00554" w:rsidP="00D72DD9">
            <w:pPr>
              <w:jc w:val="right"/>
              <w:rPr>
                <w:sz w:val="18"/>
                <w:szCs w:val="18"/>
              </w:rPr>
            </w:pPr>
            <w:r>
              <w:rPr>
                <w:sz w:val="18"/>
                <w:szCs w:val="18"/>
              </w:rPr>
              <w:t>-</w:t>
            </w:r>
          </w:p>
        </w:tc>
        <w:tc>
          <w:tcPr>
            <w:tcW w:w="1063" w:type="dxa"/>
            <w:tcBorders>
              <w:top w:val="nil"/>
              <w:left w:val="nil"/>
              <w:bottom w:val="single" w:sz="4" w:space="0" w:color="auto"/>
              <w:right w:val="nil"/>
            </w:tcBorders>
          </w:tcPr>
          <w:p w:rsidR="00F67BAF" w:rsidRPr="00F67BAF" w:rsidRDefault="00F67BAF" w:rsidP="00D72DD9">
            <w:pPr>
              <w:jc w:val="right"/>
              <w:rPr>
                <w:sz w:val="18"/>
                <w:szCs w:val="18"/>
              </w:rPr>
            </w:pPr>
            <w:r w:rsidRPr="00F67BAF">
              <w:rPr>
                <w:sz w:val="18"/>
                <w:szCs w:val="18"/>
              </w:rPr>
              <w:t>-</w:t>
            </w:r>
          </w:p>
        </w:tc>
        <w:tc>
          <w:tcPr>
            <w:tcW w:w="1064" w:type="dxa"/>
            <w:tcBorders>
              <w:top w:val="nil"/>
              <w:left w:val="nil"/>
              <w:bottom w:val="single" w:sz="4" w:space="0" w:color="auto"/>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3" w:type="dxa"/>
            <w:tcBorders>
              <w:top w:val="nil"/>
              <w:left w:val="nil"/>
              <w:bottom w:val="single" w:sz="4" w:space="0" w:color="auto"/>
              <w:right w:val="nil"/>
            </w:tcBorders>
            <w:shd w:val="clear" w:color="auto" w:fill="auto"/>
          </w:tcPr>
          <w:p w:rsidR="00F67BAF" w:rsidRPr="00F67BAF" w:rsidRDefault="00A00554" w:rsidP="00EC218A">
            <w:pPr>
              <w:jc w:val="right"/>
              <w:rPr>
                <w:sz w:val="18"/>
                <w:szCs w:val="18"/>
              </w:rPr>
            </w:pPr>
            <w:r>
              <w:rPr>
                <w:sz w:val="18"/>
                <w:szCs w:val="18"/>
              </w:rPr>
              <w:t>9</w:t>
            </w:r>
          </w:p>
        </w:tc>
        <w:tc>
          <w:tcPr>
            <w:tcW w:w="1063" w:type="dxa"/>
            <w:tcBorders>
              <w:top w:val="nil"/>
              <w:left w:val="nil"/>
              <w:bottom w:val="single" w:sz="4" w:space="0" w:color="auto"/>
              <w:right w:val="nil"/>
            </w:tcBorders>
            <w:shd w:val="clear" w:color="auto" w:fill="auto"/>
          </w:tcPr>
          <w:p w:rsidR="00F67BAF" w:rsidRPr="00F67BAF" w:rsidRDefault="00A00554" w:rsidP="00EC218A">
            <w:pPr>
              <w:jc w:val="right"/>
              <w:rPr>
                <w:sz w:val="18"/>
                <w:szCs w:val="18"/>
              </w:rPr>
            </w:pPr>
            <w:r>
              <w:rPr>
                <w:sz w:val="18"/>
                <w:szCs w:val="18"/>
              </w:rPr>
              <w:t>(9)</w:t>
            </w:r>
          </w:p>
        </w:tc>
        <w:tc>
          <w:tcPr>
            <w:tcW w:w="1064" w:type="dxa"/>
            <w:tcBorders>
              <w:top w:val="nil"/>
              <w:left w:val="nil"/>
              <w:bottom w:val="single" w:sz="4" w:space="0" w:color="auto"/>
              <w:right w:val="nil"/>
            </w:tcBorders>
            <w:shd w:val="clear" w:color="auto" w:fill="auto"/>
          </w:tcPr>
          <w:p w:rsidR="00F67BAF" w:rsidRPr="00F67BAF" w:rsidRDefault="00F67BAF" w:rsidP="00D72DD9">
            <w:pPr>
              <w:jc w:val="right"/>
              <w:rPr>
                <w:sz w:val="18"/>
                <w:szCs w:val="18"/>
              </w:rPr>
            </w:pPr>
            <w:r w:rsidRPr="00F67BAF">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rFonts w:cs="Arial"/>
                <w:sz w:val="18"/>
                <w:szCs w:val="18"/>
              </w:rPr>
            </w:pPr>
            <w:r w:rsidRPr="00F67BAF">
              <w:rPr>
                <w:rFonts w:cs="Arial"/>
                <w:sz w:val="18"/>
                <w:szCs w:val="18"/>
              </w:rPr>
              <w:t xml:space="preserve">Net </w:t>
            </w:r>
            <w:proofErr w:type="spellStart"/>
            <w:r w:rsidRPr="00F67BAF">
              <w:rPr>
                <w:rFonts w:cs="Arial"/>
                <w:sz w:val="18"/>
                <w:szCs w:val="18"/>
              </w:rPr>
              <w:t>tfr</w:t>
            </w:r>
            <w:proofErr w:type="spellEnd"/>
            <w:r w:rsidRPr="00F67BAF">
              <w:rPr>
                <w:rFonts w:cs="Arial"/>
                <w:sz w:val="18"/>
                <w:szCs w:val="18"/>
              </w:rPr>
              <w:t xml:space="preserve"> (to)/from earmarked reserves</w:t>
            </w:r>
          </w:p>
        </w:tc>
        <w:tc>
          <w:tcPr>
            <w:tcW w:w="1063" w:type="dxa"/>
            <w:tcBorders>
              <w:top w:val="single" w:sz="4" w:space="0" w:color="auto"/>
              <w:left w:val="nil"/>
              <w:bottom w:val="single" w:sz="4" w:space="0" w:color="auto"/>
              <w:right w:val="nil"/>
            </w:tcBorders>
            <w:shd w:val="clear" w:color="auto" w:fill="auto"/>
          </w:tcPr>
          <w:p w:rsidR="00F67BAF" w:rsidRPr="00F67BAF" w:rsidRDefault="0074424A" w:rsidP="00EC218A">
            <w:pPr>
              <w:jc w:val="right"/>
              <w:rPr>
                <w:sz w:val="18"/>
                <w:szCs w:val="18"/>
              </w:rPr>
            </w:pPr>
            <w:r>
              <w:rPr>
                <w:sz w:val="18"/>
                <w:szCs w:val="18"/>
              </w:rPr>
              <w:t>(4,171)</w:t>
            </w:r>
          </w:p>
        </w:tc>
        <w:tc>
          <w:tcPr>
            <w:tcW w:w="1205" w:type="dxa"/>
            <w:tcBorders>
              <w:top w:val="single" w:sz="4" w:space="0" w:color="auto"/>
              <w:left w:val="nil"/>
              <w:bottom w:val="single" w:sz="4" w:space="0" w:color="auto"/>
              <w:right w:val="nil"/>
            </w:tcBorders>
            <w:shd w:val="clear" w:color="auto" w:fill="auto"/>
          </w:tcPr>
          <w:p w:rsidR="00F67BAF" w:rsidRPr="00F67BAF" w:rsidRDefault="0074424A" w:rsidP="00D72DD9">
            <w:pPr>
              <w:jc w:val="right"/>
              <w:rPr>
                <w:sz w:val="18"/>
                <w:szCs w:val="18"/>
              </w:rPr>
            </w:pPr>
            <w:r>
              <w:rPr>
                <w:sz w:val="18"/>
                <w:szCs w:val="18"/>
              </w:rPr>
              <w:t>428</w:t>
            </w:r>
          </w:p>
        </w:tc>
        <w:tc>
          <w:tcPr>
            <w:tcW w:w="1064" w:type="dxa"/>
            <w:tcBorders>
              <w:top w:val="single" w:sz="4" w:space="0" w:color="auto"/>
              <w:left w:val="nil"/>
              <w:bottom w:val="single" w:sz="4" w:space="0" w:color="auto"/>
              <w:right w:val="nil"/>
            </w:tcBorders>
          </w:tcPr>
          <w:p w:rsidR="00F67BAF" w:rsidRPr="00F67BAF" w:rsidRDefault="0074424A" w:rsidP="006105F5">
            <w:pPr>
              <w:jc w:val="right"/>
              <w:rPr>
                <w:sz w:val="18"/>
                <w:szCs w:val="18"/>
              </w:rPr>
            </w:pPr>
            <w:r>
              <w:rPr>
                <w:sz w:val="18"/>
                <w:szCs w:val="18"/>
              </w:rPr>
              <w:t>(3,743)</w:t>
            </w:r>
          </w:p>
        </w:tc>
        <w:tc>
          <w:tcPr>
            <w:tcW w:w="1063" w:type="dxa"/>
            <w:tcBorders>
              <w:top w:val="single" w:sz="4" w:space="0" w:color="auto"/>
              <w:left w:val="nil"/>
              <w:bottom w:val="single" w:sz="4" w:space="0" w:color="auto"/>
              <w:right w:val="nil"/>
            </w:tcBorders>
            <w:shd w:val="clear" w:color="auto" w:fill="auto"/>
          </w:tcPr>
          <w:p w:rsidR="00F67BAF" w:rsidRPr="00F67BAF" w:rsidRDefault="00A00554" w:rsidP="006105F5">
            <w:pPr>
              <w:jc w:val="right"/>
              <w:rPr>
                <w:sz w:val="18"/>
                <w:szCs w:val="18"/>
              </w:rPr>
            </w:pPr>
            <w:r>
              <w:rPr>
                <w:sz w:val="18"/>
                <w:szCs w:val="18"/>
              </w:rPr>
              <w:t>1,112</w:t>
            </w:r>
          </w:p>
        </w:tc>
        <w:tc>
          <w:tcPr>
            <w:tcW w:w="1063" w:type="dxa"/>
            <w:tcBorders>
              <w:top w:val="single" w:sz="4" w:space="0" w:color="auto"/>
              <w:left w:val="nil"/>
              <w:bottom w:val="single" w:sz="4" w:space="0" w:color="auto"/>
              <w:right w:val="nil"/>
            </w:tcBorders>
          </w:tcPr>
          <w:p w:rsidR="00F67BAF" w:rsidRPr="00F67BAF" w:rsidRDefault="00F67BAF" w:rsidP="00D72DD9">
            <w:pPr>
              <w:jc w:val="right"/>
              <w:rPr>
                <w:sz w:val="18"/>
                <w:szCs w:val="18"/>
              </w:rPr>
            </w:pPr>
            <w:r w:rsidRPr="00F67BAF">
              <w:rPr>
                <w:sz w:val="18"/>
                <w:szCs w:val="18"/>
              </w:rPr>
              <w:t>-</w:t>
            </w:r>
          </w:p>
        </w:tc>
        <w:tc>
          <w:tcPr>
            <w:tcW w:w="1064" w:type="dxa"/>
            <w:tcBorders>
              <w:top w:val="single" w:sz="4" w:space="0" w:color="auto"/>
              <w:left w:val="nil"/>
              <w:bottom w:val="single" w:sz="4" w:space="0" w:color="auto"/>
              <w:right w:val="nil"/>
            </w:tcBorders>
            <w:shd w:val="clear" w:color="auto" w:fill="auto"/>
          </w:tcPr>
          <w:p w:rsidR="00F67BAF" w:rsidRPr="00F67BAF" w:rsidRDefault="00F67BAF" w:rsidP="00D72DD9">
            <w:pPr>
              <w:jc w:val="right"/>
              <w:rPr>
                <w:sz w:val="18"/>
                <w:szCs w:val="18"/>
              </w:rPr>
            </w:pPr>
            <w:r w:rsidRPr="00F67BAF">
              <w:rPr>
                <w:sz w:val="18"/>
                <w:szCs w:val="18"/>
              </w:rPr>
              <w:t>-</w:t>
            </w:r>
          </w:p>
        </w:tc>
        <w:tc>
          <w:tcPr>
            <w:tcW w:w="1063" w:type="dxa"/>
            <w:tcBorders>
              <w:top w:val="single" w:sz="4" w:space="0" w:color="auto"/>
              <w:left w:val="nil"/>
              <w:bottom w:val="single" w:sz="4" w:space="0" w:color="auto"/>
              <w:right w:val="nil"/>
            </w:tcBorders>
            <w:shd w:val="clear" w:color="auto" w:fill="auto"/>
          </w:tcPr>
          <w:p w:rsidR="00F67BAF" w:rsidRPr="00F67BAF" w:rsidRDefault="00A00554" w:rsidP="006105F5">
            <w:pPr>
              <w:jc w:val="right"/>
              <w:rPr>
                <w:sz w:val="18"/>
                <w:szCs w:val="18"/>
              </w:rPr>
            </w:pPr>
            <w:r>
              <w:rPr>
                <w:sz w:val="18"/>
                <w:szCs w:val="18"/>
              </w:rPr>
              <w:t>(2,631)</w:t>
            </w:r>
          </w:p>
        </w:tc>
        <w:tc>
          <w:tcPr>
            <w:tcW w:w="1063" w:type="dxa"/>
            <w:tcBorders>
              <w:top w:val="single" w:sz="4" w:space="0" w:color="auto"/>
              <w:left w:val="nil"/>
              <w:bottom w:val="single" w:sz="4" w:space="0" w:color="auto"/>
              <w:right w:val="nil"/>
            </w:tcBorders>
            <w:shd w:val="clear" w:color="auto" w:fill="auto"/>
          </w:tcPr>
          <w:p w:rsidR="00F67BAF" w:rsidRPr="00F67BAF" w:rsidRDefault="00A00554" w:rsidP="00D72DD9">
            <w:pPr>
              <w:jc w:val="right"/>
              <w:rPr>
                <w:sz w:val="18"/>
                <w:szCs w:val="18"/>
              </w:rPr>
            </w:pPr>
            <w:r>
              <w:rPr>
                <w:sz w:val="18"/>
                <w:szCs w:val="18"/>
              </w:rPr>
              <w:t>2,631</w:t>
            </w:r>
          </w:p>
        </w:tc>
        <w:tc>
          <w:tcPr>
            <w:tcW w:w="1064" w:type="dxa"/>
            <w:tcBorders>
              <w:top w:val="single" w:sz="4" w:space="0" w:color="auto"/>
              <w:left w:val="nil"/>
              <w:bottom w:val="single" w:sz="4" w:space="0" w:color="auto"/>
              <w:right w:val="nil"/>
            </w:tcBorders>
            <w:shd w:val="clear" w:color="auto" w:fill="auto"/>
          </w:tcPr>
          <w:p w:rsidR="00F67BAF" w:rsidRPr="00F67BAF" w:rsidRDefault="00F67BAF" w:rsidP="00D72DD9">
            <w:pPr>
              <w:jc w:val="right"/>
              <w:rPr>
                <w:sz w:val="18"/>
                <w:szCs w:val="18"/>
              </w:rPr>
            </w:pPr>
            <w:r w:rsidRPr="00F67BAF">
              <w:rPr>
                <w:sz w:val="18"/>
                <w:szCs w:val="18"/>
              </w:rPr>
              <w:t>-</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p>
        </w:tc>
        <w:tc>
          <w:tcPr>
            <w:tcW w:w="1063"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highlight w:val="yellow"/>
              </w:rPr>
            </w:pPr>
          </w:p>
        </w:tc>
        <w:tc>
          <w:tcPr>
            <w:tcW w:w="1205"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highlight w:val="yellow"/>
              </w:rPr>
            </w:pPr>
          </w:p>
        </w:tc>
        <w:tc>
          <w:tcPr>
            <w:tcW w:w="1064" w:type="dxa"/>
            <w:tcBorders>
              <w:top w:val="single" w:sz="4" w:space="0" w:color="auto"/>
              <w:left w:val="nil"/>
              <w:bottom w:val="nil"/>
              <w:right w:val="nil"/>
            </w:tcBorders>
          </w:tcPr>
          <w:p w:rsidR="00F67BAF" w:rsidRPr="00F67BAF" w:rsidRDefault="00F67BAF" w:rsidP="00D72DD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single" w:sz="4" w:space="0" w:color="auto"/>
              <w:left w:val="nil"/>
              <w:bottom w:val="nil"/>
              <w:right w:val="nil"/>
            </w:tcBorders>
          </w:tcPr>
          <w:p w:rsidR="00F67BAF" w:rsidRPr="00F67BAF" w:rsidRDefault="00F67BAF" w:rsidP="00D72DD9">
            <w:pPr>
              <w:jc w:val="right"/>
              <w:rPr>
                <w:sz w:val="18"/>
                <w:szCs w:val="18"/>
                <w:highlight w:val="yellow"/>
              </w:rPr>
            </w:pPr>
          </w:p>
        </w:tc>
        <w:tc>
          <w:tcPr>
            <w:tcW w:w="1064"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rPr>
            </w:pPr>
          </w:p>
        </w:tc>
        <w:tc>
          <w:tcPr>
            <w:tcW w:w="1064" w:type="dxa"/>
            <w:tcBorders>
              <w:top w:val="single" w:sz="4" w:space="0" w:color="auto"/>
              <w:left w:val="nil"/>
              <w:bottom w:val="nil"/>
              <w:right w:val="nil"/>
            </w:tcBorders>
            <w:shd w:val="clear" w:color="auto" w:fill="auto"/>
          </w:tcPr>
          <w:p w:rsidR="00F67BAF" w:rsidRPr="00F67BAF" w:rsidRDefault="00F67BAF" w:rsidP="00D72DD9">
            <w:pPr>
              <w:jc w:val="right"/>
              <w:rPr>
                <w:sz w:val="18"/>
                <w:szCs w:val="18"/>
              </w:rPr>
            </w:pP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r w:rsidRPr="00F67BAF">
              <w:rPr>
                <w:sz w:val="18"/>
                <w:szCs w:val="18"/>
              </w:rPr>
              <w:t>Increase/(Decrease) in the year</w:t>
            </w:r>
          </w:p>
        </w:tc>
        <w:tc>
          <w:tcPr>
            <w:tcW w:w="1063" w:type="dxa"/>
            <w:tcBorders>
              <w:top w:val="nil"/>
              <w:left w:val="nil"/>
              <w:bottom w:val="nil"/>
              <w:right w:val="nil"/>
            </w:tcBorders>
            <w:shd w:val="clear" w:color="auto" w:fill="auto"/>
          </w:tcPr>
          <w:p w:rsidR="00F67BAF" w:rsidRPr="00F67BAF" w:rsidRDefault="00A00554" w:rsidP="00724E33">
            <w:pPr>
              <w:jc w:val="right"/>
              <w:rPr>
                <w:sz w:val="18"/>
                <w:szCs w:val="18"/>
              </w:rPr>
            </w:pPr>
            <w:r>
              <w:rPr>
                <w:sz w:val="18"/>
                <w:szCs w:val="18"/>
              </w:rPr>
              <w:t>(2,</w:t>
            </w:r>
            <w:r w:rsidR="008418E6">
              <w:rPr>
                <w:sz w:val="18"/>
                <w:szCs w:val="18"/>
              </w:rPr>
              <w:t>613</w:t>
            </w:r>
            <w:r>
              <w:rPr>
                <w:sz w:val="18"/>
                <w:szCs w:val="18"/>
              </w:rPr>
              <w:t>)</w:t>
            </w:r>
          </w:p>
        </w:tc>
        <w:tc>
          <w:tcPr>
            <w:tcW w:w="1205" w:type="dxa"/>
            <w:tcBorders>
              <w:top w:val="nil"/>
              <w:left w:val="nil"/>
              <w:bottom w:val="nil"/>
              <w:right w:val="nil"/>
            </w:tcBorders>
            <w:shd w:val="clear" w:color="auto" w:fill="auto"/>
          </w:tcPr>
          <w:p w:rsidR="00F67BAF" w:rsidRPr="00F67BAF" w:rsidRDefault="00A00554" w:rsidP="00D72DD9">
            <w:pPr>
              <w:jc w:val="right"/>
              <w:rPr>
                <w:sz w:val="18"/>
                <w:szCs w:val="18"/>
              </w:rPr>
            </w:pPr>
            <w:r>
              <w:rPr>
                <w:sz w:val="18"/>
                <w:szCs w:val="18"/>
              </w:rPr>
              <w:t>428</w:t>
            </w:r>
          </w:p>
        </w:tc>
        <w:tc>
          <w:tcPr>
            <w:tcW w:w="1064" w:type="dxa"/>
            <w:tcBorders>
              <w:top w:val="nil"/>
              <w:left w:val="nil"/>
              <w:bottom w:val="nil"/>
              <w:right w:val="nil"/>
            </w:tcBorders>
          </w:tcPr>
          <w:p w:rsidR="00F67BAF" w:rsidRPr="00F67BAF" w:rsidRDefault="00A00554" w:rsidP="00724E33">
            <w:pPr>
              <w:jc w:val="right"/>
              <w:rPr>
                <w:sz w:val="18"/>
                <w:szCs w:val="18"/>
              </w:rPr>
            </w:pPr>
            <w:r>
              <w:rPr>
                <w:sz w:val="18"/>
                <w:szCs w:val="18"/>
              </w:rPr>
              <w:t>(2,</w:t>
            </w:r>
            <w:r w:rsidR="008418E6">
              <w:rPr>
                <w:sz w:val="18"/>
                <w:szCs w:val="18"/>
              </w:rPr>
              <w:t>184</w:t>
            </w:r>
            <w:r>
              <w:rPr>
                <w:sz w:val="18"/>
                <w:szCs w:val="18"/>
              </w:rPr>
              <w:t>)</w:t>
            </w:r>
          </w:p>
        </w:tc>
        <w:tc>
          <w:tcPr>
            <w:tcW w:w="1063" w:type="dxa"/>
            <w:tcBorders>
              <w:top w:val="nil"/>
              <w:left w:val="nil"/>
              <w:bottom w:val="nil"/>
              <w:right w:val="nil"/>
            </w:tcBorders>
            <w:shd w:val="clear" w:color="auto" w:fill="auto"/>
          </w:tcPr>
          <w:p w:rsidR="00F67BAF" w:rsidRPr="00F67BAF" w:rsidRDefault="00A00554" w:rsidP="006105F5">
            <w:pPr>
              <w:jc w:val="right"/>
              <w:rPr>
                <w:sz w:val="18"/>
                <w:szCs w:val="18"/>
              </w:rPr>
            </w:pPr>
            <w:r>
              <w:rPr>
                <w:sz w:val="18"/>
                <w:szCs w:val="18"/>
              </w:rPr>
              <w:t>1,112</w:t>
            </w:r>
          </w:p>
        </w:tc>
        <w:tc>
          <w:tcPr>
            <w:tcW w:w="1063" w:type="dxa"/>
            <w:tcBorders>
              <w:top w:val="nil"/>
              <w:left w:val="nil"/>
              <w:bottom w:val="nil"/>
              <w:right w:val="nil"/>
            </w:tcBorders>
          </w:tcPr>
          <w:p w:rsidR="00F67BAF" w:rsidRPr="00F67BAF" w:rsidRDefault="00A00554" w:rsidP="00724E33">
            <w:pPr>
              <w:jc w:val="right"/>
              <w:rPr>
                <w:sz w:val="18"/>
                <w:szCs w:val="18"/>
              </w:rPr>
            </w:pPr>
            <w:r>
              <w:rPr>
                <w:sz w:val="18"/>
                <w:szCs w:val="18"/>
              </w:rPr>
              <w:t>(</w:t>
            </w:r>
            <w:r w:rsidR="008418E6">
              <w:rPr>
                <w:sz w:val="18"/>
                <w:szCs w:val="18"/>
              </w:rPr>
              <w:t>826</w:t>
            </w:r>
            <w:r>
              <w:rPr>
                <w:sz w:val="18"/>
                <w:szCs w:val="18"/>
              </w:rPr>
              <w:t>)</w:t>
            </w:r>
          </w:p>
        </w:tc>
        <w:tc>
          <w:tcPr>
            <w:tcW w:w="1064" w:type="dxa"/>
            <w:tcBorders>
              <w:top w:val="nil"/>
              <w:left w:val="nil"/>
              <w:bottom w:val="nil"/>
              <w:right w:val="nil"/>
            </w:tcBorders>
            <w:shd w:val="clear" w:color="auto" w:fill="auto"/>
          </w:tcPr>
          <w:p w:rsidR="00F67BAF" w:rsidRPr="00F67BAF" w:rsidRDefault="00A00554" w:rsidP="00D72DD9">
            <w:pPr>
              <w:jc w:val="right"/>
              <w:rPr>
                <w:sz w:val="18"/>
                <w:szCs w:val="18"/>
              </w:rPr>
            </w:pPr>
            <w:r>
              <w:rPr>
                <w:sz w:val="18"/>
                <w:szCs w:val="18"/>
              </w:rPr>
              <w:t>81</w:t>
            </w:r>
          </w:p>
        </w:tc>
        <w:tc>
          <w:tcPr>
            <w:tcW w:w="1063" w:type="dxa"/>
            <w:tcBorders>
              <w:top w:val="nil"/>
              <w:left w:val="nil"/>
              <w:bottom w:val="nil"/>
              <w:right w:val="nil"/>
            </w:tcBorders>
            <w:shd w:val="clear" w:color="auto" w:fill="auto"/>
          </w:tcPr>
          <w:p w:rsidR="00F67BAF" w:rsidRPr="00F67BAF" w:rsidRDefault="00A00554" w:rsidP="00724E33">
            <w:pPr>
              <w:jc w:val="right"/>
              <w:rPr>
                <w:sz w:val="18"/>
                <w:szCs w:val="18"/>
              </w:rPr>
            </w:pPr>
            <w:r>
              <w:rPr>
                <w:sz w:val="18"/>
                <w:szCs w:val="18"/>
              </w:rPr>
              <w:t>(1,</w:t>
            </w:r>
            <w:r w:rsidR="008418E6">
              <w:rPr>
                <w:sz w:val="18"/>
                <w:szCs w:val="18"/>
              </w:rPr>
              <w:t>818</w:t>
            </w:r>
            <w:r>
              <w:rPr>
                <w:sz w:val="18"/>
                <w:szCs w:val="18"/>
              </w:rPr>
              <w:t>)</w:t>
            </w:r>
          </w:p>
        </w:tc>
        <w:tc>
          <w:tcPr>
            <w:tcW w:w="1063" w:type="dxa"/>
            <w:tcBorders>
              <w:top w:val="nil"/>
              <w:left w:val="nil"/>
              <w:bottom w:val="nil"/>
              <w:right w:val="nil"/>
            </w:tcBorders>
            <w:shd w:val="clear" w:color="auto" w:fill="auto"/>
          </w:tcPr>
          <w:p w:rsidR="00F67BAF" w:rsidRPr="00F67BAF" w:rsidRDefault="00A00554" w:rsidP="00CA025A">
            <w:pPr>
              <w:jc w:val="right"/>
              <w:rPr>
                <w:sz w:val="18"/>
                <w:szCs w:val="18"/>
              </w:rPr>
            </w:pPr>
            <w:r>
              <w:rPr>
                <w:sz w:val="18"/>
                <w:szCs w:val="18"/>
              </w:rPr>
              <w:t>3,</w:t>
            </w:r>
            <w:r w:rsidR="008418E6">
              <w:rPr>
                <w:sz w:val="18"/>
                <w:szCs w:val="18"/>
              </w:rPr>
              <w:t>293</w:t>
            </w:r>
          </w:p>
        </w:tc>
        <w:tc>
          <w:tcPr>
            <w:tcW w:w="1064" w:type="dxa"/>
            <w:tcBorders>
              <w:top w:val="nil"/>
              <w:left w:val="nil"/>
              <w:bottom w:val="nil"/>
              <w:right w:val="nil"/>
            </w:tcBorders>
            <w:shd w:val="clear" w:color="auto" w:fill="auto"/>
          </w:tcPr>
          <w:p w:rsidR="00F67BAF" w:rsidRPr="00F67BAF" w:rsidRDefault="00A00554" w:rsidP="00CA025A">
            <w:pPr>
              <w:jc w:val="right"/>
              <w:rPr>
                <w:sz w:val="18"/>
                <w:szCs w:val="18"/>
              </w:rPr>
            </w:pPr>
            <w:r>
              <w:rPr>
                <w:sz w:val="18"/>
                <w:szCs w:val="18"/>
              </w:rPr>
              <w:t>1,</w:t>
            </w:r>
            <w:r w:rsidR="008418E6">
              <w:rPr>
                <w:sz w:val="18"/>
                <w:szCs w:val="18"/>
              </w:rPr>
              <w:t>476</w:t>
            </w: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D72DD9">
            <w:pPr>
              <w:jc w:val="both"/>
              <w:rPr>
                <w:sz w:val="18"/>
                <w:szCs w:val="18"/>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205"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4" w:type="dxa"/>
            <w:tcBorders>
              <w:top w:val="nil"/>
              <w:left w:val="nil"/>
              <w:bottom w:val="nil"/>
              <w:right w:val="nil"/>
            </w:tcBorders>
          </w:tcPr>
          <w:p w:rsidR="00F67BAF" w:rsidRPr="00F67BAF" w:rsidRDefault="00F67BAF" w:rsidP="00D72DD9">
            <w:pPr>
              <w:jc w:val="right"/>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nil"/>
              <w:left w:val="nil"/>
              <w:bottom w:val="nil"/>
              <w:right w:val="nil"/>
            </w:tcBorders>
          </w:tcPr>
          <w:p w:rsidR="00F67BAF" w:rsidRPr="00F67BAF" w:rsidRDefault="00F67BAF" w:rsidP="00D72DD9">
            <w:pPr>
              <w:jc w:val="right"/>
              <w:rPr>
                <w:sz w:val="18"/>
                <w:szCs w:val="18"/>
                <w:highlight w:val="yellow"/>
              </w:rPr>
            </w:pPr>
          </w:p>
        </w:tc>
        <w:tc>
          <w:tcPr>
            <w:tcW w:w="1064" w:type="dxa"/>
            <w:tcBorders>
              <w:top w:val="nil"/>
              <w:left w:val="nil"/>
              <w:bottom w:val="nil"/>
              <w:right w:val="nil"/>
            </w:tcBorders>
            <w:shd w:val="clear" w:color="auto" w:fill="auto"/>
          </w:tcPr>
          <w:p w:rsidR="00F67BAF" w:rsidRPr="00F67BAF" w:rsidRDefault="00F67BAF" w:rsidP="00195EAD">
            <w:pPr>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highlight w:val="yellow"/>
              </w:rPr>
            </w:pPr>
          </w:p>
        </w:tc>
        <w:tc>
          <w:tcPr>
            <w:tcW w:w="1063" w:type="dxa"/>
            <w:tcBorders>
              <w:top w:val="nil"/>
              <w:left w:val="nil"/>
              <w:bottom w:val="nil"/>
              <w:right w:val="nil"/>
            </w:tcBorders>
            <w:shd w:val="clear" w:color="auto" w:fill="auto"/>
          </w:tcPr>
          <w:p w:rsidR="00F67BAF" w:rsidRPr="00F67BAF" w:rsidRDefault="00F67BAF" w:rsidP="00D72DD9">
            <w:pPr>
              <w:jc w:val="right"/>
              <w:rPr>
                <w:sz w:val="18"/>
                <w:szCs w:val="18"/>
              </w:rPr>
            </w:pPr>
          </w:p>
        </w:tc>
        <w:tc>
          <w:tcPr>
            <w:tcW w:w="1064" w:type="dxa"/>
            <w:tcBorders>
              <w:top w:val="nil"/>
              <w:left w:val="nil"/>
              <w:bottom w:val="nil"/>
              <w:right w:val="nil"/>
            </w:tcBorders>
            <w:shd w:val="clear" w:color="auto" w:fill="auto"/>
          </w:tcPr>
          <w:p w:rsidR="00F67BAF" w:rsidRPr="00F67BAF" w:rsidRDefault="00F67BAF" w:rsidP="00D72DD9">
            <w:pPr>
              <w:jc w:val="right"/>
              <w:rPr>
                <w:sz w:val="18"/>
                <w:szCs w:val="18"/>
              </w:rPr>
            </w:pPr>
          </w:p>
        </w:tc>
      </w:tr>
      <w:tr w:rsidR="00F67BAF" w:rsidRPr="00F67BAF" w:rsidTr="00216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F67BAF" w:rsidRPr="00F67BAF" w:rsidRDefault="00F67BAF" w:rsidP="007077EF">
            <w:pPr>
              <w:jc w:val="both"/>
              <w:rPr>
                <w:sz w:val="18"/>
                <w:szCs w:val="18"/>
              </w:rPr>
            </w:pPr>
            <w:r w:rsidRPr="00F67BAF">
              <w:rPr>
                <w:sz w:val="18"/>
                <w:szCs w:val="18"/>
              </w:rPr>
              <w:t>Balance at 31 March 201</w:t>
            </w:r>
            <w:r w:rsidR="007077EF">
              <w:rPr>
                <w:sz w:val="18"/>
                <w:szCs w:val="18"/>
              </w:rPr>
              <w:t>8</w:t>
            </w:r>
            <w:r w:rsidRPr="00F67BAF">
              <w:rPr>
                <w:sz w:val="18"/>
                <w:szCs w:val="18"/>
              </w:rPr>
              <w:t xml:space="preserve"> carried forwards</w:t>
            </w:r>
          </w:p>
        </w:tc>
        <w:tc>
          <w:tcPr>
            <w:tcW w:w="1063" w:type="dxa"/>
            <w:tcBorders>
              <w:top w:val="nil"/>
              <w:left w:val="nil"/>
              <w:bottom w:val="nil"/>
              <w:right w:val="nil"/>
            </w:tcBorders>
            <w:shd w:val="clear" w:color="auto" w:fill="auto"/>
          </w:tcPr>
          <w:p w:rsidR="00F67BAF" w:rsidRPr="00F67BAF" w:rsidRDefault="00A00554" w:rsidP="00724E33">
            <w:pPr>
              <w:jc w:val="right"/>
              <w:rPr>
                <w:sz w:val="18"/>
                <w:szCs w:val="18"/>
              </w:rPr>
            </w:pPr>
            <w:r>
              <w:rPr>
                <w:sz w:val="18"/>
                <w:szCs w:val="18"/>
              </w:rPr>
              <w:t>7,</w:t>
            </w:r>
            <w:r w:rsidR="008418E6">
              <w:rPr>
                <w:sz w:val="18"/>
                <w:szCs w:val="18"/>
              </w:rPr>
              <w:t>899</w:t>
            </w:r>
          </w:p>
        </w:tc>
        <w:tc>
          <w:tcPr>
            <w:tcW w:w="1205" w:type="dxa"/>
            <w:tcBorders>
              <w:top w:val="nil"/>
              <w:left w:val="nil"/>
              <w:bottom w:val="nil"/>
              <w:right w:val="nil"/>
            </w:tcBorders>
            <w:shd w:val="clear" w:color="auto" w:fill="auto"/>
          </w:tcPr>
          <w:p w:rsidR="00F67BAF" w:rsidRPr="00F67BAF" w:rsidRDefault="00A00554" w:rsidP="00727BB2">
            <w:pPr>
              <w:jc w:val="right"/>
              <w:rPr>
                <w:sz w:val="18"/>
                <w:szCs w:val="18"/>
              </w:rPr>
            </w:pPr>
            <w:r>
              <w:rPr>
                <w:sz w:val="18"/>
                <w:szCs w:val="18"/>
              </w:rPr>
              <w:t>7,88</w:t>
            </w:r>
            <w:r w:rsidR="00727BB2">
              <w:rPr>
                <w:sz w:val="18"/>
                <w:szCs w:val="18"/>
              </w:rPr>
              <w:t>4</w:t>
            </w:r>
          </w:p>
        </w:tc>
        <w:tc>
          <w:tcPr>
            <w:tcW w:w="1064" w:type="dxa"/>
            <w:tcBorders>
              <w:top w:val="nil"/>
              <w:left w:val="nil"/>
              <w:bottom w:val="nil"/>
              <w:right w:val="nil"/>
            </w:tcBorders>
          </w:tcPr>
          <w:p w:rsidR="00F67BAF" w:rsidRPr="00A00554" w:rsidRDefault="00A00554" w:rsidP="00724E33">
            <w:pPr>
              <w:jc w:val="right"/>
              <w:rPr>
                <w:sz w:val="18"/>
                <w:szCs w:val="18"/>
              </w:rPr>
            </w:pPr>
            <w:r w:rsidRPr="00A00554">
              <w:rPr>
                <w:sz w:val="18"/>
                <w:szCs w:val="18"/>
              </w:rPr>
              <w:t>15,</w:t>
            </w:r>
            <w:r w:rsidR="008418E6">
              <w:rPr>
                <w:sz w:val="18"/>
                <w:szCs w:val="18"/>
              </w:rPr>
              <w:t>783</w:t>
            </w:r>
          </w:p>
        </w:tc>
        <w:tc>
          <w:tcPr>
            <w:tcW w:w="1063" w:type="dxa"/>
            <w:tcBorders>
              <w:top w:val="nil"/>
              <w:left w:val="nil"/>
              <w:bottom w:val="nil"/>
              <w:right w:val="nil"/>
            </w:tcBorders>
            <w:shd w:val="clear" w:color="auto" w:fill="auto"/>
          </w:tcPr>
          <w:p w:rsidR="00F67BAF" w:rsidRPr="00A00554" w:rsidRDefault="00A00554" w:rsidP="006105F5">
            <w:pPr>
              <w:jc w:val="right"/>
              <w:rPr>
                <w:sz w:val="18"/>
                <w:szCs w:val="18"/>
              </w:rPr>
            </w:pPr>
            <w:r w:rsidRPr="00A00554">
              <w:rPr>
                <w:sz w:val="18"/>
                <w:szCs w:val="18"/>
              </w:rPr>
              <w:t>17,745</w:t>
            </w:r>
          </w:p>
        </w:tc>
        <w:tc>
          <w:tcPr>
            <w:tcW w:w="1063" w:type="dxa"/>
            <w:tcBorders>
              <w:top w:val="nil"/>
              <w:left w:val="nil"/>
              <w:bottom w:val="nil"/>
              <w:right w:val="nil"/>
            </w:tcBorders>
          </w:tcPr>
          <w:p w:rsidR="00F67BAF" w:rsidRPr="00A00554" w:rsidRDefault="008418E6" w:rsidP="00D72DD9">
            <w:pPr>
              <w:jc w:val="right"/>
              <w:rPr>
                <w:sz w:val="18"/>
                <w:szCs w:val="18"/>
              </w:rPr>
            </w:pPr>
            <w:r>
              <w:rPr>
                <w:sz w:val="18"/>
                <w:szCs w:val="18"/>
              </w:rPr>
              <w:t>121</w:t>
            </w:r>
          </w:p>
        </w:tc>
        <w:tc>
          <w:tcPr>
            <w:tcW w:w="1064" w:type="dxa"/>
            <w:tcBorders>
              <w:top w:val="nil"/>
              <w:left w:val="nil"/>
              <w:bottom w:val="nil"/>
              <w:right w:val="nil"/>
            </w:tcBorders>
            <w:shd w:val="clear" w:color="auto" w:fill="auto"/>
          </w:tcPr>
          <w:p w:rsidR="00F67BAF" w:rsidRPr="00A00554" w:rsidRDefault="00A00554" w:rsidP="00D72DD9">
            <w:pPr>
              <w:jc w:val="right"/>
              <w:rPr>
                <w:sz w:val="18"/>
                <w:szCs w:val="18"/>
              </w:rPr>
            </w:pPr>
            <w:r w:rsidRPr="00A00554">
              <w:rPr>
                <w:sz w:val="18"/>
                <w:szCs w:val="18"/>
              </w:rPr>
              <w:t>1,582</w:t>
            </w:r>
          </w:p>
        </w:tc>
        <w:tc>
          <w:tcPr>
            <w:tcW w:w="1063" w:type="dxa"/>
            <w:tcBorders>
              <w:top w:val="nil"/>
              <w:left w:val="nil"/>
              <w:bottom w:val="nil"/>
              <w:right w:val="nil"/>
            </w:tcBorders>
            <w:shd w:val="clear" w:color="auto" w:fill="auto"/>
          </w:tcPr>
          <w:p w:rsidR="00F67BAF" w:rsidRPr="00F67BAF" w:rsidRDefault="00A00554" w:rsidP="00724E33">
            <w:pPr>
              <w:jc w:val="right"/>
              <w:rPr>
                <w:sz w:val="18"/>
                <w:szCs w:val="18"/>
              </w:rPr>
            </w:pPr>
            <w:r>
              <w:rPr>
                <w:sz w:val="18"/>
                <w:szCs w:val="18"/>
              </w:rPr>
              <w:t>35,</w:t>
            </w:r>
            <w:r w:rsidR="008418E6">
              <w:rPr>
                <w:sz w:val="18"/>
                <w:szCs w:val="18"/>
              </w:rPr>
              <w:t>230</w:t>
            </w:r>
          </w:p>
        </w:tc>
        <w:tc>
          <w:tcPr>
            <w:tcW w:w="1063" w:type="dxa"/>
            <w:tcBorders>
              <w:top w:val="nil"/>
              <w:left w:val="nil"/>
              <w:bottom w:val="nil"/>
              <w:right w:val="nil"/>
            </w:tcBorders>
            <w:shd w:val="clear" w:color="auto" w:fill="auto"/>
          </w:tcPr>
          <w:p w:rsidR="00F67BAF" w:rsidRPr="00F67BAF" w:rsidRDefault="00A00554" w:rsidP="00CA025A">
            <w:pPr>
              <w:jc w:val="right"/>
              <w:rPr>
                <w:sz w:val="18"/>
                <w:szCs w:val="18"/>
              </w:rPr>
            </w:pPr>
            <w:r>
              <w:rPr>
                <w:sz w:val="18"/>
                <w:szCs w:val="18"/>
              </w:rPr>
              <w:t>(720,</w:t>
            </w:r>
            <w:r w:rsidR="008418E6">
              <w:rPr>
                <w:sz w:val="18"/>
                <w:szCs w:val="18"/>
              </w:rPr>
              <w:t>870</w:t>
            </w:r>
            <w:r>
              <w:rPr>
                <w:sz w:val="18"/>
                <w:szCs w:val="18"/>
              </w:rPr>
              <w:t>)</w:t>
            </w:r>
          </w:p>
        </w:tc>
        <w:tc>
          <w:tcPr>
            <w:tcW w:w="1064" w:type="dxa"/>
            <w:tcBorders>
              <w:top w:val="nil"/>
              <w:left w:val="nil"/>
              <w:bottom w:val="nil"/>
              <w:right w:val="nil"/>
            </w:tcBorders>
            <w:shd w:val="clear" w:color="auto" w:fill="auto"/>
          </w:tcPr>
          <w:p w:rsidR="00F67BAF" w:rsidRPr="00F67BAF" w:rsidRDefault="00A00554" w:rsidP="00CA025A">
            <w:pPr>
              <w:jc w:val="right"/>
              <w:rPr>
                <w:sz w:val="18"/>
                <w:szCs w:val="18"/>
              </w:rPr>
            </w:pPr>
            <w:r>
              <w:rPr>
                <w:sz w:val="18"/>
                <w:szCs w:val="18"/>
              </w:rPr>
              <w:t>(685,</w:t>
            </w:r>
            <w:r w:rsidR="008418E6">
              <w:rPr>
                <w:sz w:val="18"/>
                <w:szCs w:val="18"/>
              </w:rPr>
              <w:t>640</w:t>
            </w:r>
            <w:r>
              <w:rPr>
                <w:sz w:val="18"/>
                <w:szCs w:val="18"/>
              </w:rPr>
              <w:t>)</w:t>
            </w:r>
          </w:p>
        </w:tc>
      </w:tr>
    </w:tbl>
    <w:p w:rsidR="003D7559" w:rsidRDefault="00BC0AFA" w:rsidP="003D7559">
      <w:pPr>
        <w:tabs>
          <w:tab w:val="left" w:pos="720"/>
          <w:tab w:val="right" w:pos="5760"/>
        </w:tabs>
        <w:jc w:val="center"/>
        <w:rPr>
          <w:b/>
          <w:sz w:val="22"/>
        </w:rPr>
      </w:pPr>
      <w:r>
        <w:rPr>
          <w:b/>
          <w:sz w:val="22"/>
        </w:rPr>
        <w:br w:type="page"/>
      </w:r>
      <w:r w:rsidR="00D90216">
        <w:rPr>
          <w:b/>
          <w:sz w:val="22"/>
        </w:rPr>
        <w:lastRenderedPageBreak/>
        <w:t>MOVEMENT IN RESERVES</w:t>
      </w:r>
      <w:r w:rsidR="00D90216" w:rsidRPr="009B114A">
        <w:rPr>
          <w:b/>
          <w:sz w:val="22"/>
        </w:rPr>
        <w:t xml:space="preserve"> </w:t>
      </w:r>
      <w:r w:rsidR="00D90216">
        <w:rPr>
          <w:b/>
          <w:sz w:val="22"/>
        </w:rPr>
        <w:t>STATEMENT</w:t>
      </w:r>
      <w:r w:rsidR="00E61469">
        <w:rPr>
          <w:b/>
          <w:sz w:val="22"/>
        </w:rPr>
        <w:t xml:space="preserve"> 201</w:t>
      </w:r>
      <w:r w:rsidR="007077EF">
        <w:rPr>
          <w:b/>
          <w:sz w:val="22"/>
        </w:rPr>
        <w:t>6</w:t>
      </w:r>
      <w:r w:rsidR="00547700">
        <w:rPr>
          <w:b/>
          <w:sz w:val="22"/>
        </w:rPr>
        <w:t>/1</w:t>
      </w:r>
      <w:r w:rsidR="007077EF">
        <w:rPr>
          <w:b/>
          <w:sz w:val="22"/>
        </w:rPr>
        <w:t>7</w:t>
      </w:r>
      <w:r w:rsidR="001645D6">
        <w:rPr>
          <w:b/>
          <w:sz w:val="22"/>
        </w:rPr>
        <w:t xml:space="preserve"> – as restated</w:t>
      </w:r>
    </w:p>
    <w:p w:rsidR="002B2AE5" w:rsidRDefault="002B2AE5" w:rsidP="003D7559">
      <w:pPr>
        <w:tabs>
          <w:tab w:val="left" w:pos="720"/>
          <w:tab w:val="right" w:pos="5760"/>
        </w:tabs>
        <w:jc w:val="center"/>
        <w:rPr>
          <w:b/>
          <w:sz w:val="22"/>
        </w:rPr>
      </w:pPr>
    </w:p>
    <w:tbl>
      <w:tblPr>
        <w:tblW w:w="15916" w:type="dxa"/>
        <w:tblLayout w:type="fixed"/>
        <w:tblLook w:val="01E0" w:firstRow="1" w:lastRow="1" w:firstColumn="1" w:lastColumn="1" w:noHBand="0" w:noVBand="0"/>
      </w:tblPr>
      <w:tblGrid>
        <w:gridCol w:w="6204"/>
        <w:gridCol w:w="1063"/>
        <w:gridCol w:w="1205"/>
        <w:gridCol w:w="1064"/>
        <w:gridCol w:w="1063"/>
        <w:gridCol w:w="1063"/>
        <w:gridCol w:w="1064"/>
        <w:gridCol w:w="1063"/>
        <w:gridCol w:w="1063"/>
        <w:gridCol w:w="1064"/>
      </w:tblGrid>
      <w:tr w:rsidR="007077EF" w:rsidRPr="00F67BAF" w:rsidTr="00296A09">
        <w:tc>
          <w:tcPr>
            <w:tcW w:w="6204" w:type="dxa"/>
            <w:shd w:val="clear" w:color="auto" w:fill="auto"/>
          </w:tcPr>
          <w:p w:rsidR="007077EF" w:rsidRPr="00F67BAF" w:rsidRDefault="007077EF" w:rsidP="00296A09">
            <w:pPr>
              <w:jc w:val="both"/>
              <w:rPr>
                <w:sz w:val="18"/>
                <w:szCs w:val="18"/>
              </w:rPr>
            </w:pPr>
          </w:p>
        </w:tc>
        <w:tc>
          <w:tcPr>
            <w:tcW w:w="1063" w:type="dxa"/>
            <w:shd w:val="clear" w:color="auto" w:fill="auto"/>
          </w:tcPr>
          <w:p w:rsidR="007077EF" w:rsidRPr="00F67BAF" w:rsidRDefault="007077EF" w:rsidP="00296A09">
            <w:pPr>
              <w:jc w:val="right"/>
              <w:rPr>
                <w:sz w:val="18"/>
                <w:szCs w:val="18"/>
              </w:rPr>
            </w:pPr>
            <w:r w:rsidRPr="00F67BAF">
              <w:rPr>
                <w:sz w:val="18"/>
                <w:szCs w:val="18"/>
              </w:rPr>
              <w:t xml:space="preserve">General fund </w:t>
            </w:r>
          </w:p>
        </w:tc>
        <w:tc>
          <w:tcPr>
            <w:tcW w:w="1205" w:type="dxa"/>
            <w:shd w:val="clear" w:color="auto" w:fill="auto"/>
          </w:tcPr>
          <w:p w:rsidR="007077EF" w:rsidRPr="00F67BAF" w:rsidRDefault="007077EF" w:rsidP="00296A09">
            <w:pPr>
              <w:jc w:val="right"/>
              <w:rPr>
                <w:sz w:val="18"/>
                <w:szCs w:val="18"/>
              </w:rPr>
            </w:pPr>
            <w:r w:rsidRPr="00F67BAF">
              <w:rPr>
                <w:sz w:val="18"/>
                <w:szCs w:val="18"/>
              </w:rPr>
              <w:t>Earmarked reserves</w:t>
            </w:r>
          </w:p>
        </w:tc>
        <w:tc>
          <w:tcPr>
            <w:tcW w:w="1064" w:type="dxa"/>
          </w:tcPr>
          <w:p w:rsidR="007077EF" w:rsidRPr="00F67BAF" w:rsidRDefault="007077EF" w:rsidP="00296A09">
            <w:pPr>
              <w:jc w:val="right"/>
              <w:rPr>
                <w:sz w:val="18"/>
                <w:szCs w:val="18"/>
              </w:rPr>
            </w:pPr>
            <w:r>
              <w:rPr>
                <w:sz w:val="18"/>
                <w:szCs w:val="18"/>
              </w:rPr>
              <w:t>Total General Fund Balance</w:t>
            </w:r>
          </w:p>
        </w:tc>
        <w:tc>
          <w:tcPr>
            <w:tcW w:w="1063" w:type="dxa"/>
            <w:shd w:val="clear" w:color="auto" w:fill="auto"/>
          </w:tcPr>
          <w:p w:rsidR="007077EF" w:rsidRPr="00F67BAF" w:rsidRDefault="007077EF" w:rsidP="00296A09">
            <w:pPr>
              <w:jc w:val="right"/>
              <w:rPr>
                <w:sz w:val="18"/>
                <w:szCs w:val="18"/>
              </w:rPr>
            </w:pPr>
            <w:r w:rsidRPr="00F67BAF">
              <w:rPr>
                <w:sz w:val="18"/>
                <w:szCs w:val="18"/>
              </w:rPr>
              <w:t>Capital funding reserve</w:t>
            </w:r>
          </w:p>
        </w:tc>
        <w:tc>
          <w:tcPr>
            <w:tcW w:w="1063" w:type="dxa"/>
          </w:tcPr>
          <w:p w:rsidR="007077EF" w:rsidRPr="00F67BAF" w:rsidRDefault="007077EF" w:rsidP="00296A09">
            <w:pPr>
              <w:jc w:val="right"/>
              <w:rPr>
                <w:sz w:val="18"/>
                <w:szCs w:val="18"/>
              </w:rPr>
            </w:pPr>
            <w:r w:rsidRPr="00F67BAF">
              <w:rPr>
                <w:sz w:val="18"/>
                <w:szCs w:val="18"/>
              </w:rPr>
              <w:t>Capital grant unapplied reserve</w:t>
            </w:r>
          </w:p>
        </w:tc>
        <w:tc>
          <w:tcPr>
            <w:tcW w:w="1064" w:type="dxa"/>
            <w:shd w:val="clear" w:color="auto" w:fill="auto"/>
          </w:tcPr>
          <w:p w:rsidR="007077EF" w:rsidRPr="00F67BAF" w:rsidRDefault="007077EF" w:rsidP="00296A09">
            <w:pPr>
              <w:jc w:val="right"/>
              <w:rPr>
                <w:sz w:val="18"/>
                <w:szCs w:val="18"/>
              </w:rPr>
            </w:pPr>
            <w:r w:rsidRPr="00F67BAF">
              <w:rPr>
                <w:sz w:val="18"/>
                <w:szCs w:val="18"/>
              </w:rPr>
              <w:t>Capital receipts reserve</w:t>
            </w:r>
          </w:p>
        </w:tc>
        <w:tc>
          <w:tcPr>
            <w:tcW w:w="1063" w:type="dxa"/>
            <w:shd w:val="clear" w:color="auto" w:fill="auto"/>
          </w:tcPr>
          <w:p w:rsidR="007077EF" w:rsidRPr="00F67BAF" w:rsidRDefault="007077EF" w:rsidP="00296A09">
            <w:pPr>
              <w:jc w:val="right"/>
              <w:rPr>
                <w:sz w:val="18"/>
                <w:szCs w:val="18"/>
              </w:rPr>
            </w:pPr>
            <w:r w:rsidRPr="00F67BAF">
              <w:rPr>
                <w:sz w:val="18"/>
                <w:szCs w:val="18"/>
              </w:rPr>
              <w:t>Total usable reserves</w:t>
            </w:r>
          </w:p>
        </w:tc>
        <w:tc>
          <w:tcPr>
            <w:tcW w:w="1063" w:type="dxa"/>
            <w:shd w:val="clear" w:color="auto" w:fill="auto"/>
          </w:tcPr>
          <w:p w:rsidR="007077EF" w:rsidRPr="00F67BAF" w:rsidRDefault="007077EF" w:rsidP="00296A09">
            <w:pPr>
              <w:jc w:val="right"/>
              <w:rPr>
                <w:sz w:val="18"/>
                <w:szCs w:val="18"/>
              </w:rPr>
            </w:pPr>
            <w:r w:rsidRPr="00F67BAF">
              <w:rPr>
                <w:sz w:val="18"/>
                <w:szCs w:val="18"/>
              </w:rPr>
              <w:t>Unusable reserves</w:t>
            </w:r>
          </w:p>
        </w:tc>
        <w:tc>
          <w:tcPr>
            <w:tcW w:w="1064" w:type="dxa"/>
            <w:shd w:val="clear" w:color="auto" w:fill="auto"/>
          </w:tcPr>
          <w:p w:rsidR="007077EF" w:rsidRPr="00F67BAF" w:rsidRDefault="007077EF" w:rsidP="00296A09">
            <w:pPr>
              <w:jc w:val="right"/>
              <w:rPr>
                <w:sz w:val="18"/>
                <w:szCs w:val="18"/>
              </w:rPr>
            </w:pPr>
            <w:r w:rsidRPr="00F67BAF">
              <w:rPr>
                <w:sz w:val="18"/>
                <w:szCs w:val="18"/>
              </w:rPr>
              <w:t>Total Authority reserves</w:t>
            </w:r>
          </w:p>
        </w:tc>
      </w:tr>
      <w:tr w:rsidR="007077EF" w:rsidRPr="00F67BAF" w:rsidTr="00296A09">
        <w:tc>
          <w:tcPr>
            <w:tcW w:w="6204" w:type="dxa"/>
            <w:shd w:val="clear" w:color="auto" w:fill="auto"/>
          </w:tcPr>
          <w:p w:rsidR="007077EF" w:rsidRPr="00F67BAF" w:rsidRDefault="007077EF" w:rsidP="00296A09">
            <w:pPr>
              <w:jc w:val="both"/>
              <w:rPr>
                <w:sz w:val="18"/>
                <w:szCs w:val="18"/>
              </w:rPr>
            </w:pPr>
          </w:p>
        </w:tc>
        <w:tc>
          <w:tcPr>
            <w:tcW w:w="1063" w:type="dxa"/>
            <w:shd w:val="clear" w:color="auto" w:fill="auto"/>
          </w:tcPr>
          <w:p w:rsidR="007077EF" w:rsidRPr="00F67BAF" w:rsidRDefault="007077EF" w:rsidP="00296A09">
            <w:pPr>
              <w:jc w:val="center"/>
              <w:rPr>
                <w:sz w:val="18"/>
                <w:szCs w:val="18"/>
              </w:rPr>
            </w:pPr>
            <w:r w:rsidRPr="00F67BAF">
              <w:rPr>
                <w:sz w:val="18"/>
                <w:szCs w:val="18"/>
              </w:rPr>
              <w:t>£000</w:t>
            </w:r>
          </w:p>
        </w:tc>
        <w:tc>
          <w:tcPr>
            <w:tcW w:w="1205" w:type="dxa"/>
            <w:shd w:val="clear" w:color="auto" w:fill="auto"/>
          </w:tcPr>
          <w:p w:rsidR="007077EF" w:rsidRPr="00F67BAF" w:rsidRDefault="007077EF" w:rsidP="00296A09">
            <w:pPr>
              <w:jc w:val="center"/>
              <w:rPr>
                <w:sz w:val="18"/>
                <w:szCs w:val="18"/>
              </w:rPr>
            </w:pPr>
            <w:r w:rsidRPr="00F67BAF">
              <w:rPr>
                <w:sz w:val="18"/>
                <w:szCs w:val="18"/>
              </w:rPr>
              <w:t>£000</w:t>
            </w:r>
          </w:p>
        </w:tc>
        <w:tc>
          <w:tcPr>
            <w:tcW w:w="1064" w:type="dxa"/>
          </w:tcPr>
          <w:p w:rsidR="007077EF" w:rsidRPr="00F67BAF" w:rsidRDefault="007077EF" w:rsidP="00296A09">
            <w:pPr>
              <w:jc w:val="center"/>
              <w:rPr>
                <w:sz w:val="18"/>
                <w:szCs w:val="18"/>
              </w:rPr>
            </w:pPr>
            <w:r w:rsidRPr="00F67BAF">
              <w:rPr>
                <w:sz w:val="18"/>
                <w:szCs w:val="18"/>
              </w:rPr>
              <w:t>£000</w:t>
            </w:r>
          </w:p>
        </w:tc>
        <w:tc>
          <w:tcPr>
            <w:tcW w:w="1063" w:type="dxa"/>
            <w:shd w:val="clear" w:color="auto" w:fill="auto"/>
          </w:tcPr>
          <w:p w:rsidR="007077EF" w:rsidRPr="00F67BAF" w:rsidRDefault="007077EF" w:rsidP="00296A09">
            <w:pPr>
              <w:jc w:val="center"/>
              <w:rPr>
                <w:sz w:val="18"/>
                <w:szCs w:val="18"/>
              </w:rPr>
            </w:pPr>
            <w:r w:rsidRPr="00F67BAF">
              <w:rPr>
                <w:sz w:val="18"/>
                <w:szCs w:val="18"/>
              </w:rPr>
              <w:t>£000</w:t>
            </w:r>
          </w:p>
        </w:tc>
        <w:tc>
          <w:tcPr>
            <w:tcW w:w="1063" w:type="dxa"/>
          </w:tcPr>
          <w:p w:rsidR="007077EF" w:rsidRPr="00F67BAF" w:rsidRDefault="007077EF" w:rsidP="00296A09">
            <w:pPr>
              <w:jc w:val="center"/>
              <w:rPr>
                <w:sz w:val="18"/>
                <w:szCs w:val="18"/>
              </w:rPr>
            </w:pPr>
            <w:r w:rsidRPr="00F67BAF">
              <w:rPr>
                <w:sz w:val="18"/>
                <w:szCs w:val="18"/>
              </w:rPr>
              <w:t>£000</w:t>
            </w:r>
          </w:p>
        </w:tc>
        <w:tc>
          <w:tcPr>
            <w:tcW w:w="1064" w:type="dxa"/>
            <w:shd w:val="clear" w:color="auto" w:fill="auto"/>
          </w:tcPr>
          <w:p w:rsidR="007077EF" w:rsidRPr="00F67BAF" w:rsidRDefault="007077EF" w:rsidP="00296A09">
            <w:pPr>
              <w:jc w:val="center"/>
              <w:rPr>
                <w:sz w:val="18"/>
                <w:szCs w:val="18"/>
              </w:rPr>
            </w:pPr>
            <w:r w:rsidRPr="00F67BAF">
              <w:rPr>
                <w:sz w:val="18"/>
                <w:szCs w:val="18"/>
              </w:rPr>
              <w:t>£000</w:t>
            </w:r>
          </w:p>
        </w:tc>
        <w:tc>
          <w:tcPr>
            <w:tcW w:w="1063" w:type="dxa"/>
            <w:shd w:val="clear" w:color="auto" w:fill="auto"/>
          </w:tcPr>
          <w:p w:rsidR="007077EF" w:rsidRPr="00F67BAF" w:rsidRDefault="007077EF" w:rsidP="00296A09">
            <w:pPr>
              <w:jc w:val="center"/>
              <w:rPr>
                <w:sz w:val="18"/>
                <w:szCs w:val="18"/>
              </w:rPr>
            </w:pPr>
            <w:r w:rsidRPr="00F67BAF">
              <w:rPr>
                <w:sz w:val="18"/>
                <w:szCs w:val="18"/>
              </w:rPr>
              <w:t>£000</w:t>
            </w:r>
          </w:p>
        </w:tc>
        <w:tc>
          <w:tcPr>
            <w:tcW w:w="1063" w:type="dxa"/>
            <w:shd w:val="clear" w:color="auto" w:fill="auto"/>
          </w:tcPr>
          <w:p w:rsidR="007077EF" w:rsidRPr="00F67BAF" w:rsidRDefault="007077EF" w:rsidP="00296A09">
            <w:pPr>
              <w:jc w:val="center"/>
              <w:rPr>
                <w:sz w:val="18"/>
                <w:szCs w:val="18"/>
              </w:rPr>
            </w:pPr>
            <w:r w:rsidRPr="00F67BAF">
              <w:rPr>
                <w:sz w:val="18"/>
                <w:szCs w:val="18"/>
              </w:rPr>
              <w:t>£000</w:t>
            </w:r>
          </w:p>
        </w:tc>
        <w:tc>
          <w:tcPr>
            <w:tcW w:w="1064" w:type="dxa"/>
            <w:shd w:val="clear" w:color="auto" w:fill="auto"/>
          </w:tcPr>
          <w:p w:rsidR="007077EF" w:rsidRPr="00F67BAF" w:rsidRDefault="007077EF" w:rsidP="00296A09">
            <w:pPr>
              <w:jc w:val="center"/>
              <w:rPr>
                <w:sz w:val="18"/>
                <w:szCs w:val="18"/>
              </w:rPr>
            </w:pPr>
            <w:r w:rsidRPr="00F67BAF">
              <w:rPr>
                <w:sz w:val="18"/>
                <w:szCs w:val="18"/>
              </w:rPr>
              <w:t>£000</w:t>
            </w:r>
          </w:p>
        </w:tc>
      </w:tr>
      <w:tr w:rsidR="007077EF" w:rsidRPr="00F67BAF" w:rsidTr="00296A09">
        <w:tc>
          <w:tcPr>
            <w:tcW w:w="6204" w:type="dxa"/>
            <w:shd w:val="clear" w:color="auto" w:fill="auto"/>
          </w:tcPr>
          <w:p w:rsidR="007077EF" w:rsidRPr="00F67BAF" w:rsidRDefault="007077EF" w:rsidP="00296A09">
            <w:pPr>
              <w:jc w:val="both"/>
              <w:rPr>
                <w:sz w:val="18"/>
                <w:szCs w:val="18"/>
              </w:rPr>
            </w:pPr>
          </w:p>
        </w:tc>
        <w:tc>
          <w:tcPr>
            <w:tcW w:w="1063" w:type="dxa"/>
            <w:shd w:val="clear" w:color="auto" w:fill="auto"/>
          </w:tcPr>
          <w:p w:rsidR="007077EF" w:rsidRPr="00F67BAF" w:rsidRDefault="007077EF" w:rsidP="00296A09">
            <w:pPr>
              <w:jc w:val="right"/>
              <w:rPr>
                <w:sz w:val="18"/>
                <w:szCs w:val="18"/>
              </w:rPr>
            </w:pPr>
          </w:p>
        </w:tc>
        <w:tc>
          <w:tcPr>
            <w:tcW w:w="1205" w:type="dxa"/>
            <w:shd w:val="clear" w:color="auto" w:fill="auto"/>
          </w:tcPr>
          <w:p w:rsidR="007077EF" w:rsidRPr="00F67BAF" w:rsidRDefault="007077EF" w:rsidP="00296A09">
            <w:pPr>
              <w:jc w:val="right"/>
              <w:rPr>
                <w:sz w:val="18"/>
                <w:szCs w:val="18"/>
              </w:rPr>
            </w:pPr>
          </w:p>
        </w:tc>
        <w:tc>
          <w:tcPr>
            <w:tcW w:w="1064" w:type="dxa"/>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3" w:type="dxa"/>
          </w:tcPr>
          <w:p w:rsidR="007077EF" w:rsidRPr="00F67BAF" w:rsidRDefault="007077EF" w:rsidP="00296A09">
            <w:pPr>
              <w:jc w:val="right"/>
              <w:rPr>
                <w:sz w:val="18"/>
                <w:szCs w:val="18"/>
              </w:rPr>
            </w:pPr>
          </w:p>
        </w:tc>
        <w:tc>
          <w:tcPr>
            <w:tcW w:w="1064" w:type="dxa"/>
            <w:shd w:val="clear" w:color="auto" w:fill="auto"/>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4" w:type="dxa"/>
            <w:shd w:val="clear" w:color="auto" w:fill="auto"/>
          </w:tcPr>
          <w:p w:rsidR="007077EF" w:rsidRPr="00F67BAF" w:rsidRDefault="007077EF" w:rsidP="00296A09">
            <w:pPr>
              <w:jc w:val="right"/>
              <w:rPr>
                <w:sz w:val="18"/>
                <w:szCs w:val="18"/>
              </w:rPr>
            </w:pPr>
          </w:p>
        </w:tc>
      </w:tr>
      <w:tr w:rsidR="007077EF" w:rsidRPr="00F67BAF" w:rsidTr="00296A09">
        <w:tc>
          <w:tcPr>
            <w:tcW w:w="6204" w:type="dxa"/>
            <w:shd w:val="clear" w:color="auto" w:fill="auto"/>
          </w:tcPr>
          <w:p w:rsidR="007077EF" w:rsidRPr="00F67BAF" w:rsidRDefault="007077EF" w:rsidP="00296A09">
            <w:pPr>
              <w:jc w:val="both"/>
              <w:rPr>
                <w:sz w:val="18"/>
                <w:szCs w:val="18"/>
              </w:rPr>
            </w:pPr>
            <w:r w:rsidRPr="00F67BAF">
              <w:rPr>
                <w:sz w:val="18"/>
                <w:szCs w:val="18"/>
              </w:rPr>
              <w:t>Balance at 31 March 2016 carried forwards</w:t>
            </w:r>
            <w:r w:rsidR="001645D6">
              <w:rPr>
                <w:sz w:val="18"/>
                <w:szCs w:val="18"/>
              </w:rPr>
              <w:t xml:space="preserve"> as restated</w:t>
            </w:r>
          </w:p>
        </w:tc>
        <w:tc>
          <w:tcPr>
            <w:tcW w:w="1063" w:type="dxa"/>
            <w:shd w:val="clear" w:color="auto" w:fill="auto"/>
          </w:tcPr>
          <w:p w:rsidR="007077EF" w:rsidRPr="00F67BAF" w:rsidRDefault="007077EF" w:rsidP="001645D6">
            <w:pPr>
              <w:jc w:val="right"/>
              <w:rPr>
                <w:sz w:val="18"/>
                <w:szCs w:val="18"/>
              </w:rPr>
            </w:pPr>
            <w:r w:rsidRPr="00F67BAF">
              <w:rPr>
                <w:sz w:val="18"/>
                <w:szCs w:val="18"/>
              </w:rPr>
              <w:t>10,</w:t>
            </w:r>
            <w:r w:rsidR="001645D6">
              <w:rPr>
                <w:sz w:val="18"/>
                <w:szCs w:val="18"/>
              </w:rPr>
              <w:t>246</w:t>
            </w:r>
          </w:p>
        </w:tc>
        <w:tc>
          <w:tcPr>
            <w:tcW w:w="1205" w:type="dxa"/>
            <w:shd w:val="clear" w:color="auto" w:fill="auto"/>
          </w:tcPr>
          <w:p w:rsidR="007077EF" w:rsidRPr="00F67BAF" w:rsidRDefault="007077EF" w:rsidP="00296A09">
            <w:pPr>
              <w:jc w:val="right"/>
              <w:rPr>
                <w:sz w:val="18"/>
                <w:szCs w:val="18"/>
              </w:rPr>
            </w:pPr>
            <w:r w:rsidRPr="00F67BAF">
              <w:rPr>
                <w:sz w:val="18"/>
                <w:szCs w:val="18"/>
              </w:rPr>
              <w:t>9,518</w:t>
            </w:r>
          </w:p>
        </w:tc>
        <w:tc>
          <w:tcPr>
            <w:tcW w:w="1064" w:type="dxa"/>
          </w:tcPr>
          <w:p w:rsidR="007077EF" w:rsidRPr="00F67BAF" w:rsidRDefault="007077EF" w:rsidP="001645D6">
            <w:pPr>
              <w:jc w:val="right"/>
              <w:rPr>
                <w:sz w:val="18"/>
                <w:szCs w:val="18"/>
              </w:rPr>
            </w:pPr>
            <w:r>
              <w:rPr>
                <w:sz w:val="18"/>
                <w:szCs w:val="18"/>
              </w:rPr>
              <w:t>19,</w:t>
            </w:r>
            <w:r w:rsidR="001645D6">
              <w:rPr>
                <w:sz w:val="18"/>
                <w:szCs w:val="18"/>
              </w:rPr>
              <w:t>764</w:t>
            </w:r>
          </w:p>
        </w:tc>
        <w:tc>
          <w:tcPr>
            <w:tcW w:w="1063" w:type="dxa"/>
            <w:shd w:val="clear" w:color="auto" w:fill="auto"/>
          </w:tcPr>
          <w:p w:rsidR="007077EF" w:rsidRPr="00F67BAF" w:rsidRDefault="007077EF" w:rsidP="00296A09">
            <w:pPr>
              <w:jc w:val="right"/>
              <w:rPr>
                <w:sz w:val="18"/>
                <w:szCs w:val="18"/>
              </w:rPr>
            </w:pPr>
            <w:r w:rsidRPr="00F67BAF">
              <w:rPr>
                <w:sz w:val="18"/>
                <w:szCs w:val="18"/>
              </w:rPr>
              <w:t>10,284</w:t>
            </w:r>
          </w:p>
        </w:tc>
        <w:tc>
          <w:tcPr>
            <w:tcW w:w="1063" w:type="dxa"/>
          </w:tcPr>
          <w:p w:rsidR="007077EF" w:rsidRPr="00F67BAF" w:rsidRDefault="001645D6" w:rsidP="00296A09">
            <w:pPr>
              <w:jc w:val="right"/>
              <w:rPr>
                <w:sz w:val="18"/>
                <w:szCs w:val="18"/>
              </w:rPr>
            </w:pPr>
            <w:r>
              <w:rPr>
                <w:sz w:val="18"/>
                <w:szCs w:val="18"/>
              </w:rPr>
              <w:t>3,171</w:t>
            </w:r>
          </w:p>
        </w:tc>
        <w:tc>
          <w:tcPr>
            <w:tcW w:w="1064" w:type="dxa"/>
            <w:shd w:val="clear" w:color="auto" w:fill="auto"/>
          </w:tcPr>
          <w:p w:rsidR="007077EF" w:rsidRPr="00F67BAF" w:rsidRDefault="007077EF" w:rsidP="00296A09">
            <w:pPr>
              <w:jc w:val="right"/>
              <w:rPr>
                <w:sz w:val="18"/>
                <w:szCs w:val="18"/>
              </w:rPr>
            </w:pPr>
            <w:r w:rsidRPr="00F67BAF">
              <w:rPr>
                <w:sz w:val="18"/>
                <w:szCs w:val="18"/>
              </w:rPr>
              <w:t>1,501</w:t>
            </w:r>
          </w:p>
        </w:tc>
        <w:tc>
          <w:tcPr>
            <w:tcW w:w="1063" w:type="dxa"/>
            <w:shd w:val="clear" w:color="auto" w:fill="auto"/>
          </w:tcPr>
          <w:p w:rsidR="007077EF" w:rsidRPr="00F67BAF" w:rsidRDefault="001645D6" w:rsidP="001645D6">
            <w:pPr>
              <w:jc w:val="right"/>
              <w:rPr>
                <w:sz w:val="18"/>
                <w:szCs w:val="18"/>
              </w:rPr>
            </w:pPr>
            <w:r>
              <w:rPr>
                <w:sz w:val="18"/>
                <w:szCs w:val="18"/>
              </w:rPr>
              <w:t>34</w:t>
            </w:r>
            <w:r w:rsidR="007077EF" w:rsidRPr="00F67BAF">
              <w:rPr>
                <w:sz w:val="18"/>
                <w:szCs w:val="18"/>
              </w:rPr>
              <w:t>,</w:t>
            </w:r>
            <w:r>
              <w:rPr>
                <w:sz w:val="18"/>
                <w:szCs w:val="18"/>
              </w:rPr>
              <w:t>718</w:t>
            </w:r>
          </w:p>
        </w:tc>
        <w:tc>
          <w:tcPr>
            <w:tcW w:w="1063" w:type="dxa"/>
            <w:shd w:val="clear" w:color="auto" w:fill="auto"/>
          </w:tcPr>
          <w:p w:rsidR="007077EF" w:rsidRPr="00F67BAF" w:rsidRDefault="007077EF" w:rsidP="001645D6">
            <w:pPr>
              <w:jc w:val="right"/>
              <w:rPr>
                <w:sz w:val="18"/>
                <w:szCs w:val="18"/>
              </w:rPr>
            </w:pPr>
            <w:r w:rsidRPr="00F67BAF">
              <w:rPr>
                <w:sz w:val="18"/>
                <w:szCs w:val="18"/>
              </w:rPr>
              <w:t>(</w:t>
            </w:r>
            <w:r w:rsidR="001645D6">
              <w:rPr>
                <w:sz w:val="18"/>
                <w:szCs w:val="18"/>
              </w:rPr>
              <w:t>640</w:t>
            </w:r>
            <w:r w:rsidRPr="00F67BAF">
              <w:rPr>
                <w:sz w:val="18"/>
                <w:szCs w:val="18"/>
              </w:rPr>
              <w:t>,</w:t>
            </w:r>
            <w:r w:rsidR="001645D6">
              <w:rPr>
                <w:sz w:val="18"/>
                <w:szCs w:val="18"/>
              </w:rPr>
              <w:t>926</w:t>
            </w:r>
            <w:r w:rsidRPr="00F67BAF">
              <w:rPr>
                <w:sz w:val="18"/>
                <w:szCs w:val="18"/>
              </w:rPr>
              <w:t>)</w:t>
            </w:r>
          </w:p>
        </w:tc>
        <w:tc>
          <w:tcPr>
            <w:tcW w:w="1064" w:type="dxa"/>
            <w:shd w:val="clear" w:color="auto" w:fill="auto"/>
          </w:tcPr>
          <w:p w:rsidR="007077EF" w:rsidRPr="00F67BAF" w:rsidRDefault="007077EF" w:rsidP="001645D6">
            <w:pPr>
              <w:jc w:val="right"/>
              <w:rPr>
                <w:sz w:val="18"/>
                <w:szCs w:val="18"/>
              </w:rPr>
            </w:pPr>
            <w:r w:rsidRPr="00F67BAF">
              <w:rPr>
                <w:sz w:val="18"/>
                <w:szCs w:val="18"/>
              </w:rPr>
              <w:t>(571,</w:t>
            </w:r>
            <w:r w:rsidR="001645D6">
              <w:rPr>
                <w:sz w:val="18"/>
                <w:szCs w:val="18"/>
              </w:rPr>
              <w:t>490</w:t>
            </w:r>
            <w:r w:rsidRPr="00F67BAF">
              <w:rPr>
                <w:sz w:val="18"/>
                <w:szCs w:val="18"/>
              </w:rPr>
              <w:t>)</w:t>
            </w:r>
          </w:p>
        </w:tc>
      </w:tr>
      <w:tr w:rsidR="007077EF" w:rsidRPr="00F67BAF" w:rsidTr="00296A09">
        <w:tc>
          <w:tcPr>
            <w:tcW w:w="6204" w:type="dxa"/>
            <w:shd w:val="clear" w:color="auto" w:fill="auto"/>
          </w:tcPr>
          <w:p w:rsidR="007077EF" w:rsidRPr="00F67BAF" w:rsidRDefault="007077EF" w:rsidP="00296A09">
            <w:pPr>
              <w:jc w:val="both"/>
              <w:rPr>
                <w:sz w:val="18"/>
                <w:szCs w:val="18"/>
              </w:rPr>
            </w:pPr>
          </w:p>
        </w:tc>
        <w:tc>
          <w:tcPr>
            <w:tcW w:w="1063" w:type="dxa"/>
            <w:shd w:val="clear" w:color="auto" w:fill="auto"/>
          </w:tcPr>
          <w:p w:rsidR="007077EF" w:rsidRPr="00F67BAF" w:rsidRDefault="007077EF" w:rsidP="00296A09">
            <w:pPr>
              <w:jc w:val="right"/>
              <w:rPr>
                <w:sz w:val="18"/>
                <w:szCs w:val="18"/>
                <w:highlight w:val="yellow"/>
              </w:rPr>
            </w:pPr>
          </w:p>
        </w:tc>
        <w:tc>
          <w:tcPr>
            <w:tcW w:w="1205" w:type="dxa"/>
            <w:shd w:val="clear" w:color="auto" w:fill="auto"/>
          </w:tcPr>
          <w:p w:rsidR="007077EF" w:rsidRPr="00F67BAF" w:rsidRDefault="007077EF" w:rsidP="00296A09">
            <w:pPr>
              <w:jc w:val="right"/>
              <w:rPr>
                <w:sz w:val="18"/>
                <w:szCs w:val="18"/>
                <w:highlight w:val="yellow"/>
              </w:rPr>
            </w:pPr>
          </w:p>
        </w:tc>
        <w:tc>
          <w:tcPr>
            <w:tcW w:w="1064" w:type="dxa"/>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3" w:type="dxa"/>
          </w:tcPr>
          <w:p w:rsidR="007077EF" w:rsidRPr="00F67BAF" w:rsidRDefault="007077EF" w:rsidP="00296A09">
            <w:pPr>
              <w:jc w:val="right"/>
              <w:rPr>
                <w:sz w:val="18"/>
                <w:szCs w:val="18"/>
                <w:highlight w:val="yellow"/>
              </w:rPr>
            </w:pPr>
          </w:p>
        </w:tc>
        <w:tc>
          <w:tcPr>
            <w:tcW w:w="1064" w:type="dxa"/>
            <w:shd w:val="clear" w:color="auto" w:fill="auto"/>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4" w:type="dxa"/>
            <w:shd w:val="clear" w:color="auto" w:fill="auto"/>
          </w:tcPr>
          <w:p w:rsidR="007077EF" w:rsidRPr="00F67BAF" w:rsidRDefault="007077EF" w:rsidP="00296A09">
            <w:pPr>
              <w:jc w:val="right"/>
              <w:rPr>
                <w:sz w:val="18"/>
                <w:szCs w:val="18"/>
                <w:highlight w:val="yellow"/>
              </w:rPr>
            </w:pPr>
          </w:p>
        </w:tc>
      </w:tr>
      <w:tr w:rsidR="007077EF" w:rsidRPr="00F67BAF" w:rsidTr="00296A09">
        <w:tc>
          <w:tcPr>
            <w:tcW w:w="6204" w:type="dxa"/>
            <w:shd w:val="clear" w:color="auto" w:fill="auto"/>
          </w:tcPr>
          <w:p w:rsidR="007077EF" w:rsidRPr="00F67BAF" w:rsidRDefault="007077EF" w:rsidP="00296A09">
            <w:pPr>
              <w:jc w:val="both"/>
              <w:rPr>
                <w:sz w:val="18"/>
                <w:szCs w:val="18"/>
              </w:rPr>
            </w:pPr>
            <w:r w:rsidRPr="00F67BAF">
              <w:rPr>
                <w:sz w:val="18"/>
                <w:szCs w:val="18"/>
              </w:rPr>
              <w:t>Movement in reserves during 2016/17</w:t>
            </w:r>
          </w:p>
        </w:tc>
        <w:tc>
          <w:tcPr>
            <w:tcW w:w="1063" w:type="dxa"/>
            <w:shd w:val="clear" w:color="auto" w:fill="auto"/>
          </w:tcPr>
          <w:p w:rsidR="007077EF" w:rsidRPr="00F67BAF" w:rsidRDefault="007077EF" w:rsidP="00296A09">
            <w:pPr>
              <w:jc w:val="right"/>
              <w:rPr>
                <w:sz w:val="18"/>
                <w:szCs w:val="18"/>
                <w:highlight w:val="yellow"/>
              </w:rPr>
            </w:pPr>
          </w:p>
        </w:tc>
        <w:tc>
          <w:tcPr>
            <w:tcW w:w="1205" w:type="dxa"/>
            <w:shd w:val="clear" w:color="auto" w:fill="auto"/>
          </w:tcPr>
          <w:p w:rsidR="007077EF" w:rsidRPr="00F67BAF" w:rsidRDefault="007077EF" w:rsidP="00296A09">
            <w:pPr>
              <w:jc w:val="right"/>
              <w:rPr>
                <w:sz w:val="18"/>
                <w:szCs w:val="18"/>
                <w:highlight w:val="yellow"/>
              </w:rPr>
            </w:pPr>
          </w:p>
        </w:tc>
        <w:tc>
          <w:tcPr>
            <w:tcW w:w="1064" w:type="dxa"/>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3" w:type="dxa"/>
          </w:tcPr>
          <w:p w:rsidR="007077EF" w:rsidRPr="00F67BAF" w:rsidRDefault="007077EF" w:rsidP="00296A09">
            <w:pPr>
              <w:jc w:val="right"/>
              <w:rPr>
                <w:sz w:val="18"/>
                <w:szCs w:val="18"/>
                <w:highlight w:val="yellow"/>
              </w:rPr>
            </w:pPr>
          </w:p>
        </w:tc>
        <w:tc>
          <w:tcPr>
            <w:tcW w:w="1064" w:type="dxa"/>
            <w:shd w:val="clear" w:color="auto" w:fill="auto"/>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3" w:type="dxa"/>
            <w:shd w:val="clear" w:color="auto" w:fill="auto"/>
          </w:tcPr>
          <w:p w:rsidR="007077EF" w:rsidRPr="00F67BAF" w:rsidRDefault="007077EF" w:rsidP="00296A09">
            <w:pPr>
              <w:jc w:val="right"/>
              <w:rPr>
                <w:sz w:val="18"/>
                <w:szCs w:val="18"/>
                <w:highlight w:val="yellow"/>
              </w:rPr>
            </w:pPr>
          </w:p>
        </w:tc>
        <w:tc>
          <w:tcPr>
            <w:tcW w:w="1064" w:type="dxa"/>
            <w:shd w:val="clear" w:color="auto" w:fill="auto"/>
          </w:tcPr>
          <w:p w:rsidR="007077EF" w:rsidRPr="00F67BAF" w:rsidRDefault="007077EF" w:rsidP="00296A09">
            <w:pPr>
              <w:jc w:val="right"/>
              <w:rPr>
                <w:sz w:val="18"/>
                <w:szCs w:val="18"/>
                <w:highlight w:val="yellow"/>
              </w:rPr>
            </w:pPr>
          </w:p>
        </w:tc>
      </w:tr>
      <w:tr w:rsidR="007077EF" w:rsidRPr="00F67BAF" w:rsidTr="00296A09">
        <w:tc>
          <w:tcPr>
            <w:tcW w:w="6204" w:type="dxa"/>
            <w:shd w:val="clear" w:color="auto" w:fill="auto"/>
          </w:tcPr>
          <w:p w:rsidR="007077EF" w:rsidRPr="00F67BAF" w:rsidRDefault="007077EF" w:rsidP="00296A09">
            <w:pPr>
              <w:ind w:left="284"/>
              <w:jc w:val="both"/>
              <w:rPr>
                <w:sz w:val="18"/>
                <w:szCs w:val="18"/>
              </w:rPr>
            </w:pPr>
            <w:r w:rsidRPr="00F67BAF">
              <w:rPr>
                <w:sz w:val="18"/>
                <w:szCs w:val="18"/>
              </w:rPr>
              <w:t>Surplus/(Deficit) on provision of services</w:t>
            </w:r>
          </w:p>
        </w:tc>
        <w:tc>
          <w:tcPr>
            <w:tcW w:w="1063" w:type="dxa"/>
            <w:shd w:val="clear" w:color="auto" w:fill="auto"/>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205" w:type="dxa"/>
            <w:shd w:val="clear" w:color="auto" w:fill="auto"/>
          </w:tcPr>
          <w:p w:rsidR="007077EF" w:rsidRPr="00F67BAF" w:rsidRDefault="007077EF" w:rsidP="00296A09">
            <w:pPr>
              <w:jc w:val="right"/>
              <w:rPr>
                <w:sz w:val="18"/>
                <w:szCs w:val="18"/>
              </w:rPr>
            </w:pPr>
            <w:r w:rsidRPr="00F67BAF">
              <w:rPr>
                <w:sz w:val="18"/>
                <w:szCs w:val="18"/>
              </w:rPr>
              <w:t>-</w:t>
            </w:r>
          </w:p>
        </w:tc>
        <w:tc>
          <w:tcPr>
            <w:tcW w:w="1064" w:type="dxa"/>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063" w:type="dxa"/>
            <w:shd w:val="clear" w:color="auto" w:fill="auto"/>
          </w:tcPr>
          <w:p w:rsidR="007077EF" w:rsidRPr="00F67BAF" w:rsidRDefault="007077EF" w:rsidP="00296A09">
            <w:pPr>
              <w:jc w:val="right"/>
              <w:rPr>
                <w:sz w:val="18"/>
                <w:szCs w:val="18"/>
              </w:rPr>
            </w:pPr>
            <w:r w:rsidRPr="00F67BAF">
              <w:rPr>
                <w:sz w:val="18"/>
                <w:szCs w:val="18"/>
              </w:rPr>
              <w:t>-</w:t>
            </w:r>
          </w:p>
        </w:tc>
        <w:tc>
          <w:tcPr>
            <w:tcW w:w="1063" w:type="dxa"/>
          </w:tcPr>
          <w:p w:rsidR="007077EF" w:rsidRPr="00F67BAF" w:rsidRDefault="007077EF" w:rsidP="00296A09">
            <w:pPr>
              <w:jc w:val="right"/>
              <w:rPr>
                <w:sz w:val="18"/>
                <w:szCs w:val="18"/>
              </w:rPr>
            </w:pPr>
            <w:r w:rsidRPr="00F67BAF">
              <w:rPr>
                <w:sz w:val="18"/>
                <w:szCs w:val="18"/>
              </w:rPr>
              <w:t>-</w:t>
            </w:r>
          </w:p>
        </w:tc>
        <w:tc>
          <w:tcPr>
            <w:tcW w:w="1064" w:type="dxa"/>
            <w:shd w:val="clear" w:color="auto" w:fill="auto"/>
          </w:tcPr>
          <w:p w:rsidR="007077EF" w:rsidRPr="00F67BAF" w:rsidRDefault="007077EF" w:rsidP="00296A09">
            <w:pPr>
              <w:jc w:val="right"/>
              <w:rPr>
                <w:sz w:val="18"/>
                <w:szCs w:val="18"/>
              </w:rPr>
            </w:pPr>
            <w:r w:rsidRPr="00F67BAF">
              <w:rPr>
                <w:sz w:val="18"/>
                <w:szCs w:val="18"/>
              </w:rPr>
              <w:t>-</w:t>
            </w:r>
          </w:p>
        </w:tc>
        <w:tc>
          <w:tcPr>
            <w:tcW w:w="1063" w:type="dxa"/>
            <w:shd w:val="clear" w:color="auto" w:fill="auto"/>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063" w:type="dxa"/>
            <w:shd w:val="clear" w:color="auto" w:fill="auto"/>
          </w:tcPr>
          <w:p w:rsidR="007077EF" w:rsidRPr="00F67BAF" w:rsidRDefault="007077EF" w:rsidP="00296A09">
            <w:pPr>
              <w:jc w:val="right"/>
              <w:rPr>
                <w:sz w:val="18"/>
                <w:szCs w:val="18"/>
              </w:rPr>
            </w:pPr>
            <w:r w:rsidRPr="00F67BAF">
              <w:rPr>
                <w:sz w:val="18"/>
                <w:szCs w:val="18"/>
              </w:rPr>
              <w:t>-</w:t>
            </w:r>
          </w:p>
        </w:tc>
        <w:tc>
          <w:tcPr>
            <w:tcW w:w="1064" w:type="dxa"/>
            <w:shd w:val="clear" w:color="auto" w:fill="auto"/>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r>
      <w:tr w:rsidR="007077EF" w:rsidRPr="00F67BAF" w:rsidTr="00296A09">
        <w:tc>
          <w:tcPr>
            <w:tcW w:w="6204" w:type="dxa"/>
            <w:shd w:val="clear" w:color="auto" w:fill="auto"/>
          </w:tcPr>
          <w:p w:rsidR="007077EF" w:rsidRPr="00F67BAF" w:rsidRDefault="007077EF" w:rsidP="00296A09">
            <w:pPr>
              <w:ind w:left="284"/>
              <w:jc w:val="both"/>
              <w:rPr>
                <w:sz w:val="18"/>
                <w:szCs w:val="18"/>
              </w:rPr>
            </w:pPr>
            <w:r w:rsidRPr="00F67BAF">
              <w:rPr>
                <w:sz w:val="18"/>
                <w:szCs w:val="18"/>
              </w:rPr>
              <w:t>Other comprehensive income and expenditure</w:t>
            </w:r>
          </w:p>
        </w:tc>
        <w:tc>
          <w:tcPr>
            <w:tcW w:w="1063" w:type="dxa"/>
            <w:tcBorders>
              <w:bottom w:val="single" w:sz="4" w:space="0" w:color="auto"/>
            </w:tcBorders>
            <w:shd w:val="clear" w:color="auto" w:fill="auto"/>
          </w:tcPr>
          <w:p w:rsidR="007077EF" w:rsidRPr="00F67BAF" w:rsidRDefault="007077EF" w:rsidP="00296A09">
            <w:pPr>
              <w:jc w:val="right"/>
              <w:rPr>
                <w:sz w:val="18"/>
                <w:szCs w:val="18"/>
              </w:rPr>
            </w:pPr>
            <w:r>
              <w:rPr>
                <w:sz w:val="18"/>
                <w:szCs w:val="18"/>
              </w:rPr>
              <w:t>-</w:t>
            </w:r>
          </w:p>
        </w:tc>
        <w:tc>
          <w:tcPr>
            <w:tcW w:w="1205" w:type="dxa"/>
            <w:tcBorders>
              <w:bottom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bottom w:val="single" w:sz="4" w:space="0" w:color="auto"/>
            </w:tcBorders>
          </w:tcPr>
          <w:p w:rsidR="007077EF" w:rsidRPr="00F67BAF" w:rsidRDefault="007077EF" w:rsidP="00296A09">
            <w:pPr>
              <w:jc w:val="right"/>
              <w:rPr>
                <w:sz w:val="18"/>
                <w:szCs w:val="18"/>
              </w:rPr>
            </w:pPr>
            <w:r>
              <w:rPr>
                <w:sz w:val="18"/>
                <w:szCs w:val="18"/>
              </w:rPr>
              <w:t>-</w:t>
            </w:r>
          </w:p>
        </w:tc>
        <w:tc>
          <w:tcPr>
            <w:tcW w:w="1063" w:type="dxa"/>
            <w:tcBorders>
              <w:bottom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bottom w:val="single" w:sz="4" w:space="0" w:color="auto"/>
            </w:tcBorders>
          </w:tcPr>
          <w:p w:rsidR="007077EF" w:rsidRPr="00F67BAF" w:rsidRDefault="007077EF" w:rsidP="00296A09">
            <w:pPr>
              <w:jc w:val="right"/>
              <w:rPr>
                <w:sz w:val="18"/>
                <w:szCs w:val="18"/>
              </w:rPr>
            </w:pPr>
            <w:r w:rsidRPr="00F67BAF">
              <w:rPr>
                <w:sz w:val="18"/>
                <w:szCs w:val="18"/>
              </w:rPr>
              <w:t>-</w:t>
            </w:r>
          </w:p>
        </w:tc>
        <w:tc>
          <w:tcPr>
            <w:tcW w:w="1064" w:type="dxa"/>
            <w:tcBorders>
              <w:bottom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bottom w:val="single" w:sz="4" w:space="0" w:color="auto"/>
            </w:tcBorders>
            <w:shd w:val="clear" w:color="auto" w:fill="auto"/>
          </w:tcPr>
          <w:p w:rsidR="007077EF" w:rsidRPr="00F67BAF" w:rsidRDefault="007077EF" w:rsidP="00296A09">
            <w:pPr>
              <w:jc w:val="right"/>
              <w:rPr>
                <w:sz w:val="18"/>
                <w:szCs w:val="18"/>
              </w:rPr>
            </w:pPr>
            <w:r>
              <w:rPr>
                <w:sz w:val="18"/>
                <w:szCs w:val="18"/>
              </w:rPr>
              <w:t>-</w:t>
            </w:r>
          </w:p>
        </w:tc>
        <w:tc>
          <w:tcPr>
            <w:tcW w:w="1063" w:type="dxa"/>
            <w:tcBorders>
              <w:bottom w:val="single" w:sz="4" w:space="0" w:color="auto"/>
            </w:tcBorders>
            <w:shd w:val="clear" w:color="auto" w:fill="auto"/>
          </w:tcPr>
          <w:p w:rsidR="007077EF" w:rsidRPr="00F67BAF" w:rsidRDefault="007077EF" w:rsidP="001645D6">
            <w:pPr>
              <w:jc w:val="right"/>
              <w:rPr>
                <w:sz w:val="18"/>
                <w:szCs w:val="18"/>
              </w:rPr>
            </w:pPr>
            <w:r>
              <w:rPr>
                <w:sz w:val="18"/>
                <w:szCs w:val="18"/>
              </w:rPr>
              <w:t>(</w:t>
            </w:r>
            <w:r w:rsidR="001645D6">
              <w:rPr>
                <w:sz w:val="18"/>
                <w:szCs w:val="18"/>
              </w:rPr>
              <w:t>105</w:t>
            </w:r>
            <w:r>
              <w:rPr>
                <w:sz w:val="18"/>
                <w:szCs w:val="18"/>
              </w:rPr>
              <w:t>,</w:t>
            </w:r>
            <w:r w:rsidR="001645D6">
              <w:rPr>
                <w:sz w:val="18"/>
                <w:szCs w:val="18"/>
              </w:rPr>
              <w:t>070</w:t>
            </w:r>
            <w:r>
              <w:rPr>
                <w:sz w:val="18"/>
                <w:szCs w:val="18"/>
              </w:rPr>
              <w:t>)</w:t>
            </w:r>
          </w:p>
        </w:tc>
        <w:tc>
          <w:tcPr>
            <w:tcW w:w="1064" w:type="dxa"/>
            <w:tcBorders>
              <w:bottom w:val="single" w:sz="4" w:space="0" w:color="auto"/>
            </w:tcBorders>
            <w:shd w:val="clear" w:color="auto" w:fill="auto"/>
          </w:tcPr>
          <w:p w:rsidR="007077EF" w:rsidRPr="00F67BAF" w:rsidRDefault="007077EF" w:rsidP="001645D6">
            <w:pPr>
              <w:jc w:val="right"/>
              <w:rPr>
                <w:sz w:val="18"/>
                <w:szCs w:val="18"/>
              </w:rPr>
            </w:pPr>
            <w:r>
              <w:rPr>
                <w:sz w:val="18"/>
                <w:szCs w:val="18"/>
              </w:rPr>
              <w:t>(</w:t>
            </w:r>
            <w:r w:rsidR="001645D6">
              <w:rPr>
                <w:sz w:val="18"/>
                <w:szCs w:val="18"/>
              </w:rPr>
              <w:t>105</w:t>
            </w:r>
            <w:r>
              <w:rPr>
                <w:sz w:val="18"/>
                <w:szCs w:val="18"/>
              </w:rPr>
              <w:t>,</w:t>
            </w:r>
            <w:r w:rsidR="001645D6">
              <w:rPr>
                <w:sz w:val="18"/>
                <w:szCs w:val="18"/>
              </w:rPr>
              <w:t>070</w:t>
            </w:r>
            <w:r>
              <w:rPr>
                <w:sz w:val="18"/>
                <w:szCs w:val="18"/>
              </w:rPr>
              <w:t>)</w:t>
            </w:r>
          </w:p>
        </w:tc>
      </w:tr>
      <w:tr w:rsidR="007077EF" w:rsidRPr="00F67BAF" w:rsidTr="00296A09">
        <w:tc>
          <w:tcPr>
            <w:tcW w:w="6204" w:type="dxa"/>
            <w:shd w:val="clear" w:color="auto" w:fill="auto"/>
          </w:tcPr>
          <w:p w:rsidR="007077EF" w:rsidRPr="00F67BAF" w:rsidRDefault="007077EF" w:rsidP="00296A09">
            <w:pPr>
              <w:jc w:val="both"/>
              <w:rPr>
                <w:sz w:val="18"/>
                <w:szCs w:val="18"/>
              </w:rPr>
            </w:pPr>
            <w:r w:rsidRPr="00F67BAF">
              <w:rPr>
                <w:sz w:val="18"/>
                <w:szCs w:val="18"/>
              </w:rPr>
              <w:t>Total comprehensive income and expenditure</w:t>
            </w:r>
          </w:p>
        </w:tc>
        <w:tc>
          <w:tcPr>
            <w:tcW w:w="1063" w:type="dxa"/>
            <w:tcBorders>
              <w:top w:val="single" w:sz="4" w:space="0" w:color="auto"/>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205" w:type="dxa"/>
            <w:tcBorders>
              <w:top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single" w:sz="4" w:space="0" w:color="auto"/>
            </w:tcBorders>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063" w:type="dxa"/>
            <w:tcBorders>
              <w:top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single" w:sz="4" w:space="0" w:color="auto"/>
            </w:tcBorders>
          </w:tcPr>
          <w:p w:rsidR="007077EF" w:rsidRPr="00F67BAF" w:rsidRDefault="007077EF" w:rsidP="00296A09">
            <w:pPr>
              <w:jc w:val="right"/>
              <w:rPr>
                <w:sz w:val="18"/>
                <w:szCs w:val="18"/>
              </w:rPr>
            </w:pPr>
            <w:r w:rsidRPr="00F67BAF">
              <w:rPr>
                <w:sz w:val="18"/>
                <w:szCs w:val="18"/>
              </w:rPr>
              <w:t>-</w:t>
            </w:r>
          </w:p>
        </w:tc>
        <w:tc>
          <w:tcPr>
            <w:tcW w:w="1064" w:type="dxa"/>
            <w:tcBorders>
              <w:top w:val="single" w:sz="4" w:space="0" w:color="auto"/>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single" w:sz="4" w:space="0" w:color="auto"/>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557</w:t>
            </w:r>
            <w:r>
              <w:rPr>
                <w:sz w:val="18"/>
                <w:szCs w:val="18"/>
              </w:rPr>
              <w:t>)</w:t>
            </w:r>
          </w:p>
        </w:tc>
        <w:tc>
          <w:tcPr>
            <w:tcW w:w="1063" w:type="dxa"/>
            <w:tcBorders>
              <w:top w:val="single" w:sz="4" w:space="0" w:color="auto"/>
            </w:tcBorders>
            <w:shd w:val="clear" w:color="auto" w:fill="auto"/>
          </w:tcPr>
          <w:p w:rsidR="007077EF" w:rsidRPr="00F67BAF" w:rsidRDefault="007077EF" w:rsidP="001645D6">
            <w:pPr>
              <w:jc w:val="right"/>
              <w:rPr>
                <w:sz w:val="18"/>
                <w:szCs w:val="18"/>
              </w:rPr>
            </w:pPr>
            <w:r>
              <w:rPr>
                <w:sz w:val="18"/>
                <w:szCs w:val="18"/>
              </w:rPr>
              <w:t>(</w:t>
            </w:r>
            <w:r w:rsidR="001645D6">
              <w:rPr>
                <w:sz w:val="18"/>
                <w:szCs w:val="18"/>
              </w:rPr>
              <w:t>105</w:t>
            </w:r>
            <w:r>
              <w:rPr>
                <w:sz w:val="18"/>
                <w:szCs w:val="18"/>
              </w:rPr>
              <w:t>,</w:t>
            </w:r>
            <w:r w:rsidR="001645D6">
              <w:rPr>
                <w:sz w:val="18"/>
                <w:szCs w:val="18"/>
              </w:rPr>
              <w:t>070</w:t>
            </w:r>
            <w:r>
              <w:rPr>
                <w:sz w:val="18"/>
                <w:szCs w:val="18"/>
              </w:rPr>
              <w:t>)</w:t>
            </w:r>
          </w:p>
        </w:tc>
        <w:tc>
          <w:tcPr>
            <w:tcW w:w="1064" w:type="dxa"/>
            <w:tcBorders>
              <w:top w:val="single" w:sz="4" w:space="0" w:color="auto"/>
            </w:tcBorders>
            <w:shd w:val="clear" w:color="auto" w:fill="auto"/>
          </w:tcPr>
          <w:p w:rsidR="007077EF" w:rsidRPr="00F67BAF" w:rsidRDefault="007077EF" w:rsidP="001645D6">
            <w:pPr>
              <w:jc w:val="right"/>
              <w:rPr>
                <w:sz w:val="18"/>
                <w:szCs w:val="18"/>
              </w:rPr>
            </w:pPr>
            <w:r>
              <w:rPr>
                <w:sz w:val="18"/>
                <w:szCs w:val="18"/>
              </w:rPr>
              <w:t>(</w:t>
            </w:r>
            <w:r w:rsidR="001645D6">
              <w:rPr>
                <w:sz w:val="18"/>
                <w:szCs w:val="18"/>
              </w:rPr>
              <w:t>115</w:t>
            </w:r>
            <w:r>
              <w:rPr>
                <w:sz w:val="18"/>
                <w:szCs w:val="18"/>
              </w:rPr>
              <w:t>,</w:t>
            </w:r>
            <w:r w:rsidR="001645D6">
              <w:rPr>
                <w:sz w:val="18"/>
                <w:szCs w:val="18"/>
              </w:rPr>
              <w:t>627</w:t>
            </w:r>
            <w:r>
              <w:rPr>
                <w:sz w:val="18"/>
                <w:szCs w:val="18"/>
              </w:rPr>
              <w:t>)</w:t>
            </w:r>
          </w:p>
        </w:tc>
      </w:tr>
      <w:tr w:rsidR="007077EF" w:rsidRPr="00F67BAF" w:rsidTr="00296A09">
        <w:tc>
          <w:tcPr>
            <w:tcW w:w="6204" w:type="dxa"/>
            <w:shd w:val="clear" w:color="auto" w:fill="auto"/>
          </w:tcPr>
          <w:p w:rsidR="007077EF" w:rsidRPr="00F67BAF" w:rsidRDefault="007077EF" w:rsidP="00296A09">
            <w:pPr>
              <w:jc w:val="both"/>
              <w:rPr>
                <w:sz w:val="18"/>
                <w:szCs w:val="18"/>
              </w:rPr>
            </w:pPr>
          </w:p>
        </w:tc>
        <w:tc>
          <w:tcPr>
            <w:tcW w:w="1063" w:type="dxa"/>
            <w:shd w:val="clear" w:color="auto" w:fill="auto"/>
          </w:tcPr>
          <w:p w:rsidR="007077EF" w:rsidRPr="00F67BAF" w:rsidRDefault="007077EF" w:rsidP="00296A09">
            <w:pPr>
              <w:jc w:val="right"/>
              <w:rPr>
                <w:sz w:val="18"/>
                <w:szCs w:val="18"/>
              </w:rPr>
            </w:pPr>
          </w:p>
        </w:tc>
        <w:tc>
          <w:tcPr>
            <w:tcW w:w="1205" w:type="dxa"/>
            <w:shd w:val="clear" w:color="auto" w:fill="auto"/>
          </w:tcPr>
          <w:p w:rsidR="007077EF" w:rsidRPr="00F67BAF" w:rsidRDefault="007077EF" w:rsidP="00296A09">
            <w:pPr>
              <w:jc w:val="right"/>
              <w:rPr>
                <w:sz w:val="18"/>
                <w:szCs w:val="18"/>
              </w:rPr>
            </w:pPr>
          </w:p>
        </w:tc>
        <w:tc>
          <w:tcPr>
            <w:tcW w:w="1064" w:type="dxa"/>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3" w:type="dxa"/>
          </w:tcPr>
          <w:p w:rsidR="007077EF" w:rsidRPr="00F67BAF" w:rsidRDefault="007077EF" w:rsidP="00296A09">
            <w:pPr>
              <w:jc w:val="right"/>
              <w:rPr>
                <w:sz w:val="18"/>
                <w:szCs w:val="18"/>
              </w:rPr>
            </w:pPr>
          </w:p>
        </w:tc>
        <w:tc>
          <w:tcPr>
            <w:tcW w:w="1064" w:type="dxa"/>
            <w:shd w:val="clear" w:color="auto" w:fill="auto"/>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3" w:type="dxa"/>
            <w:shd w:val="clear" w:color="auto" w:fill="auto"/>
          </w:tcPr>
          <w:p w:rsidR="007077EF" w:rsidRPr="00F67BAF" w:rsidRDefault="007077EF" w:rsidP="00296A09">
            <w:pPr>
              <w:jc w:val="right"/>
              <w:rPr>
                <w:sz w:val="18"/>
                <w:szCs w:val="18"/>
              </w:rPr>
            </w:pPr>
          </w:p>
        </w:tc>
        <w:tc>
          <w:tcPr>
            <w:tcW w:w="1064" w:type="dxa"/>
            <w:shd w:val="clear" w:color="auto" w:fill="auto"/>
          </w:tcPr>
          <w:p w:rsidR="007077EF" w:rsidRPr="00F67BAF" w:rsidRDefault="007077EF" w:rsidP="00296A09">
            <w:pPr>
              <w:jc w:val="right"/>
              <w:rPr>
                <w:sz w:val="18"/>
                <w:szCs w:val="18"/>
              </w:rPr>
            </w:pP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r w:rsidRPr="00F67BAF">
              <w:rPr>
                <w:sz w:val="18"/>
                <w:szCs w:val="18"/>
              </w:rPr>
              <w:t>Adjustments between accounting basis and funding basis under regulations</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4" w:type="dxa"/>
            <w:tcBorders>
              <w:top w:val="nil"/>
              <w:left w:val="nil"/>
              <w:bottom w:val="nil"/>
              <w:right w:val="nil"/>
            </w:tcBorders>
          </w:tcPr>
          <w:p w:rsidR="007077EF" w:rsidRPr="00F67BAF" w:rsidRDefault="007077EF" w:rsidP="00296A09">
            <w:pPr>
              <w:jc w:val="right"/>
              <w:rPr>
                <w:sz w:val="18"/>
                <w:szCs w:val="18"/>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3" w:type="dxa"/>
            <w:tcBorders>
              <w:top w:val="nil"/>
              <w:left w:val="nil"/>
              <w:bottom w:val="nil"/>
              <w:right w:val="nil"/>
            </w:tcBorders>
          </w:tcPr>
          <w:p w:rsidR="007077EF" w:rsidRPr="00F67BAF" w:rsidRDefault="007077EF" w:rsidP="00296A09">
            <w:pPr>
              <w:jc w:val="right"/>
              <w:rPr>
                <w:sz w:val="18"/>
                <w:szCs w:val="18"/>
              </w:rPr>
            </w:pP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Charges for depreciation and impairment of non-current assets</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6,209</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6,209</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6,209</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(6,209)</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Amortisation of intangible assets</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131</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131</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131</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(131)</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Capital grants applied</w:t>
            </w:r>
          </w:p>
        </w:tc>
        <w:tc>
          <w:tcPr>
            <w:tcW w:w="1063" w:type="dxa"/>
            <w:tcBorders>
              <w:top w:val="nil"/>
              <w:left w:val="nil"/>
              <w:bottom w:val="nil"/>
              <w:right w:val="nil"/>
            </w:tcBorders>
            <w:shd w:val="clear" w:color="auto" w:fill="auto"/>
          </w:tcPr>
          <w:p w:rsidR="007077EF" w:rsidRPr="00F67BAF" w:rsidRDefault="001645D6" w:rsidP="00296A09">
            <w:pPr>
              <w:jc w:val="right"/>
              <w:rPr>
                <w:sz w:val="18"/>
                <w:szCs w:val="18"/>
              </w:rPr>
            </w:pPr>
            <w:r>
              <w:rPr>
                <w:sz w:val="18"/>
                <w:szCs w:val="18"/>
              </w:rPr>
              <w:t>250</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1645D6" w:rsidP="00296A09">
            <w:pPr>
              <w:jc w:val="right"/>
              <w:rPr>
                <w:sz w:val="18"/>
                <w:szCs w:val="18"/>
              </w:rPr>
            </w:pPr>
            <w:r>
              <w:rPr>
                <w:sz w:val="18"/>
                <w:szCs w:val="18"/>
              </w:rPr>
              <w:t>250</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1645D6">
            <w:pPr>
              <w:jc w:val="right"/>
              <w:rPr>
                <w:sz w:val="18"/>
                <w:szCs w:val="18"/>
              </w:rPr>
            </w:pPr>
            <w:r>
              <w:rPr>
                <w:sz w:val="18"/>
                <w:szCs w:val="18"/>
              </w:rPr>
              <w:t>(</w:t>
            </w:r>
            <w:r w:rsidR="001645D6">
              <w:rPr>
                <w:sz w:val="18"/>
                <w:szCs w:val="18"/>
              </w:rPr>
              <w:t>2</w:t>
            </w:r>
            <w:r>
              <w:rPr>
                <w:sz w:val="18"/>
                <w:szCs w:val="18"/>
              </w:rPr>
              <w:t>,</w:t>
            </w:r>
            <w:r w:rsidR="001645D6">
              <w:rPr>
                <w:sz w:val="18"/>
                <w:szCs w:val="18"/>
              </w:rPr>
              <w:t>224</w:t>
            </w:r>
            <w:r>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(1,974)</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1,974</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Provision for the repayment of debt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(331)</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(331)</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(331)</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331</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Capital expenditure charged against General Fund Balance</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(1,534)</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(1,534)</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(1,534)</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1,534</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Amount by which the Code and the statutory pension costs differ</w:t>
            </w:r>
          </w:p>
        </w:tc>
        <w:tc>
          <w:tcPr>
            <w:tcW w:w="1063" w:type="dxa"/>
            <w:tcBorders>
              <w:top w:val="nil"/>
              <w:left w:val="nil"/>
              <w:bottom w:val="nil"/>
              <w:right w:val="nil"/>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940</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tcPr>
          <w:p w:rsidR="007077EF" w:rsidRPr="00F67BAF" w:rsidRDefault="007077EF" w:rsidP="001645D6">
            <w:pPr>
              <w:jc w:val="right"/>
              <w:rPr>
                <w:sz w:val="18"/>
                <w:szCs w:val="18"/>
              </w:rPr>
            </w:pPr>
            <w:r>
              <w:rPr>
                <w:sz w:val="18"/>
                <w:szCs w:val="18"/>
              </w:rPr>
              <w:t>10,</w:t>
            </w:r>
            <w:r w:rsidR="001645D6">
              <w:rPr>
                <w:sz w:val="18"/>
                <w:szCs w:val="18"/>
              </w:rPr>
              <w:t>940</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940</w:t>
            </w:r>
          </w:p>
        </w:tc>
        <w:tc>
          <w:tcPr>
            <w:tcW w:w="1063" w:type="dxa"/>
            <w:tcBorders>
              <w:top w:val="nil"/>
              <w:left w:val="nil"/>
              <w:bottom w:val="nil"/>
              <w:right w:val="nil"/>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940</w:t>
            </w:r>
            <w:r>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Amount by which the Code and the statutory collection fund income differ</w:t>
            </w:r>
          </w:p>
        </w:tc>
        <w:tc>
          <w:tcPr>
            <w:tcW w:w="1063"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Pr>
                <w:sz w:val="18"/>
                <w:szCs w:val="18"/>
              </w:rPr>
              <w:t>(599)</w:t>
            </w:r>
          </w:p>
        </w:tc>
        <w:tc>
          <w:tcPr>
            <w:tcW w:w="1205"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single" w:sz="4" w:space="0" w:color="auto"/>
              <w:right w:val="nil"/>
            </w:tcBorders>
          </w:tcPr>
          <w:p w:rsidR="007077EF" w:rsidRDefault="007077EF" w:rsidP="00296A09">
            <w:pPr>
              <w:jc w:val="right"/>
              <w:rPr>
                <w:sz w:val="18"/>
                <w:szCs w:val="18"/>
              </w:rPr>
            </w:pPr>
          </w:p>
          <w:p w:rsidR="007077EF" w:rsidRPr="00F67BAF" w:rsidRDefault="007077EF" w:rsidP="00296A09">
            <w:pPr>
              <w:jc w:val="right"/>
              <w:rPr>
                <w:sz w:val="18"/>
                <w:szCs w:val="18"/>
              </w:rPr>
            </w:pPr>
            <w:r>
              <w:rPr>
                <w:sz w:val="18"/>
                <w:szCs w:val="18"/>
              </w:rPr>
              <w:t>(599)</w:t>
            </w:r>
          </w:p>
        </w:tc>
        <w:tc>
          <w:tcPr>
            <w:tcW w:w="1063"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single" w:sz="4" w:space="0" w:color="auto"/>
              <w:right w:val="nil"/>
            </w:tcBorders>
          </w:tcPr>
          <w:p w:rsidR="007077EF" w:rsidRDefault="007077EF" w:rsidP="00296A09">
            <w:pPr>
              <w:jc w:val="right"/>
              <w:rPr>
                <w:sz w:val="18"/>
                <w:szCs w:val="18"/>
              </w:rPr>
            </w:pPr>
          </w:p>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Pr>
                <w:sz w:val="18"/>
                <w:szCs w:val="18"/>
              </w:rPr>
              <w:t>(599)</w:t>
            </w:r>
          </w:p>
        </w:tc>
        <w:tc>
          <w:tcPr>
            <w:tcW w:w="1063"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Pr>
                <w:sz w:val="18"/>
                <w:szCs w:val="18"/>
              </w:rPr>
              <w:t>599</w:t>
            </w:r>
          </w:p>
        </w:tc>
        <w:tc>
          <w:tcPr>
            <w:tcW w:w="1064" w:type="dxa"/>
            <w:tcBorders>
              <w:top w:val="nil"/>
              <w:left w:val="nil"/>
              <w:bottom w:val="single" w:sz="4" w:space="0" w:color="auto"/>
              <w:right w:val="nil"/>
            </w:tcBorders>
            <w:shd w:val="clear" w:color="auto" w:fill="auto"/>
          </w:tcPr>
          <w:p w:rsidR="007077EF" w:rsidRDefault="007077EF" w:rsidP="00296A09">
            <w:pPr>
              <w:jc w:val="right"/>
              <w:rPr>
                <w:sz w:val="18"/>
                <w:szCs w:val="18"/>
              </w:rPr>
            </w:pPr>
          </w:p>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p>
        </w:tc>
        <w:tc>
          <w:tcPr>
            <w:tcW w:w="1063" w:type="dxa"/>
            <w:tcBorders>
              <w:top w:val="single" w:sz="4" w:space="0" w:color="auto"/>
              <w:left w:val="nil"/>
              <w:bottom w:val="single" w:sz="4" w:space="0" w:color="auto"/>
              <w:right w:val="nil"/>
            </w:tcBorders>
            <w:shd w:val="clear" w:color="auto" w:fill="auto"/>
            <w:vAlign w:val="center"/>
          </w:tcPr>
          <w:p w:rsidR="007077EF" w:rsidRPr="00F67BAF" w:rsidRDefault="001645D6" w:rsidP="00296A09">
            <w:pPr>
              <w:jc w:val="right"/>
              <w:rPr>
                <w:sz w:val="18"/>
                <w:szCs w:val="18"/>
              </w:rPr>
            </w:pPr>
            <w:r>
              <w:rPr>
                <w:sz w:val="18"/>
                <w:szCs w:val="18"/>
              </w:rPr>
              <w:t>15,067</w:t>
            </w:r>
          </w:p>
        </w:tc>
        <w:tc>
          <w:tcPr>
            <w:tcW w:w="1205" w:type="dxa"/>
            <w:tcBorders>
              <w:top w:val="single" w:sz="4" w:space="0" w:color="auto"/>
              <w:left w:val="nil"/>
              <w:bottom w:val="single" w:sz="4" w:space="0" w:color="auto"/>
              <w:right w:val="nil"/>
            </w:tcBorders>
            <w:shd w:val="clear" w:color="auto" w:fill="auto"/>
            <w:vAlign w:val="center"/>
          </w:tcPr>
          <w:p w:rsidR="007077EF" w:rsidRPr="00F67BAF" w:rsidRDefault="007077EF" w:rsidP="00296A09">
            <w:pPr>
              <w:jc w:val="right"/>
              <w:rPr>
                <w:sz w:val="18"/>
                <w:szCs w:val="18"/>
              </w:rPr>
            </w:pPr>
            <w:r w:rsidRPr="00F67BAF">
              <w:rPr>
                <w:sz w:val="18"/>
                <w:szCs w:val="18"/>
              </w:rPr>
              <w:t>-</w:t>
            </w:r>
          </w:p>
        </w:tc>
        <w:tc>
          <w:tcPr>
            <w:tcW w:w="1064" w:type="dxa"/>
            <w:tcBorders>
              <w:top w:val="single" w:sz="4" w:space="0" w:color="auto"/>
              <w:left w:val="nil"/>
              <w:bottom w:val="single" w:sz="4" w:space="0" w:color="auto"/>
              <w:right w:val="nil"/>
            </w:tcBorders>
            <w:vAlign w:val="center"/>
          </w:tcPr>
          <w:p w:rsidR="007077EF" w:rsidRPr="00F67BAF" w:rsidRDefault="001645D6" w:rsidP="00296A09">
            <w:pPr>
              <w:jc w:val="right"/>
              <w:rPr>
                <w:sz w:val="18"/>
                <w:szCs w:val="18"/>
              </w:rPr>
            </w:pPr>
            <w:r>
              <w:rPr>
                <w:sz w:val="18"/>
                <w:szCs w:val="18"/>
              </w:rPr>
              <w:t>15,067</w:t>
            </w:r>
          </w:p>
        </w:tc>
        <w:tc>
          <w:tcPr>
            <w:tcW w:w="1063" w:type="dxa"/>
            <w:tcBorders>
              <w:top w:val="single" w:sz="4" w:space="0" w:color="auto"/>
              <w:left w:val="nil"/>
              <w:bottom w:val="single" w:sz="4" w:space="0" w:color="auto"/>
              <w:right w:val="nil"/>
            </w:tcBorders>
            <w:shd w:val="clear" w:color="auto" w:fill="auto"/>
            <w:vAlign w:val="center"/>
          </w:tcPr>
          <w:p w:rsidR="007077EF" w:rsidRPr="00F67BAF" w:rsidRDefault="007077EF" w:rsidP="00296A09">
            <w:pPr>
              <w:jc w:val="right"/>
              <w:rPr>
                <w:sz w:val="18"/>
                <w:szCs w:val="18"/>
              </w:rPr>
            </w:pPr>
            <w:r w:rsidRPr="00F67BAF">
              <w:rPr>
                <w:sz w:val="18"/>
                <w:szCs w:val="18"/>
              </w:rPr>
              <w:t>-</w:t>
            </w:r>
          </w:p>
        </w:tc>
        <w:tc>
          <w:tcPr>
            <w:tcW w:w="1063" w:type="dxa"/>
            <w:tcBorders>
              <w:top w:val="single" w:sz="4" w:space="0" w:color="auto"/>
              <w:left w:val="nil"/>
              <w:bottom w:val="single" w:sz="4" w:space="0" w:color="auto"/>
              <w:right w:val="nil"/>
            </w:tcBorders>
            <w:vAlign w:val="center"/>
          </w:tcPr>
          <w:p w:rsidR="007077EF" w:rsidRPr="00F67BAF" w:rsidRDefault="007077EF" w:rsidP="001645D6">
            <w:pPr>
              <w:jc w:val="right"/>
              <w:rPr>
                <w:sz w:val="18"/>
                <w:szCs w:val="18"/>
              </w:rPr>
            </w:pPr>
            <w:r>
              <w:rPr>
                <w:sz w:val="18"/>
                <w:szCs w:val="18"/>
              </w:rPr>
              <w:t>(</w:t>
            </w:r>
            <w:r w:rsidR="001645D6">
              <w:rPr>
                <w:sz w:val="18"/>
                <w:szCs w:val="18"/>
              </w:rPr>
              <w:t>2</w:t>
            </w:r>
            <w:r>
              <w:rPr>
                <w:sz w:val="18"/>
                <w:szCs w:val="18"/>
              </w:rPr>
              <w:t>,</w:t>
            </w:r>
            <w:r w:rsidR="001645D6">
              <w:rPr>
                <w:sz w:val="18"/>
                <w:szCs w:val="18"/>
              </w:rPr>
              <w:t>224</w:t>
            </w:r>
            <w:r>
              <w:rPr>
                <w:sz w:val="18"/>
                <w:szCs w:val="18"/>
              </w:rPr>
              <w:t>)</w:t>
            </w:r>
          </w:p>
        </w:tc>
        <w:tc>
          <w:tcPr>
            <w:tcW w:w="1064" w:type="dxa"/>
            <w:tcBorders>
              <w:top w:val="single" w:sz="4" w:space="0" w:color="auto"/>
              <w:left w:val="nil"/>
              <w:bottom w:val="single" w:sz="4" w:space="0" w:color="auto"/>
              <w:right w:val="nil"/>
            </w:tcBorders>
            <w:shd w:val="clear" w:color="auto" w:fill="auto"/>
            <w:vAlign w:val="center"/>
          </w:tcPr>
          <w:p w:rsidR="007077EF" w:rsidRPr="00F67BAF" w:rsidRDefault="007077EF" w:rsidP="00296A09">
            <w:pPr>
              <w:jc w:val="right"/>
              <w:rPr>
                <w:sz w:val="18"/>
                <w:szCs w:val="18"/>
              </w:rPr>
            </w:pPr>
            <w:r>
              <w:rPr>
                <w:sz w:val="18"/>
                <w:szCs w:val="18"/>
              </w:rPr>
              <w:t>-</w:t>
            </w:r>
          </w:p>
        </w:tc>
        <w:tc>
          <w:tcPr>
            <w:tcW w:w="1063" w:type="dxa"/>
            <w:tcBorders>
              <w:top w:val="single" w:sz="4" w:space="0" w:color="auto"/>
              <w:left w:val="nil"/>
              <w:bottom w:val="single" w:sz="4" w:space="0" w:color="auto"/>
              <w:right w:val="nil"/>
            </w:tcBorders>
            <w:shd w:val="clear" w:color="auto" w:fill="auto"/>
            <w:vAlign w:val="center"/>
          </w:tcPr>
          <w:p w:rsidR="007077EF" w:rsidRPr="00F67BAF" w:rsidRDefault="007077EF" w:rsidP="001645D6">
            <w:pPr>
              <w:jc w:val="right"/>
              <w:rPr>
                <w:sz w:val="18"/>
                <w:szCs w:val="18"/>
              </w:rPr>
            </w:pPr>
            <w:r>
              <w:rPr>
                <w:sz w:val="18"/>
                <w:szCs w:val="18"/>
              </w:rPr>
              <w:t>12,</w:t>
            </w:r>
            <w:r w:rsidR="001645D6">
              <w:rPr>
                <w:sz w:val="18"/>
                <w:szCs w:val="18"/>
              </w:rPr>
              <w:t>843</w:t>
            </w:r>
          </w:p>
        </w:tc>
        <w:tc>
          <w:tcPr>
            <w:tcW w:w="1063" w:type="dxa"/>
            <w:tcBorders>
              <w:top w:val="single" w:sz="4" w:space="0" w:color="auto"/>
              <w:left w:val="nil"/>
              <w:bottom w:val="single" w:sz="4" w:space="0" w:color="auto"/>
              <w:right w:val="nil"/>
            </w:tcBorders>
            <w:shd w:val="clear" w:color="auto" w:fill="auto"/>
            <w:vAlign w:val="center"/>
          </w:tcPr>
          <w:p w:rsidR="007077EF" w:rsidRPr="00F67BAF" w:rsidRDefault="007077EF" w:rsidP="001645D6">
            <w:pPr>
              <w:jc w:val="right"/>
              <w:rPr>
                <w:sz w:val="18"/>
                <w:szCs w:val="18"/>
              </w:rPr>
            </w:pPr>
            <w:r>
              <w:rPr>
                <w:sz w:val="18"/>
                <w:szCs w:val="18"/>
              </w:rPr>
              <w:t>(12,</w:t>
            </w:r>
            <w:r w:rsidR="001645D6">
              <w:rPr>
                <w:sz w:val="18"/>
                <w:szCs w:val="18"/>
              </w:rPr>
              <w:t>843</w:t>
            </w:r>
            <w:r>
              <w:rPr>
                <w:sz w:val="18"/>
                <w:szCs w:val="18"/>
              </w:rPr>
              <w:t>)</w:t>
            </w:r>
          </w:p>
        </w:tc>
        <w:tc>
          <w:tcPr>
            <w:tcW w:w="1064" w:type="dxa"/>
            <w:tcBorders>
              <w:top w:val="single" w:sz="4" w:space="0" w:color="auto"/>
              <w:left w:val="nil"/>
              <w:bottom w:val="single" w:sz="4" w:space="0" w:color="auto"/>
              <w:right w:val="nil"/>
            </w:tcBorders>
            <w:shd w:val="clear" w:color="auto" w:fill="auto"/>
            <w:vAlign w:val="center"/>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r w:rsidRPr="00F67BAF">
              <w:rPr>
                <w:sz w:val="18"/>
                <w:szCs w:val="18"/>
              </w:rPr>
              <w:t>Net increase/decrease before transfers to earmarked reserves</w:t>
            </w:r>
          </w:p>
        </w:tc>
        <w:tc>
          <w:tcPr>
            <w:tcW w:w="1063" w:type="dxa"/>
            <w:tcBorders>
              <w:top w:val="single" w:sz="4" w:space="0" w:color="auto"/>
              <w:left w:val="nil"/>
              <w:bottom w:val="nil"/>
              <w:right w:val="nil"/>
            </w:tcBorders>
            <w:shd w:val="clear" w:color="auto" w:fill="auto"/>
          </w:tcPr>
          <w:p w:rsidR="007077EF" w:rsidRPr="00F67BAF" w:rsidRDefault="007077EF" w:rsidP="001645D6">
            <w:pPr>
              <w:jc w:val="right"/>
              <w:rPr>
                <w:sz w:val="18"/>
                <w:szCs w:val="18"/>
              </w:rPr>
            </w:pPr>
            <w:r>
              <w:rPr>
                <w:sz w:val="18"/>
                <w:szCs w:val="18"/>
              </w:rPr>
              <w:t>4,</w:t>
            </w:r>
            <w:r w:rsidR="001645D6">
              <w:rPr>
                <w:sz w:val="18"/>
                <w:szCs w:val="18"/>
              </w:rPr>
              <w:t>509</w:t>
            </w:r>
          </w:p>
        </w:tc>
        <w:tc>
          <w:tcPr>
            <w:tcW w:w="1205"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single" w:sz="4" w:space="0" w:color="auto"/>
              <w:left w:val="nil"/>
              <w:bottom w:val="nil"/>
              <w:right w:val="nil"/>
            </w:tcBorders>
          </w:tcPr>
          <w:p w:rsidR="007077EF" w:rsidRPr="00F67BAF" w:rsidRDefault="007077EF" w:rsidP="001645D6">
            <w:pPr>
              <w:jc w:val="right"/>
              <w:rPr>
                <w:sz w:val="18"/>
                <w:szCs w:val="18"/>
              </w:rPr>
            </w:pPr>
            <w:r>
              <w:rPr>
                <w:sz w:val="18"/>
                <w:szCs w:val="18"/>
              </w:rPr>
              <w:t>4,</w:t>
            </w:r>
            <w:r w:rsidR="001645D6">
              <w:rPr>
                <w:sz w:val="18"/>
                <w:szCs w:val="18"/>
              </w:rPr>
              <w:t>509</w:t>
            </w:r>
          </w:p>
        </w:tc>
        <w:tc>
          <w:tcPr>
            <w:tcW w:w="1063"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single" w:sz="4" w:space="0" w:color="auto"/>
              <w:left w:val="nil"/>
              <w:bottom w:val="nil"/>
              <w:right w:val="nil"/>
            </w:tcBorders>
          </w:tcPr>
          <w:p w:rsidR="007077EF" w:rsidRPr="00F67BAF" w:rsidRDefault="007077EF" w:rsidP="001645D6">
            <w:pPr>
              <w:jc w:val="right"/>
              <w:rPr>
                <w:sz w:val="18"/>
                <w:szCs w:val="18"/>
              </w:rPr>
            </w:pPr>
            <w:r>
              <w:rPr>
                <w:sz w:val="18"/>
                <w:szCs w:val="18"/>
              </w:rPr>
              <w:t>(</w:t>
            </w:r>
            <w:r w:rsidR="001645D6">
              <w:rPr>
                <w:sz w:val="18"/>
                <w:szCs w:val="18"/>
              </w:rPr>
              <w:t>2</w:t>
            </w:r>
            <w:r>
              <w:rPr>
                <w:sz w:val="18"/>
                <w:szCs w:val="18"/>
              </w:rPr>
              <w:t>,</w:t>
            </w:r>
            <w:r w:rsidR="001645D6">
              <w:rPr>
                <w:sz w:val="18"/>
                <w:szCs w:val="18"/>
              </w:rPr>
              <w:t>2224</w:t>
            </w:r>
            <w:r>
              <w:rPr>
                <w:sz w:val="18"/>
                <w:szCs w:val="18"/>
              </w:rPr>
              <w:t>)</w:t>
            </w:r>
          </w:p>
        </w:tc>
        <w:tc>
          <w:tcPr>
            <w:tcW w:w="1064"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3" w:type="dxa"/>
            <w:tcBorders>
              <w:top w:val="single" w:sz="4" w:space="0" w:color="auto"/>
              <w:left w:val="nil"/>
              <w:bottom w:val="nil"/>
              <w:right w:val="nil"/>
            </w:tcBorders>
            <w:shd w:val="clear" w:color="auto" w:fill="auto"/>
          </w:tcPr>
          <w:p w:rsidR="007077EF" w:rsidRPr="00F67BAF" w:rsidRDefault="007077EF" w:rsidP="001645D6">
            <w:pPr>
              <w:jc w:val="right"/>
              <w:rPr>
                <w:sz w:val="18"/>
                <w:szCs w:val="18"/>
              </w:rPr>
            </w:pPr>
            <w:r>
              <w:rPr>
                <w:sz w:val="18"/>
                <w:szCs w:val="18"/>
              </w:rPr>
              <w:t>2,</w:t>
            </w:r>
            <w:r w:rsidR="001645D6">
              <w:rPr>
                <w:sz w:val="18"/>
                <w:szCs w:val="18"/>
              </w:rPr>
              <w:t>286</w:t>
            </w:r>
          </w:p>
        </w:tc>
        <w:tc>
          <w:tcPr>
            <w:tcW w:w="1063" w:type="dxa"/>
            <w:tcBorders>
              <w:top w:val="single" w:sz="4" w:space="0" w:color="auto"/>
              <w:left w:val="nil"/>
              <w:bottom w:val="nil"/>
              <w:right w:val="nil"/>
            </w:tcBorders>
            <w:shd w:val="clear" w:color="auto" w:fill="auto"/>
          </w:tcPr>
          <w:p w:rsidR="007077EF" w:rsidRPr="00F67BAF" w:rsidRDefault="007077EF" w:rsidP="001645D6">
            <w:pPr>
              <w:jc w:val="right"/>
              <w:rPr>
                <w:sz w:val="18"/>
                <w:szCs w:val="18"/>
              </w:rPr>
            </w:pPr>
            <w:r>
              <w:rPr>
                <w:sz w:val="18"/>
                <w:szCs w:val="18"/>
              </w:rPr>
              <w:t>(117,</w:t>
            </w:r>
            <w:r w:rsidR="001645D6">
              <w:rPr>
                <w:sz w:val="18"/>
                <w:szCs w:val="18"/>
              </w:rPr>
              <w:t>912</w:t>
            </w:r>
            <w:r>
              <w:rPr>
                <w:sz w:val="18"/>
                <w:szCs w:val="18"/>
              </w:rPr>
              <w:t>)</w:t>
            </w:r>
          </w:p>
        </w:tc>
        <w:tc>
          <w:tcPr>
            <w:tcW w:w="1064" w:type="dxa"/>
            <w:tcBorders>
              <w:top w:val="single" w:sz="4" w:space="0" w:color="auto"/>
              <w:left w:val="nil"/>
              <w:bottom w:val="nil"/>
              <w:right w:val="nil"/>
            </w:tcBorders>
            <w:shd w:val="clear" w:color="auto" w:fill="auto"/>
          </w:tcPr>
          <w:p w:rsidR="007077EF" w:rsidRPr="00F67BAF" w:rsidRDefault="007077EF" w:rsidP="001645D6">
            <w:pPr>
              <w:jc w:val="right"/>
              <w:rPr>
                <w:sz w:val="18"/>
                <w:szCs w:val="18"/>
              </w:rPr>
            </w:pPr>
            <w:r>
              <w:rPr>
                <w:sz w:val="18"/>
                <w:szCs w:val="18"/>
              </w:rPr>
              <w:t>(11</w:t>
            </w:r>
            <w:r w:rsidR="001645D6">
              <w:rPr>
                <w:sz w:val="18"/>
                <w:szCs w:val="18"/>
              </w:rPr>
              <w:t>5</w:t>
            </w:r>
            <w:r>
              <w:rPr>
                <w:sz w:val="18"/>
                <w:szCs w:val="18"/>
              </w:rPr>
              <w:t>,</w:t>
            </w:r>
            <w:r w:rsidR="001645D6">
              <w:rPr>
                <w:sz w:val="18"/>
                <w:szCs w:val="18"/>
              </w:rPr>
              <w:t>627</w:t>
            </w:r>
            <w:r>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4" w:type="dxa"/>
            <w:tcBorders>
              <w:top w:val="nil"/>
              <w:left w:val="nil"/>
              <w:bottom w:val="nil"/>
              <w:right w:val="nil"/>
            </w:tcBorders>
          </w:tcPr>
          <w:p w:rsidR="007077EF" w:rsidRPr="00F67BAF" w:rsidRDefault="007077EF" w:rsidP="00296A09">
            <w:pPr>
              <w:jc w:val="right"/>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nil"/>
              <w:left w:val="nil"/>
              <w:bottom w:val="nil"/>
              <w:right w:val="nil"/>
            </w:tcBorders>
          </w:tcPr>
          <w:p w:rsidR="007077EF" w:rsidRPr="00F67BAF" w:rsidRDefault="007077EF" w:rsidP="00296A09">
            <w:pPr>
              <w:jc w:val="right"/>
              <w:rPr>
                <w:sz w:val="18"/>
                <w:szCs w:val="18"/>
                <w:highlight w:val="yellow"/>
              </w:rPr>
            </w:pP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Transfers (to)/from earmarked reserves</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10</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(10)</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Transfers (to)/from capital funding reserve</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(4,296)</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(2,053)</w:t>
            </w:r>
          </w:p>
        </w:tc>
        <w:tc>
          <w:tcPr>
            <w:tcW w:w="1064" w:type="dxa"/>
            <w:tcBorders>
              <w:top w:val="nil"/>
              <w:left w:val="nil"/>
              <w:bottom w:val="nil"/>
              <w:right w:val="nil"/>
            </w:tcBorders>
          </w:tcPr>
          <w:p w:rsidR="007077EF" w:rsidRPr="00F67BAF" w:rsidRDefault="007077EF" w:rsidP="00296A09">
            <w:pPr>
              <w:jc w:val="right"/>
              <w:rPr>
                <w:sz w:val="18"/>
                <w:szCs w:val="18"/>
              </w:rPr>
            </w:pPr>
            <w:r>
              <w:rPr>
                <w:sz w:val="18"/>
                <w:szCs w:val="18"/>
              </w:rPr>
              <w:t>(6,349)</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6,349</w:t>
            </w:r>
          </w:p>
        </w:tc>
        <w:tc>
          <w:tcPr>
            <w:tcW w:w="1063" w:type="dxa"/>
            <w:tcBorders>
              <w:top w:val="nil"/>
              <w:left w:val="nil"/>
              <w:bottom w:val="nil"/>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ind w:left="284"/>
              <w:jc w:val="both"/>
              <w:rPr>
                <w:sz w:val="18"/>
                <w:szCs w:val="18"/>
              </w:rPr>
            </w:pPr>
            <w:r w:rsidRPr="00F67BAF">
              <w:rPr>
                <w:sz w:val="18"/>
                <w:szCs w:val="18"/>
              </w:rPr>
              <w:t>Transfers (to)/from accumulated absences adjustment account</w:t>
            </w:r>
          </w:p>
        </w:tc>
        <w:tc>
          <w:tcPr>
            <w:tcW w:w="1063"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43</w:t>
            </w:r>
          </w:p>
        </w:tc>
        <w:tc>
          <w:tcPr>
            <w:tcW w:w="1205"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single" w:sz="4" w:space="0" w:color="auto"/>
              <w:right w:val="nil"/>
            </w:tcBorders>
          </w:tcPr>
          <w:p w:rsidR="007077EF" w:rsidRPr="00F67BAF" w:rsidRDefault="007077EF" w:rsidP="00296A09">
            <w:pPr>
              <w:jc w:val="right"/>
              <w:rPr>
                <w:sz w:val="18"/>
                <w:szCs w:val="18"/>
              </w:rPr>
            </w:pPr>
            <w:r>
              <w:rPr>
                <w:sz w:val="18"/>
                <w:szCs w:val="18"/>
              </w:rPr>
              <w:t>43</w:t>
            </w:r>
          </w:p>
        </w:tc>
        <w:tc>
          <w:tcPr>
            <w:tcW w:w="1063"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single" w:sz="4" w:space="0" w:color="auto"/>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43</w:t>
            </w:r>
          </w:p>
        </w:tc>
        <w:tc>
          <w:tcPr>
            <w:tcW w:w="1063"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(43)</w:t>
            </w:r>
          </w:p>
        </w:tc>
        <w:tc>
          <w:tcPr>
            <w:tcW w:w="1064" w:type="dxa"/>
            <w:tcBorders>
              <w:top w:val="nil"/>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rFonts w:cs="Arial"/>
                <w:sz w:val="18"/>
                <w:szCs w:val="18"/>
              </w:rPr>
            </w:pPr>
            <w:r w:rsidRPr="00F67BAF">
              <w:rPr>
                <w:rFonts w:cs="Arial"/>
                <w:sz w:val="18"/>
                <w:szCs w:val="18"/>
              </w:rPr>
              <w:t xml:space="preserve">Net </w:t>
            </w:r>
            <w:proofErr w:type="spellStart"/>
            <w:r w:rsidRPr="00F67BAF">
              <w:rPr>
                <w:rFonts w:cs="Arial"/>
                <w:sz w:val="18"/>
                <w:szCs w:val="18"/>
              </w:rPr>
              <w:t>tfr</w:t>
            </w:r>
            <w:proofErr w:type="spellEnd"/>
            <w:r w:rsidRPr="00F67BAF">
              <w:rPr>
                <w:rFonts w:cs="Arial"/>
                <w:sz w:val="18"/>
                <w:szCs w:val="18"/>
              </w:rPr>
              <w:t xml:space="preserve"> (to)/from earmarked reserves</w:t>
            </w:r>
          </w:p>
        </w:tc>
        <w:tc>
          <w:tcPr>
            <w:tcW w:w="1063"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(4,244)</w:t>
            </w:r>
          </w:p>
        </w:tc>
        <w:tc>
          <w:tcPr>
            <w:tcW w:w="1205"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(2,063)</w:t>
            </w:r>
          </w:p>
        </w:tc>
        <w:tc>
          <w:tcPr>
            <w:tcW w:w="1064" w:type="dxa"/>
            <w:tcBorders>
              <w:top w:val="single" w:sz="4" w:space="0" w:color="auto"/>
              <w:left w:val="nil"/>
              <w:bottom w:val="single" w:sz="4" w:space="0" w:color="auto"/>
              <w:right w:val="nil"/>
            </w:tcBorders>
          </w:tcPr>
          <w:p w:rsidR="007077EF" w:rsidRPr="00F67BAF" w:rsidRDefault="007077EF" w:rsidP="00296A09">
            <w:pPr>
              <w:jc w:val="right"/>
              <w:rPr>
                <w:sz w:val="18"/>
                <w:szCs w:val="18"/>
              </w:rPr>
            </w:pPr>
            <w:r>
              <w:rPr>
                <w:sz w:val="18"/>
                <w:szCs w:val="18"/>
              </w:rPr>
              <w:t>(6,306)</w:t>
            </w:r>
          </w:p>
        </w:tc>
        <w:tc>
          <w:tcPr>
            <w:tcW w:w="1063"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6,349</w:t>
            </w:r>
          </w:p>
        </w:tc>
        <w:tc>
          <w:tcPr>
            <w:tcW w:w="1063" w:type="dxa"/>
            <w:tcBorders>
              <w:top w:val="single" w:sz="4" w:space="0" w:color="auto"/>
              <w:left w:val="nil"/>
              <w:bottom w:val="single" w:sz="4" w:space="0" w:color="auto"/>
              <w:right w:val="nil"/>
            </w:tcBorders>
          </w:tcPr>
          <w:p w:rsidR="007077EF" w:rsidRPr="00F67BAF" w:rsidRDefault="007077EF" w:rsidP="00296A09">
            <w:pPr>
              <w:jc w:val="right"/>
              <w:rPr>
                <w:sz w:val="18"/>
                <w:szCs w:val="18"/>
              </w:rPr>
            </w:pPr>
            <w:r w:rsidRPr="00F67BAF">
              <w:rPr>
                <w:sz w:val="18"/>
                <w:szCs w:val="18"/>
              </w:rPr>
              <w:t>-</w:t>
            </w:r>
          </w:p>
        </w:tc>
        <w:tc>
          <w:tcPr>
            <w:tcW w:w="1064"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c>
          <w:tcPr>
            <w:tcW w:w="1063"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43</w:t>
            </w:r>
          </w:p>
        </w:tc>
        <w:tc>
          <w:tcPr>
            <w:tcW w:w="1063"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Pr>
                <w:sz w:val="18"/>
                <w:szCs w:val="18"/>
              </w:rPr>
              <w:t>(43)</w:t>
            </w:r>
          </w:p>
        </w:tc>
        <w:tc>
          <w:tcPr>
            <w:tcW w:w="1064" w:type="dxa"/>
            <w:tcBorders>
              <w:top w:val="single" w:sz="4" w:space="0" w:color="auto"/>
              <w:left w:val="nil"/>
              <w:bottom w:val="single" w:sz="4" w:space="0" w:color="auto"/>
              <w:right w:val="nil"/>
            </w:tcBorders>
            <w:shd w:val="clear" w:color="auto" w:fill="auto"/>
          </w:tcPr>
          <w:p w:rsidR="007077EF" w:rsidRPr="00F67BAF" w:rsidRDefault="007077EF" w:rsidP="00296A09">
            <w:pPr>
              <w:jc w:val="right"/>
              <w:rPr>
                <w:sz w:val="18"/>
                <w:szCs w:val="18"/>
              </w:rPr>
            </w:pPr>
            <w:r w:rsidRPr="00F67BAF">
              <w:rPr>
                <w:sz w:val="18"/>
                <w:szCs w:val="18"/>
              </w:rPr>
              <w:t>-</w:t>
            </w:r>
          </w:p>
        </w:tc>
      </w:tr>
      <w:tr w:rsidR="007077EF" w:rsidRPr="00F67BAF" w:rsidTr="00EF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p>
        </w:tc>
        <w:tc>
          <w:tcPr>
            <w:tcW w:w="1063"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highlight w:val="yellow"/>
              </w:rPr>
            </w:pPr>
          </w:p>
        </w:tc>
        <w:tc>
          <w:tcPr>
            <w:tcW w:w="1205"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highlight w:val="yellow"/>
              </w:rPr>
            </w:pPr>
          </w:p>
        </w:tc>
        <w:tc>
          <w:tcPr>
            <w:tcW w:w="1064" w:type="dxa"/>
            <w:tcBorders>
              <w:top w:val="single" w:sz="4" w:space="0" w:color="auto"/>
              <w:left w:val="nil"/>
              <w:bottom w:val="nil"/>
              <w:right w:val="nil"/>
            </w:tcBorders>
          </w:tcPr>
          <w:p w:rsidR="007077EF" w:rsidRPr="00F67BAF" w:rsidRDefault="007077EF" w:rsidP="00296A0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single" w:sz="4" w:space="0" w:color="auto"/>
              <w:left w:val="nil"/>
              <w:bottom w:val="nil"/>
              <w:right w:val="nil"/>
            </w:tcBorders>
          </w:tcPr>
          <w:p w:rsidR="007077EF" w:rsidRPr="00F67BAF" w:rsidRDefault="007077EF" w:rsidP="00296A09">
            <w:pPr>
              <w:jc w:val="right"/>
              <w:rPr>
                <w:sz w:val="18"/>
                <w:szCs w:val="18"/>
                <w:highlight w:val="yellow"/>
              </w:rPr>
            </w:pPr>
          </w:p>
        </w:tc>
        <w:tc>
          <w:tcPr>
            <w:tcW w:w="1064"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rPr>
            </w:pPr>
          </w:p>
        </w:tc>
        <w:tc>
          <w:tcPr>
            <w:tcW w:w="1064" w:type="dxa"/>
            <w:tcBorders>
              <w:top w:val="single" w:sz="4" w:space="0" w:color="auto"/>
              <w:left w:val="nil"/>
              <w:bottom w:val="nil"/>
              <w:right w:val="nil"/>
            </w:tcBorders>
            <w:shd w:val="clear" w:color="auto" w:fill="auto"/>
          </w:tcPr>
          <w:p w:rsidR="007077EF" w:rsidRPr="00F67BAF" w:rsidRDefault="007077EF" w:rsidP="00296A09">
            <w:pPr>
              <w:jc w:val="right"/>
              <w:rPr>
                <w:sz w:val="18"/>
                <w:szCs w:val="18"/>
              </w:rPr>
            </w:pP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r w:rsidRPr="00F67BAF">
              <w:rPr>
                <w:sz w:val="18"/>
                <w:szCs w:val="18"/>
              </w:rPr>
              <w:t>Increase/(Decrease) in the year</w:t>
            </w:r>
          </w:p>
        </w:tc>
        <w:tc>
          <w:tcPr>
            <w:tcW w:w="1063" w:type="dxa"/>
            <w:tcBorders>
              <w:top w:val="nil"/>
              <w:left w:val="nil"/>
              <w:bottom w:val="nil"/>
              <w:right w:val="nil"/>
            </w:tcBorders>
            <w:shd w:val="clear" w:color="auto" w:fill="auto"/>
          </w:tcPr>
          <w:p w:rsidR="007077EF" w:rsidRPr="00F67BAF" w:rsidRDefault="001645D6" w:rsidP="001645D6">
            <w:pPr>
              <w:jc w:val="right"/>
              <w:rPr>
                <w:sz w:val="18"/>
                <w:szCs w:val="18"/>
              </w:rPr>
            </w:pPr>
            <w:r>
              <w:rPr>
                <w:sz w:val="18"/>
                <w:szCs w:val="18"/>
              </w:rPr>
              <w:t>266</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(2,063)</w:t>
            </w:r>
          </w:p>
        </w:tc>
        <w:tc>
          <w:tcPr>
            <w:tcW w:w="1064" w:type="dxa"/>
            <w:tcBorders>
              <w:top w:val="nil"/>
              <w:left w:val="nil"/>
              <w:bottom w:val="nil"/>
              <w:right w:val="nil"/>
            </w:tcBorders>
          </w:tcPr>
          <w:p w:rsidR="007077EF" w:rsidRPr="00F67BAF" w:rsidRDefault="007077EF" w:rsidP="00724E33">
            <w:pPr>
              <w:jc w:val="right"/>
              <w:rPr>
                <w:sz w:val="18"/>
                <w:szCs w:val="18"/>
              </w:rPr>
            </w:pPr>
            <w:r>
              <w:rPr>
                <w:sz w:val="18"/>
                <w:szCs w:val="18"/>
              </w:rPr>
              <w:t>(1,</w:t>
            </w:r>
            <w:r w:rsidR="001645D6">
              <w:rPr>
                <w:sz w:val="18"/>
                <w:szCs w:val="18"/>
              </w:rPr>
              <w:t>797</w:t>
            </w:r>
            <w:r>
              <w:rPr>
                <w:sz w:val="18"/>
                <w:szCs w:val="18"/>
              </w:rPr>
              <w:t>)</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6,349</w:t>
            </w:r>
          </w:p>
        </w:tc>
        <w:tc>
          <w:tcPr>
            <w:tcW w:w="1063" w:type="dxa"/>
            <w:tcBorders>
              <w:top w:val="nil"/>
              <w:left w:val="nil"/>
              <w:bottom w:val="nil"/>
              <w:right w:val="nil"/>
            </w:tcBorders>
          </w:tcPr>
          <w:p w:rsidR="007077EF" w:rsidRPr="00F67BAF" w:rsidRDefault="007077EF" w:rsidP="00724E33">
            <w:pPr>
              <w:jc w:val="right"/>
              <w:rPr>
                <w:sz w:val="18"/>
                <w:szCs w:val="18"/>
              </w:rPr>
            </w:pPr>
            <w:r>
              <w:rPr>
                <w:sz w:val="18"/>
                <w:szCs w:val="18"/>
              </w:rPr>
              <w:t>(</w:t>
            </w:r>
            <w:r w:rsidR="008418E6">
              <w:rPr>
                <w:sz w:val="18"/>
                <w:szCs w:val="18"/>
              </w:rPr>
              <w:t>2,224</w:t>
            </w:r>
            <w:r>
              <w:rPr>
                <w:sz w:val="18"/>
                <w:szCs w:val="18"/>
              </w:rPr>
              <w:t>)</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w:t>
            </w:r>
          </w:p>
        </w:tc>
        <w:tc>
          <w:tcPr>
            <w:tcW w:w="1063" w:type="dxa"/>
            <w:tcBorders>
              <w:top w:val="nil"/>
              <w:left w:val="nil"/>
              <w:bottom w:val="nil"/>
              <w:right w:val="nil"/>
            </w:tcBorders>
            <w:shd w:val="clear" w:color="auto" w:fill="auto"/>
          </w:tcPr>
          <w:p w:rsidR="007077EF" w:rsidRPr="00F67BAF" w:rsidRDefault="007077EF" w:rsidP="00724E33">
            <w:pPr>
              <w:jc w:val="right"/>
              <w:rPr>
                <w:sz w:val="18"/>
                <w:szCs w:val="18"/>
              </w:rPr>
            </w:pPr>
            <w:r>
              <w:rPr>
                <w:sz w:val="18"/>
                <w:szCs w:val="18"/>
              </w:rPr>
              <w:t>2,</w:t>
            </w:r>
            <w:r w:rsidR="008418E6">
              <w:rPr>
                <w:sz w:val="18"/>
                <w:szCs w:val="18"/>
              </w:rPr>
              <w:t>328</w:t>
            </w:r>
          </w:p>
        </w:tc>
        <w:tc>
          <w:tcPr>
            <w:tcW w:w="1063" w:type="dxa"/>
            <w:tcBorders>
              <w:top w:val="nil"/>
              <w:left w:val="nil"/>
              <w:bottom w:val="nil"/>
              <w:right w:val="nil"/>
            </w:tcBorders>
            <w:shd w:val="clear" w:color="auto" w:fill="auto"/>
          </w:tcPr>
          <w:p w:rsidR="007077EF" w:rsidRPr="00F67BAF" w:rsidRDefault="007077EF" w:rsidP="00CA025A">
            <w:pPr>
              <w:jc w:val="right"/>
              <w:rPr>
                <w:sz w:val="18"/>
                <w:szCs w:val="18"/>
              </w:rPr>
            </w:pPr>
            <w:r>
              <w:rPr>
                <w:sz w:val="18"/>
                <w:szCs w:val="18"/>
              </w:rPr>
              <w:t>(117,</w:t>
            </w:r>
            <w:r w:rsidR="008418E6">
              <w:rPr>
                <w:sz w:val="18"/>
                <w:szCs w:val="18"/>
              </w:rPr>
              <w:t>955</w:t>
            </w:r>
            <w:r>
              <w:rPr>
                <w:sz w:val="18"/>
                <w:szCs w:val="18"/>
              </w:rPr>
              <w:t>)</w:t>
            </w:r>
          </w:p>
        </w:tc>
        <w:tc>
          <w:tcPr>
            <w:tcW w:w="1064" w:type="dxa"/>
            <w:tcBorders>
              <w:top w:val="nil"/>
              <w:left w:val="nil"/>
              <w:bottom w:val="nil"/>
              <w:right w:val="nil"/>
            </w:tcBorders>
            <w:shd w:val="clear" w:color="auto" w:fill="auto"/>
          </w:tcPr>
          <w:p w:rsidR="007077EF" w:rsidRPr="00F67BAF" w:rsidRDefault="007077EF" w:rsidP="00CA025A">
            <w:pPr>
              <w:jc w:val="right"/>
              <w:rPr>
                <w:sz w:val="18"/>
                <w:szCs w:val="18"/>
              </w:rPr>
            </w:pPr>
            <w:r>
              <w:rPr>
                <w:sz w:val="18"/>
                <w:szCs w:val="18"/>
              </w:rPr>
              <w:t>(</w:t>
            </w:r>
            <w:r w:rsidR="008418E6">
              <w:rPr>
                <w:sz w:val="18"/>
                <w:szCs w:val="18"/>
              </w:rPr>
              <w:t>115</w:t>
            </w:r>
            <w:r>
              <w:rPr>
                <w:sz w:val="18"/>
                <w:szCs w:val="18"/>
              </w:rPr>
              <w:t>,</w:t>
            </w:r>
            <w:r w:rsidR="008418E6">
              <w:rPr>
                <w:sz w:val="18"/>
                <w:szCs w:val="18"/>
              </w:rPr>
              <w:t>627</w:t>
            </w:r>
            <w:r>
              <w:rPr>
                <w:sz w:val="18"/>
                <w:szCs w:val="18"/>
              </w:rPr>
              <w:t>)</w:t>
            </w: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4" w:type="dxa"/>
            <w:tcBorders>
              <w:top w:val="nil"/>
              <w:left w:val="nil"/>
              <w:bottom w:val="nil"/>
              <w:right w:val="nil"/>
            </w:tcBorders>
          </w:tcPr>
          <w:p w:rsidR="007077EF" w:rsidRPr="00F67BAF" w:rsidRDefault="007077EF" w:rsidP="00296A09">
            <w:pPr>
              <w:jc w:val="right"/>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nil"/>
              <w:left w:val="nil"/>
              <w:bottom w:val="nil"/>
              <w:right w:val="nil"/>
            </w:tcBorders>
          </w:tcPr>
          <w:p w:rsidR="007077EF" w:rsidRPr="00F67BAF" w:rsidRDefault="007077EF" w:rsidP="00296A09">
            <w:pPr>
              <w:jc w:val="right"/>
              <w:rPr>
                <w:sz w:val="18"/>
                <w:szCs w:val="18"/>
                <w:highlight w:val="yellow"/>
              </w:rPr>
            </w:pPr>
          </w:p>
        </w:tc>
        <w:tc>
          <w:tcPr>
            <w:tcW w:w="1064" w:type="dxa"/>
            <w:tcBorders>
              <w:top w:val="nil"/>
              <w:left w:val="nil"/>
              <w:bottom w:val="nil"/>
              <w:right w:val="nil"/>
            </w:tcBorders>
            <w:shd w:val="clear" w:color="auto" w:fill="auto"/>
          </w:tcPr>
          <w:p w:rsidR="007077EF" w:rsidRPr="00F67BAF" w:rsidRDefault="007077EF" w:rsidP="00296A09">
            <w:pPr>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highlight w:val="yellow"/>
              </w:rPr>
            </w:pP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p>
        </w:tc>
      </w:tr>
      <w:tr w:rsidR="007077EF" w:rsidRPr="00F67BAF" w:rsidTr="0029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rsidR="007077EF" w:rsidRPr="00F67BAF" w:rsidRDefault="007077EF" w:rsidP="00296A09">
            <w:pPr>
              <w:jc w:val="both"/>
              <w:rPr>
                <w:sz w:val="18"/>
                <w:szCs w:val="18"/>
              </w:rPr>
            </w:pPr>
            <w:r w:rsidRPr="00F67BAF">
              <w:rPr>
                <w:sz w:val="18"/>
                <w:szCs w:val="18"/>
              </w:rPr>
              <w:t>Balance at 31 March 2017 carried forwards</w:t>
            </w:r>
          </w:p>
        </w:tc>
        <w:tc>
          <w:tcPr>
            <w:tcW w:w="1063" w:type="dxa"/>
            <w:tcBorders>
              <w:top w:val="nil"/>
              <w:left w:val="nil"/>
              <w:bottom w:val="nil"/>
              <w:right w:val="nil"/>
            </w:tcBorders>
            <w:shd w:val="clear" w:color="auto" w:fill="auto"/>
          </w:tcPr>
          <w:p w:rsidR="007077EF" w:rsidRPr="00F67BAF" w:rsidRDefault="007077EF" w:rsidP="001645D6">
            <w:pPr>
              <w:jc w:val="right"/>
              <w:rPr>
                <w:sz w:val="18"/>
                <w:szCs w:val="18"/>
              </w:rPr>
            </w:pPr>
            <w:r>
              <w:rPr>
                <w:sz w:val="18"/>
                <w:szCs w:val="18"/>
              </w:rPr>
              <w:t>10,</w:t>
            </w:r>
            <w:r w:rsidR="001645D6">
              <w:rPr>
                <w:sz w:val="18"/>
                <w:szCs w:val="18"/>
              </w:rPr>
              <w:t>512</w:t>
            </w:r>
          </w:p>
        </w:tc>
        <w:tc>
          <w:tcPr>
            <w:tcW w:w="1205"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7,455</w:t>
            </w:r>
          </w:p>
        </w:tc>
        <w:tc>
          <w:tcPr>
            <w:tcW w:w="1064" w:type="dxa"/>
            <w:tcBorders>
              <w:top w:val="nil"/>
              <w:left w:val="nil"/>
              <w:bottom w:val="nil"/>
              <w:right w:val="nil"/>
            </w:tcBorders>
          </w:tcPr>
          <w:p w:rsidR="007077EF" w:rsidRPr="00F67BAF" w:rsidRDefault="007077EF" w:rsidP="00724E33">
            <w:pPr>
              <w:jc w:val="right"/>
              <w:rPr>
                <w:sz w:val="18"/>
                <w:szCs w:val="18"/>
              </w:rPr>
            </w:pPr>
            <w:r>
              <w:rPr>
                <w:sz w:val="18"/>
                <w:szCs w:val="18"/>
              </w:rPr>
              <w:t>17,</w:t>
            </w:r>
            <w:r w:rsidR="001645D6">
              <w:rPr>
                <w:sz w:val="18"/>
                <w:szCs w:val="18"/>
              </w:rPr>
              <w:t>967</w:t>
            </w:r>
          </w:p>
        </w:tc>
        <w:tc>
          <w:tcPr>
            <w:tcW w:w="1063"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16,633</w:t>
            </w:r>
          </w:p>
        </w:tc>
        <w:tc>
          <w:tcPr>
            <w:tcW w:w="1063" w:type="dxa"/>
            <w:tcBorders>
              <w:top w:val="nil"/>
              <w:left w:val="nil"/>
              <w:bottom w:val="nil"/>
              <w:right w:val="nil"/>
            </w:tcBorders>
          </w:tcPr>
          <w:p w:rsidR="007077EF" w:rsidRPr="00F67BAF" w:rsidRDefault="008418E6" w:rsidP="00296A09">
            <w:pPr>
              <w:jc w:val="right"/>
              <w:rPr>
                <w:sz w:val="18"/>
                <w:szCs w:val="18"/>
              </w:rPr>
            </w:pPr>
            <w:r>
              <w:rPr>
                <w:sz w:val="18"/>
                <w:szCs w:val="18"/>
              </w:rPr>
              <w:t>947</w:t>
            </w:r>
          </w:p>
        </w:tc>
        <w:tc>
          <w:tcPr>
            <w:tcW w:w="1064" w:type="dxa"/>
            <w:tcBorders>
              <w:top w:val="nil"/>
              <w:left w:val="nil"/>
              <w:bottom w:val="nil"/>
              <w:right w:val="nil"/>
            </w:tcBorders>
            <w:shd w:val="clear" w:color="auto" w:fill="auto"/>
          </w:tcPr>
          <w:p w:rsidR="007077EF" w:rsidRPr="00F67BAF" w:rsidRDefault="007077EF" w:rsidP="00296A09">
            <w:pPr>
              <w:jc w:val="right"/>
              <w:rPr>
                <w:sz w:val="18"/>
                <w:szCs w:val="18"/>
              </w:rPr>
            </w:pPr>
            <w:r>
              <w:rPr>
                <w:sz w:val="18"/>
                <w:szCs w:val="18"/>
              </w:rPr>
              <w:t>1,501</w:t>
            </w:r>
          </w:p>
        </w:tc>
        <w:tc>
          <w:tcPr>
            <w:tcW w:w="1063" w:type="dxa"/>
            <w:tcBorders>
              <w:top w:val="nil"/>
              <w:left w:val="nil"/>
              <w:bottom w:val="nil"/>
              <w:right w:val="nil"/>
            </w:tcBorders>
            <w:shd w:val="clear" w:color="auto" w:fill="auto"/>
          </w:tcPr>
          <w:p w:rsidR="007077EF" w:rsidRPr="00F67BAF" w:rsidRDefault="008418E6" w:rsidP="00724E33">
            <w:pPr>
              <w:jc w:val="right"/>
              <w:rPr>
                <w:sz w:val="18"/>
                <w:szCs w:val="18"/>
              </w:rPr>
            </w:pPr>
            <w:r>
              <w:rPr>
                <w:sz w:val="18"/>
                <w:szCs w:val="18"/>
              </w:rPr>
              <w:t>37</w:t>
            </w:r>
            <w:r w:rsidR="007077EF">
              <w:rPr>
                <w:sz w:val="18"/>
                <w:szCs w:val="18"/>
              </w:rPr>
              <w:t>,</w:t>
            </w:r>
            <w:r>
              <w:rPr>
                <w:sz w:val="18"/>
                <w:szCs w:val="18"/>
              </w:rPr>
              <w:t>048</w:t>
            </w:r>
          </w:p>
        </w:tc>
        <w:tc>
          <w:tcPr>
            <w:tcW w:w="1063" w:type="dxa"/>
            <w:tcBorders>
              <w:top w:val="nil"/>
              <w:left w:val="nil"/>
              <w:bottom w:val="nil"/>
              <w:right w:val="nil"/>
            </w:tcBorders>
            <w:shd w:val="clear" w:color="auto" w:fill="auto"/>
          </w:tcPr>
          <w:p w:rsidR="007077EF" w:rsidRPr="00F67BAF" w:rsidRDefault="007077EF" w:rsidP="00CA025A">
            <w:pPr>
              <w:jc w:val="right"/>
              <w:rPr>
                <w:sz w:val="18"/>
                <w:szCs w:val="18"/>
              </w:rPr>
            </w:pPr>
            <w:r>
              <w:rPr>
                <w:sz w:val="18"/>
                <w:szCs w:val="18"/>
              </w:rPr>
              <w:t>(</w:t>
            </w:r>
            <w:r w:rsidR="008418E6">
              <w:rPr>
                <w:sz w:val="18"/>
                <w:szCs w:val="18"/>
              </w:rPr>
              <w:t>724</w:t>
            </w:r>
            <w:r>
              <w:rPr>
                <w:sz w:val="18"/>
                <w:szCs w:val="18"/>
              </w:rPr>
              <w:t>,</w:t>
            </w:r>
            <w:r w:rsidR="008418E6">
              <w:rPr>
                <w:sz w:val="18"/>
                <w:szCs w:val="18"/>
              </w:rPr>
              <w:t>164</w:t>
            </w:r>
            <w:r>
              <w:rPr>
                <w:sz w:val="18"/>
                <w:szCs w:val="18"/>
              </w:rPr>
              <w:t>)</w:t>
            </w:r>
          </w:p>
        </w:tc>
        <w:tc>
          <w:tcPr>
            <w:tcW w:w="1064" w:type="dxa"/>
            <w:tcBorders>
              <w:top w:val="nil"/>
              <w:left w:val="nil"/>
              <w:bottom w:val="nil"/>
              <w:right w:val="nil"/>
            </w:tcBorders>
            <w:shd w:val="clear" w:color="auto" w:fill="auto"/>
          </w:tcPr>
          <w:p w:rsidR="007077EF" w:rsidRPr="00F67BAF" w:rsidRDefault="007077EF" w:rsidP="00CA025A">
            <w:pPr>
              <w:jc w:val="right"/>
              <w:rPr>
                <w:sz w:val="18"/>
                <w:szCs w:val="18"/>
              </w:rPr>
            </w:pPr>
            <w:r>
              <w:rPr>
                <w:sz w:val="18"/>
                <w:szCs w:val="18"/>
              </w:rPr>
              <w:t>(</w:t>
            </w:r>
            <w:r w:rsidR="008418E6">
              <w:rPr>
                <w:sz w:val="18"/>
                <w:szCs w:val="18"/>
              </w:rPr>
              <w:t>687</w:t>
            </w:r>
            <w:r>
              <w:rPr>
                <w:sz w:val="18"/>
                <w:szCs w:val="18"/>
              </w:rPr>
              <w:t>,</w:t>
            </w:r>
            <w:r w:rsidR="008418E6">
              <w:rPr>
                <w:sz w:val="18"/>
                <w:szCs w:val="18"/>
              </w:rPr>
              <w:t>116</w:t>
            </w:r>
            <w:r>
              <w:rPr>
                <w:sz w:val="18"/>
                <w:szCs w:val="18"/>
              </w:rPr>
              <w:t>)</w:t>
            </w:r>
          </w:p>
        </w:tc>
      </w:tr>
    </w:tbl>
    <w:p w:rsidR="001C2B3D" w:rsidRDefault="001C2B3D" w:rsidP="003D7559">
      <w:pPr>
        <w:tabs>
          <w:tab w:val="left" w:pos="720"/>
          <w:tab w:val="right" w:pos="5760"/>
        </w:tabs>
        <w:jc w:val="center"/>
        <w:rPr>
          <w:b/>
          <w:sz w:val="22"/>
        </w:rPr>
      </w:pPr>
    </w:p>
    <w:p w:rsidR="003001DB" w:rsidRPr="00190D40" w:rsidRDefault="008418E6" w:rsidP="00EF4270">
      <w:pPr>
        <w:tabs>
          <w:tab w:val="left" w:pos="720"/>
          <w:tab w:val="right" w:pos="5760"/>
        </w:tabs>
        <w:rPr>
          <w:sz w:val="18"/>
          <w:szCs w:val="18"/>
        </w:rPr>
        <w:sectPr w:rsidR="003001DB" w:rsidRPr="00190D40" w:rsidSect="004347D0">
          <w:pgSz w:w="16840" w:h="11907" w:orient="landscape" w:code="9"/>
          <w:pgMar w:top="737" w:right="851" w:bottom="794" w:left="624" w:header="720" w:footer="720" w:gutter="0"/>
          <w:cols w:space="720"/>
        </w:sectPr>
      </w:pPr>
      <w:r w:rsidRPr="00EF4270">
        <w:rPr>
          <w:sz w:val="18"/>
          <w:szCs w:val="18"/>
        </w:rPr>
        <w:t>The 2016/17</w:t>
      </w:r>
      <w:r w:rsidR="003601D2" w:rsidRPr="00EF4270">
        <w:rPr>
          <w:sz w:val="18"/>
          <w:szCs w:val="18"/>
        </w:rPr>
        <w:t xml:space="preserve"> </w:t>
      </w:r>
      <w:r>
        <w:rPr>
          <w:sz w:val="18"/>
          <w:szCs w:val="18"/>
        </w:rPr>
        <w:t xml:space="preserve">statement </w:t>
      </w:r>
      <w:r w:rsidR="00C05831">
        <w:rPr>
          <w:sz w:val="18"/>
          <w:szCs w:val="18"/>
        </w:rPr>
        <w:t xml:space="preserve">including opening balances </w:t>
      </w:r>
      <w:r>
        <w:rPr>
          <w:sz w:val="18"/>
          <w:szCs w:val="18"/>
        </w:rPr>
        <w:t>has been re</w:t>
      </w:r>
      <w:r w:rsidR="00C05831">
        <w:rPr>
          <w:sz w:val="18"/>
          <w:szCs w:val="18"/>
        </w:rPr>
        <w:t xml:space="preserve">stated to include the </w:t>
      </w:r>
      <w:r w:rsidR="00EF4270">
        <w:rPr>
          <w:sz w:val="18"/>
          <w:szCs w:val="18"/>
        </w:rPr>
        <w:t>Authority’s</w:t>
      </w:r>
      <w:r>
        <w:rPr>
          <w:sz w:val="18"/>
          <w:szCs w:val="18"/>
        </w:rPr>
        <w:t xml:space="preserve"> </w:t>
      </w:r>
      <w:r w:rsidR="00C05831">
        <w:rPr>
          <w:sz w:val="18"/>
          <w:szCs w:val="18"/>
        </w:rPr>
        <w:t xml:space="preserve">25% </w:t>
      </w:r>
      <w:r>
        <w:rPr>
          <w:sz w:val="18"/>
          <w:szCs w:val="18"/>
        </w:rPr>
        <w:t xml:space="preserve">share of the balances of North West </w:t>
      </w:r>
      <w:proofErr w:type="spellStart"/>
      <w:r>
        <w:rPr>
          <w:sz w:val="18"/>
          <w:szCs w:val="18"/>
        </w:rPr>
        <w:t>FireControl</w:t>
      </w:r>
      <w:proofErr w:type="spellEnd"/>
      <w:r>
        <w:rPr>
          <w:sz w:val="18"/>
          <w:szCs w:val="18"/>
        </w:rPr>
        <w:t xml:space="preserve"> Limited.</w:t>
      </w:r>
    </w:p>
    <w:p w:rsidR="00D90216" w:rsidRDefault="00D90216" w:rsidP="00D90216">
      <w:pPr>
        <w:tabs>
          <w:tab w:val="left" w:pos="540"/>
        </w:tabs>
        <w:jc w:val="center"/>
        <w:rPr>
          <w:b/>
          <w:sz w:val="22"/>
        </w:rPr>
      </w:pPr>
      <w:r>
        <w:rPr>
          <w:b/>
          <w:sz w:val="22"/>
        </w:rPr>
        <w:lastRenderedPageBreak/>
        <w:t>BALANCE SHEET</w:t>
      </w:r>
    </w:p>
    <w:p w:rsidR="00D90216" w:rsidRDefault="00D90216" w:rsidP="00D90216">
      <w:pPr>
        <w:pStyle w:val="BalloonText"/>
        <w:rPr>
          <w:rFonts w:ascii="Arial" w:hAnsi="Arial"/>
          <w:szCs w:val="16"/>
        </w:rPr>
      </w:pPr>
    </w:p>
    <w:p w:rsidR="00D864F8" w:rsidRPr="00B532BA" w:rsidRDefault="00D90216" w:rsidP="009E50EE">
      <w:pPr>
        <w:pStyle w:val="BalloonText"/>
        <w:jc w:val="both"/>
        <w:rPr>
          <w:rFonts w:ascii="Arial" w:hAnsi="Arial"/>
          <w:szCs w:val="16"/>
        </w:rPr>
      </w:pPr>
      <w:r>
        <w:rPr>
          <w:rFonts w:ascii="Arial" w:hAnsi="Arial"/>
          <w:sz w:val="20"/>
        </w:rPr>
        <w:t>The Balance Sheet shows the value as at the Balance Sheet date of the assets and liabilities recognised by the Authority.  The net assets of the Authority (assets less liabilities) are matched by the reserves held by the Authority.  Reserves are reported in two categories, usable reserves are those that the Authority may use to provide services, subject to the need to maintain a prudent level of reserves and any statutory limitations on their use (for example capital receipts may only be used to fund capital expenditure).  The second category is unusable reserves, and includes reserves that hold unrealis</w:t>
      </w:r>
      <w:r w:rsidR="00EC2438">
        <w:rPr>
          <w:rFonts w:ascii="Arial" w:hAnsi="Arial"/>
          <w:sz w:val="20"/>
        </w:rPr>
        <w:t>ed</w:t>
      </w:r>
      <w:r>
        <w:rPr>
          <w:rFonts w:ascii="Arial" w:hAnsi="Arial"/>
          <w:sz w:val="20"/>
        </w:rPr>
        <w:t xml:space="preserve"> gains and losses (</w:t>
      </w:r>
      <w:r w:rsidR="001D3299">
        <w:rPr>
          <w:rFonts w:ascii="Arial" w:hAnsi="Arial"/>
          <w:sz w:val="20"/>
        </w:rPr>
        <w:t>e.g.</w:t>
      </w:r>
      <w:r>
        <w:rPr>
          <w:rFonts w:ascii="Arial" w:hAnsi="Arial"/>
          <w:sz w:val="20"/>
        </w:rPr>
        <w:t xml:space="preserv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r w:rsidR="003040FB">
        <w:rPr>
          <w:rFonts w:ascii="Arial" w:hAnsi="Arial"/>
          <w:sz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678"/>
        <w:gridCol w:w="1843"/>
        <w:gridCol w:w="567"/>
        <w:gridCol w:w="1843"/>
      </w:tblGrid>
      <w:tr w:rsidR="00BF677D" w:rsidRPr="00317976" w:rsidTr="00E536BB">
        <w:trPr>
          <w:cantSplit/>
        </w:trPr>
        <w:tc>
          <w:tcPr>
            <w:tcW w:w="1242" w:type="dxa"/>
            <w:tcBorders>
              <w:top w:val="nil"/>
              <w:left w:val="nil"/>
              <w:bottom w:val="nil"/>
              <w:right w:val="nil"/>
            </w:tcBorders>
          </w:tcPr>
          <w:p w:rsidR="00BF677D" w:rsidRPr="00317976" w:rsidRDefault="00BF677D" w:rsidP="00CD62E6">
            <w:pPr>
              <w:rPr>
                <w:sz w:val="20"/>
              </w:rPr>
            </w:pPr>
          </w:p>
        </w:tc>
        <w:tc>
          <w:tcPr>
            <w:tcW w:w="4678" w:type="dxa"/>
            <w:tcBorders>
              <w:top w:val="nil"/>
              <w:left w:val="nil"/>
              <w:bottom w:val="nil"/>
              <w:right w:val="nil"/>
            </w:tcBorders>
          </w:tcPr>
          <w:p w:rsidR="00BF677D" w:rsidRPr="00317976" w:rsidRDefault="00BF677D" w:rsidP="00CD62E6">
            <w:pPr>
              <w:jc w:val="center"/>
              <w:rPr>
                <w:sz w:val="20"/>
              </w:rPr>
            </w:pPr>
          </w:p>
        </w:tc>
        <w:tc>
          <w:tcPr>
            <w:tcW w:w="1843" w:type="dxa"/>
            <w:tcBorders>
              <w:top w:val="nil"/>
              <w:left w:val="nil"/>
              <w:bottom w:val="nil"/>
              <w:right w:val="nil"/>
            </w:tcBorders>
          </w:tcPr>
          <w:p w:rsidR="00BF677D" w:rsidRDefault="00BF677D" w:rsidP="00BF677D">
            <w:pPr>
              <w:jc w:val="center"/>
              <w:rPr>
                <w:sz w:val="20"/>
              </w:rPr>
            </w:pPr>
            <w:r>
              <w:rPr>
                <w:sz w:val="20"/>
              </w:rPr>
              <w:t>At 31 March 2018</w:t>
            </w:r>
          </w:p>
        </w:tc>
        <w:tc>
          <w:tcPr>
            <w:tcW w:w="567" w:type="dxa"/>
            <w:tcBorders>
              <w:top w:val="nil"/>
              <w:left w:val="nil"/>
              <w:bottom w:val="nil"/>
              <w:right w:val="nil"/>
            </w:tcBorders>
          </w:tcPr>
          <w:p w:rsidR="00BF677D" w:rsidRDefault="00BF677D" w:rsidP="00CD62E6">
            <w:pPr>
              <w:jc w:val="center"/>
              <w:rPr>
                <w:sz w:val="20"/>
              </w:rPr>
            </w:pPr>
          </w:p>
        </w:tc>
        <w:tc>
          <w:tcPr>
            <w:tcW w:w="1843" w:type="dxa"/>
            <w:tcBorders>
              <w:top w:val="nil"/>
              <w:left w:val="nil"/>
              <w:bottom w:val="nil"/>
              <w:right w:val="nil"/>
            </w:tcBorders>
          </w:tcPr>
          <w:p w:rsidR="00BF677D" w:rsidRDefault="00BF677D" w:rsidP="00296A09">
            <w:pPr>
              <w:jc w:val="center"/>
              <w:rPr>
                <w:sz w:val="20"/>
              </w:rPr>
            </w:pPr>
            <w:r>
              <w:rPr>
                <w:sz w:val="20"/>
              </w:rPr>
              <w:t>At 31 March 2017</w:t>
            </w:r>
          </w:p>
        </w:tc>
      </w:tr>
      <w:tr w:rsidR="00724E33" w:rsidRPr="00317976" w:rsidTr="00E536BB">
        <w:tc>
          <w:tcPr>
            <w:tcW w:w="1242" w:type="dxa"/>
            <w:tcBorders>
              <w:top w:val="nil"/>
              <w:left w:val="nil"/>
              <w:bottom w:val="nil"/>
              <w:right w:val="nil"/>
            </w:tcBorders>
          </w:tcPr>
          <w:p w:rsidR="00724E33" w:rsidRPr="00317976" w:rsidRDefault="00724E33" w:rsidP="00CD62E6">
            <w:pPr>
              <w:jc w:val="center"/>
              <w:rPr>
                <w:sz w:val="20"/>
              </w:rPr>
            </w:pPr>
          </w:p>
        </w:tc>
        <w:tc>
          <w:tcPr>
            <w:tcW w:w="4678" w:type="dxa"/>
            <w:tcBorders>
              <w:top w:val="nil"/>
              <w:left w:val="nil"/>
              <w:bottom w:val="nil"/>
              <w:right w:val="nil"/>
            </w:tcBorders>
          </w:tcPr>
          <w:p w:rsidR="00724E33" w:rsidRPr="00317976" w:rsidRDefault="00724E33" w:rsidP="00CD62E6">
            <w:pPr>
              <w:jc w:val="center"/>
              <w:rPr>
                <w:sz w:val="20"/>
              </w:rPr>
            </w:pPr>
          </w:p>
        </w:tc>
        <w:tc>
          <w:tcPr>
            <w:tcW w:w="1843" w:type="dxa"/>
            <w:tcBorders>
              <w:top w:val="nil"/>
              <w:left w:val="nil"/>
              <w:bottom w:val="nil"/>
              <w:right w:val="nil"/>
            </w:tcBorders>
          </w:tcPr>
          <w:p w:rsidR="00724E33" w:rsidRPr="00317976" w:rsidRDefault="00724E33" w:rsidP="00CD62E6">
            <w:pPr>
              <w:pStyle w:val="CommentText"/>
              <w:jc w:val="center"/>
            </w:pPr>
          </w:p>
        </w:tc>
        <w:tc>
          <w:tcPr>
            <w:tcW w:w="567" w:type="dxa"/>
            <w:tcBorders>
              <w:top w:val="nil"/>
              <w:left w:val="nil"/>
              <w:bottom w:val="nil"/>
              <w:right w:val="nil"/>
            </w:tcBorders>
          </w:tcPr>
          <w:p w:rsidR="00724E33" w:rsidRPr="00317976" w:rsidRDefault="00724E33" w:rsidP="00CD62E6">
            <w:pPr>
              <w:pStyle w:val="CommentText"/>
              <w:jc w:val="center"/>
            </w:pPr>
          </w:p>
        </w:tc>
        <w:tc>
          <w:tcPr>
            <w:tcW w:w="1843" w:type="dxa"/>
            <w:tcBorders>
              <w:top w:val="nil"/>
              <w:left w:val="nil"/>
              <w:bottom w:val="nil"/>
              <w:right w:val="nil"/>
            </w:tcBorders>
          </w:tcPr>
          <w:p w:rsidR="00724E33" w:rsidRPr="00317976" w:rsidRDefault="00724E33" w:rsidP="00296A09">
            <w:pPr>
              <w:pStyle w:val="CommentText"/>
              <w:jc w:val="center"/>
            </w:pPr>
            <w:r>
              <w:t>As restated</w:t>
            </w:r>
          </w:p>
        </w:tc>
      </w:tr>
      <w:tr w:rsidR="00BF677D" w:rsidRPr="00317976" w:rsidTr="00E536BB">
        <w:tc>
          <w:tcPr>
            <w:tcW w:w="1242" w:type="dxa"/>
            <w:tcBorders>
              <w:top w:val="nil"/>
              <w:left w:val="nil"/>
              <w:bottom w:val="nil"/>
              <w:right w:val="nil"/>
            </w:tcBorders>
          </w:tcPr>
          <w:p w:rsidR="00BF677D" w:rsidRPr="00317976" w:rsidRDefault="00BF677D" w:rsidP="00CD62E6">
            <w:pPr>
              <w:jc w:val="center"/>
              <w:rPr>
                <w:sz w:val="20"/>
              </w:rPr>
            </w:pPr>
            <w:r w:rsidRPr="00317976">
              <w:rPr>
                <w:sz w:val="20"/>
              </w:rPr>
              <w:t>Notes</w:t>
            </w:r>
          </w:p>
        </w:tc>
        <w:tc>
          <w:tcPr>
            <w:tcW w:w="4678" w:type="dxa"/>
            <w:tcBorders>
              <w:top w:val="nil"/>
              <w:left w:val="nil"/>
              <w:bottom w:val="nil"/>
              <w:right w:val="nil"/>
            </w:tcBorders>
          </w:tcPr>
          <w:p w:rsidR="00BF677D" w:rsidRPr="00317976" w:rsidRDefault="00BF677D" w:rsidP="00CD62E6">
            <w:pPr>
              <w:jc w:val="center"/>
              <w:rPr>
                <w:sz w:val="20"/>
              </w:rPr>
            </w:pPr>
          </w:p>
        </w:tc>
        <w:tc>
          <w:tcPr>
            <w:tcW w:w="1843" w:type="dxa"/>
            <w:tcBorders>
              <w:top w:val="nil"/>
              <w:left w:val="nil"/>
              <w:bottom w:val="nil"/>
              <w:right w:val="nil"/>
            </w:tcBorders>
          </w:tcPr>
          <w:p w:rsidR="00BF677D" w:rsidRPr="00317976" w:rsidRDefault="00BF677D" w:rsidP="00CD62E6">
            <w:pPr>
              <w:pStyle w:val="CommentText"/>
              <w:jc w:val="center"/>
            </w:pPr>
            <w:r w:rsidRPr="00317976">
              <w:t>£000</w:t>
            </w:r>
          </w:p>
        </w:tc>
        <w:tc>
          <w:tcPr>
            <w:tcW w:w="567" w:type="dxa"/>
            <w:tcBorders>
              <w:top w:val="nil"/>
              <w:left w:val="nil"/>
              <w:bottom w:val="nil"/>
              <w:right w:val="nil"/>
            </w:tcBorders>
          </w:tcPr>
          <w:p w:rsidR="00BF677D" w:rsidRPr="00317976" w:rsidRDefault="00BF677D" w:rsidP="00CD62E6">
            <w:pPr>
              <w:pStyle w:val="CommentText"/>
              <w:jc w:val="center"/>
            </w:pPr>
          </w:p>
        </w:tc>
        <w:tc>
          <w:tcPr>
            <w:tcW w:w="1843" w:type="dxa"/>
            <w:tcBorders>
              <w:top w:val="nil"/>
              <w:left w:val="nil"/>
              <w:bottom w:val="nil"/>
              <w:right w:val="nil"/>
            </w:tcBorders>
          </w:tcPr>
          <w:p w:rsidR="00BF677D" w:rsidRPr="00317976" w:rsidRDefault="00BF677D" w:rsidP="00296A09">
            <w:pPr>
              <w:pStyle w:val="CommentText"/>
              <w:jc w:val="center"/>
            </w:pPr>
            <w:r w:rsidRPr="00317976">
              <w:t>£000</w:t>
            </w:r>
          </w:p>
        </w:tc>
      </w:tr>
      <w:tr w:rsidR="00BF677D" w:rsidRPr="00317976" w:rsidTr="00E536BB">
        <w:tc>
          <w:tcPr>
            <w:tcW w:w="1242" w:type="dxa"/>
            <w:tcBorders>
              <w:top w:val="nil"/>
              <w:left w:val="nil"/>
              <w:bottom w:val="nil"/>
              <w:right w:val="nil"/>
            </w:tcBorders>
          </w:tcPr>
          <w:p w:rsidR="00BF677D" w:rsidRDefault="00BF677D" w:rsidP="00CD62E6">
            <w:pPr>
              <w:jc w:val="center"/>
              <w:rPr>
                <w:sz w:val="20"/>
              </w:rPr>
            </w:pPr>
          </w:p>
        </w:tc>
        <w:tc>
          <w:tcPr>
            <w:tcW w:w="4678" w:type="dxa"/>
            <w:tcBorders>
              <w:top w:val="nil"/>
              <w:left w:val="nil"/>
              <w:bottom w:val="nil"/>
              <w:right w:val="nil"/>
            </w:tcBorders>
          </w:tcPr>
          <w:p w:rsidR="00BF677D" w:rsidRPr="008231B5" w:rsidRDefault="00BF677D" w:rsidP="00CD62E6">
            <w:pPr>
              <w:rPr>
                <w:b/>
                <w:sz w:val="20"/>
              </w:rPr>
            </w:pPr>
            <w:r>
              <w:rPr>
                <w:b/>
                <w:sz w:val="20"/>
              </w:rPr>
              <w:t>Long Term Assets</w:t>
            </w:r>
          </w:p>
        </w:tc>
        <w:tc>
          <w:tcPr>
            <w:tcW w:w="1843" w:type="dxa"/>
            <w:tcBorders>
              <w:top w:val="nil"/>
              <w:left w:val="nil"/>
              <w:bottom w:val="nil"/>
              <w:right w:val="nil"/>
            </w:tcBorders>
          </w:tcPr>
          <w:p w:rsidR="00BF677D" w:rsidRPr="00EC1933" w:rsidRDefault="00BF677D" w:rsidP="00CD62E6">
            <w:pPr>
              <w:pStyle w:val="CommentText"/>
              <w:tabs>
                <w:tab w:val="decimal" w:pos="601"/>
                <w:tab w:val="decimal" w:pos="723"/>
              </w:tabs>
            </w:pPr>
          </w:p>
        </w:tc>
        <w:tc>
          <w:tcPr>
            <w:tcW w:w="567" w:type="dxa"/>
            <w:tcBorders>
              <w:top w:val="nil"/>
              <w:left w:val="nil"/>
              <w:bottom w:val="nil"/>
              <w:right w:val="nil"/>
            </w:tcBorders>
          </w:tcPr>
          <w:p w:rsidR="00BF677D" w:rsidRPr="00317976" w:rsidRDefault="00BF677D" w:rsidP="00CD62E6">
            <w:pPr>
              <w:pStyle w:val="CommentText"/>
              <w:tabs>
                <w:tab w:val="decimal" w:pos="601"/>
                <w:tab w:val="decimal" w:pos="723"/>
              </w:tabs>
            </w:pPr>
          </w:p>
        </w:tc>
        <w:tc>
          <w:tcPr>
            <w:tcW w:w="1843" w:type="dxa"/>
            <w:tcBorders>
              <w:top w:val="nil"/>
              <w:left w:val="nil"/>
              <w:bottom w:val="nil"/>
              <w:right w:val="nil"/>
            </w:tcBorders>
          </w:tcPr>
          <w:p w:rsidR="00BF677D" w:rsidRPr="00EC1933" w:rsidRDefault="00BF677D" w:rsidP="00296A09">
            <w:pPr>
              <w:pStyle w:val="CommentText"/>
              <w:tabs>
                <w:tab w:val="decimal" w:pos="601"/>
                <w:tab w:val="decimal" w:pos="723"/>
              </w:tabs>
            </w:pP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6</w:t>
            </w:r>
          </w:p>
        </w:tc>
        <w:tc>
          <w:tcPr>
            <w:tcW w:w="4678" w:type="dxa"/>
            <w:tcBorders>
              <w:top w:val="nil"/>
              <w:left w:val="nil"/>
              <w:bottom w:val="nil"/>
              <w:right w:val="nil"/>
            </w:tcBorders>
          </w:tcPr>
          <w:p w:rsidR="00BF677D" w:rsidRPr="00DD7C27" w:rsidRDefault="00BF677D" w:rsidP="00CD62E6">
            <w:pPr>
              <w:rPr>
                <w:sz w:val="20"/>
              </w:rPr>
            </w:pPr>
            <w:r w:rsidRPr="00DD7C27">
              <w:rPr>
                <w:sz w:val="20"/>
              </w:rPr>
              <w:t>Property, Plant &amp; Equipment</w:t>
            </w:r>
          </w:p>
        </w:tc>
        <w:tc>
          <w:tcPr>
            <w:tcW w:w="1843" w:type="dxa"/>
            <w:tcBorders>
              <w:top w:val="nil"/>
              <w:left w:val="nil"/>
              <w:bottom w:val="nil"/>
              <w:right w:val="nil"/>
            </w:tcBorders>
          </w:tcPr>
          <w:p w:rsidR="00BF677D" w:rsidRPr="005126F5" w:rsidRDefault="00FC3461" w:rsidP="00724E33">
            <w:pPr>
              <w:pStyle w:val="CommentText"/>
              <w:tabs>
                <w:tab w:val="decimal" w:pos="1452"/>
              </w:tabs>
            </w:pPr>
            <w:r>
              <w:t>93,</w:t>
            </w:r>
            <w:r w:rsidR="00724E33">
              <w:t>794</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5126F5" w:rsidRDefault="00BF677D" w:rsidP="00724E33">
            <w:pPr>
              <w:pStyle w:val="CommentText"/>
              <w:tabs>
                <w:tab w:val="decimal" w:pos="1452"/>
              </w:tabs>
            </w:pPr>
            <w:r>
              <w:t>88,</w:t>
            </w:r>
            <w:r w:rsidR="00724E33">
              <w:t>264</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7</w:t>
            </w:r>
          </w:p>
        </w:tc>
        <w:tc>
          <w:tcPr>
            <w:tcW w:w="4678" w:type="dxa"/>
            <w:tcBorders>
              <w:top w:val="nil"/>
              <w:left w:val="nil"/>
              <w:bottom w:val="nil"/>
              <w:right w:val="nil"/>
            </w:tcBorders>
          </w:tcPr>
          <w:p w:rsidR="00BF677D" w:rsidRPr="00DD7C27" w:rsidRDefault="00BF677D" w:rsidP="00CD62E6">
            <w:pPr>
              <w:rPr>
                <w:sz w:val="20"/>
              </w:rPr>
            </w:pPr>
            <w:r w:rsidRPr="00DD7C27">
              <w:rPr>
                <w:sz w:val="20"/>
              </w:rPr>
              <w:t>Intangible Assets</w:t>
            </w:r>
          </w:p>
        </w:tc>
        <w:tc>
          <w:tcPr>
            <w:tcW w:w="1843" w:type="dxa"/>
            <w:tcBorders>
              <w:top w:val="nil"/>
              <w:left w:val="nil"/>
              <w:bottom w:val="nil"/>
              <w:right w:val="nil"/>
            </w:tcBorders>
          </w:tcPr>
          <w:p w:rsidR="00BF677D" w:rsidRPr="005126F5" w:rsidRDefault="00724E33" w:rsidP="00CD62E6">
            <w:pPr>
              <w:pStyle w:val="CommentText"/>
              <w:tabs>
                <w:tab w:val="decimal" w:pos="1452"/>
              </w:tabs>
            </w:pPr>
            <w:r>
              <w:t>472</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5126F5" w:rsidRDefault="00724E33" w:rsidP="00296A09">
            <w:pPr>
              <w:pStyle w:val="CommentText"/>
              <w:tabs>
                <w:tab w:val="decimal" w:pos="1452"/>
              </w:tabs>
            </w:pPr>
            <w:r>
              <w:t>684</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8</w:t>
            </w:r>
          </w:p>
        </w:tc>
        <w:tc>
          <w:tcPr>
            <w:tcW w:w="4678" w:type="dxa"/>
            <w:tcBorders>
              <w:top w:val="nil"/>
              <w:left w:val="nil"/>
              <w:bottom w:val="nil"/>
              <w:right w:val="nil"/>
            </w:tcBorders>
          </w:tcPr>
          <w:p w:rsidR="00BF677D" w:rsidRPr="0077444B" w:rsidRDefault="00BF677D" w:rsidP="00CD62E6">
            <w:pPr>
              <w:rPr>
                <w:sz w:val="20"/>
              </w:rPr>
            </w:pPr>
            <w:r w:rsidRPr="0077444B">
              <w:rPr>
                <w:sz w:val="20"/>
              </w:rPr>
              <w:t>Long-Term Investments</w:t>
            </w:r>
          </w:p>
        </w:tc>
        <w:tc>
          <w:tcPr>
            <w:tcW w:w="1843" w:type="dxa"/>
            <w:tcBorders>
              <w:top w:val="nil"/>
              <w:left w:val="nil"/>
              <w:bottom w:val="nil"/>
              <w:right w:val="nil"/>
            </w:tcBorders>
          </w:tcPr>
          <w:p w:rsidR="00BF677D" w:rsidRPr="005126F5" w:rsidRDefault="00F238F2" w:rsidP="00CD62E6">
            <w:pPr>
              <w:pStyle w:val="CommentText"/>
              <w:tabs>
                <w:tab w:val="decimal" w:pos="1452"/>
              </w:tabs>
            </w:pPr>
            <w:r>
              <w:t>5,000</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5126F5" w:rsidRDefault="00BF677D" w:rsidP="00296A09">
            <w:pPr>
              <w:pStyle w:val="CommentText"/>
              <w:tabs>
                <w:tab w:val="decimal" w:pos="1452"/>
              </w:tabs>
            </w:pPr>
            <w:r>
              <w:t>5,000</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DD7C27" w:rsidRDefault="00BF677D" w:rsidP="00CD62E6">
            <w:pPr>
              <w:rPr>
                <w:b/>
                <w:sz w:val="20"/>
              </w:rPr>
            </w:pPr>
          </w:p>
        </w:tc>
        <w:tc>
          <w:tcPr>
            <w:tcW w:w="1843" w:type="dxa"/>
            <w:tcBorders>
              <w:top w:val="single" w:sz="4" w:space="0" w:color="auto"/>
              <w:left w:val="nil"/>
              <w:bottom w:val="nil"/>
              <w:right w:val="nil"/>
            </w:tcBorders>
          </w:tcPr>
          <w:p w:rsidR="00BF677D" w:rsidRPr="005126F5" w:rsidRDefault="00724E33" w:rsidP="00724E33">
            <w:pPr>
              <w:pStyle w:val="CommentText"/>
              <w:tabs>
                <w:tab w:val="decimal" w:pos="1452"/>
              </w:tabs>
            </w:pPr>
            <w:r>
              <w:t>99</w:t>
            </w:r>
            <w:r w:rsidR="00FC3461">
              <w:t>,</w:t>
            </w:r>
            <w:r>
              <w:t>266</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single" w:sz="4" w:space="0" w:color="auto"/>
              <w:left w:val="nil"/>
              <w:bottom w:val="nil"/>
              <w:right w:val="nil"/>
            </w:tcBorders>
          </w:tcPr>
          <w:p w:rsidR="00BF677D" w:rsidRPr="005126F5" w:rsidRDefault="00BF677D" w:rsidP="00724E33">
            <w:pPr>
              <w:pStyle w:val="CommentText"/>
              <w:tabs>
                <w:tab w:val="decimal" w:pos="1452"/>
              </w:tabs>
            </w:pPr>
            <w:r>
              <w:t>93,</w:t>
            </w:r>
            <w:r w:rsidR="00724E33">
              <w:t>948</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b/>
                <w:sz w:val="20"/>
              </w:rPr>
            </w:pPr>
            <w:r w:rsidRPr="00317976">
              <w:rPr>
                <w:b/>
                <w:sz w:val="20"/>
              </w:rPr>
              <w:t>Current Assets</w:t>
            </w:r>
          </w:p>
        </w:tc>
        <w:tc>
          <w:tcPr>
            <w:tcW w:w="1843" w:type="dxa"/>
            <w:tcBorders>
              <w:top w:val="nil"/>
              <w:left w:val="nil"/>
              <w:bottom w:val="nil"/>
              <w:right w:val="nil"/>
            </w:tcBorders>
          </w:tcPr>
          <w:p w:rsidR="00BF677D" w:rsidRPr="00D864F8" w:rsidRDefault="00BF677D" w:rsidP="00CD62E6">
            <w:pPr>
              <w:tabs>
                <w:tab w:val="decimal" w:pos="601"/>
              </w:tabs>
              <w:rPr>
                <w:sz w:val="20"/>
                <w:highlight w:val="yellow"/>
              </w:rPr>
            </w:pPr>
          </w:p>
        </w:tc>
        <w:tc>
          <w:tcPr>
            <w:tcW w:w="567" w:type="dxa"/>
            <w:tcBorders>
              <w:top w:val="nil"/>
              <w:left w:val="nil"/>
              <w:bottom w:val="nil"/>
              <w:right w:val="nil"/>
            </w:tcBorders>
          </w:tcPr>
          <w:p w:rsidR="00BF677D" w:rsidRPr="006C1779" w:rsidRDefault="00BF677D" w:rsidP="00CD62E6">
            <w:pPr>
              <w:tabs>
                <w:tab w:val="decimal" w:pos="601"/>
              </w:tabs>
              <w:rPr>
                <w:sz w:val="20"/>
                <w:highlight w:val="yellow"/>
              </w:rPr>
            </w:pPr>
          </w:p>
        </w:tc>
        <w:tc>
          <w:tcPr>
            <w:tcW w:w="1843" w:type="dxa"/>
            <w:tcBorders>
              <w:top w:val="nil"/>
              <w:left w:val="nil"/>
              <w:bottom w:val="nil"/>
              <w:right w:val="nil"/>
            </w:tcBorders>
          </w:tcPr>
          <w:p w:rsidR="00BF677D" w:rsidRPr="00D864F8" w:rsidRDefault="00BF677D" w:rsidP="00296A09">
            <w:pPr>
              <w:tabs>
                <w:tab w:val="decimal" w:pos="601"/>
              </w:tabs>
              <w:rPr>
                <w:sz w:val="20"/>
                <w:highlight w:val="yellow"/>
              </w:rPr>
            </w:pP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Default="00BF677D" w:rsidP="00CD62E6">
            <w:pPr>
              <w:rPr>
                <w:sz w:val="20"/>
              </w:rPr>
            </w:pPr>
            <w:r>
              <w:rPr>
                <w:sz w:val="20"/>
              </w:rPr>
              <w:t>Assets Held for Sale</w:t>
            </w:r>
          </w:p>
        </w:tc>
        <w:tc>
          <w:tcPr>
            <w:tcW w:w="1843" w:type="dxa"/>
            <w:tcBorders>
              <w:top w:val="nil"/>
              <w:left w:val="nil"/>
              <w:bottom w:val="nil"/>
              <w:right w:val="nil"/>
            </w:tcBorders>
          </w:tcPr>
          <w:p w:rsidR="00BF677D" w:rsidRPr="0017067D" w:rsidRDefault="002A4F7F" w:rsidP="00CD62E6">
            <w:pPr>
              <w:pStyle w:val="CommentText"/>
              <w:tabs>
                <w:tab w:val="decimal" w:pos="1452"/>
              </w:tabs>
            </w:pP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296A09">
            <w:pPr>
              <w:pStyle w:val="CommentText"/>
              <w:tabs>
                <w:tab w:val="decimal" w:pos="1452"/>
              </w:tabs>
            </w:pPr>
            <w:r>
              <w:t>21</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sz w:val="20"/>
              </w:rPr>
            </w:pPr>
            <w:r>
              <w:rPr>
                <w:sz w:val="20"/>
              </w:rPr>
              <w:t>Inventories</w:t>
            </w:r>
          </w:p>
        </w:tc>
        <w:tc>
          <w:tcPr>
            <w:tcW w:w="1843" w:type="dxa"/>
            <w:tcBorders>
              <w:top w:val="nil"/>
              <w:left w:val="nil"/>
              <w:bottom w:val="nil"/>
              <w:right w:val="nil"/>
            </w:tcBorders>
          </w:tcPr>
          <w:p w:rsidR="00BF677D" w:rsidRPr="0017067D" w:rsidRDefault="002A4F7F" w:rsidP="00AF57BC">
            <w:pPr>
              <w:pStyle w:val="CommentText"/>
              <w:tabs>
                <w:tab w:val="decimal" w:pos="1452"/>
              </w:tabs>
            </w:pPr>
            <w:r>
              <w:t>228</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296A09">
            <w:pPr>
              <w:pStyle w:val="CommentText"/>
              <w:tabs>
                <w:tab w:val="decimal" w:pos="1452"/>
              </w:tabs>
            </w:pPr>
            <w:r>
              <w:t>206</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8</w:t>
            </w:r>
          </w:p>
        </w:tc>
        <w:tc>
          <w:tcPr>
            <w:tcW w:w="4678" w:type="dxa"/>
            <w:tcBorders>
              <w:top w:val="nil"/>
              <w:left w:val="nil"/>
              <w:bottom w:val="nil"/>
              <w:right w:val="nil"/>
            </w:tcBorders>
          </w:tcPr>
          <w:p w:rsidR="00BF677D" w:rsidRDefault="00BF677D" w:rsidP="00CD62E6">
            <w:pPr>
              <w:rPr>
                <w:sz w:val="20"/>
              </w:rPr>
            </w:pPr>
            <w:r w:rsidRPr="0077444B">
              <w:rPr>
                <w:sz w:val="20"/>
              </w:rPr>
              <w:t>Investments</w:t>
            </w:r>
          </w:p>
        </w:tc>
        <w:tc>
          <w:tcPr>
            <w:tcW w:w="1843" w:type="dxa"/>
            <w:tcBorders>
              <w:top w:val="nil"/>
              <w:left w:val="nil"/>
              <w:bottom w:val="nil"/>
              <w:right w:val="nil"/>
            </w:tcBorders>
          </w:tcPr>
          <w:p w:rsidR="00BF677D" w:rsidRDefault="00F238F2" w:rsidP="0017067D">
            <w:pPr>
              <w:pStyle w:val="CommentText"/>
              <w:tabs>
                <w:tab w:val="decimal" w:pos="1452"/>
              </w:tabs>
            </w:pP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Default="00BF677D" w:rsidP="00296A09">
            <w:pPr>
              <w:pStyle w:val="CommentText"/>
              <w:tabs>
                <w:tab w:val="decimal" w:pos="1452"/>
              </w:tabs>
            </w:pPr>
            <w:r>
              <w:t>5,000</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9</w:t>
            </w:r>
          </w:p>
        </w:tc>
        <w:tc>
          <w:tcPr>
            <w:tcW w:w="4678" w:type="dxa"/>
            <w:tcBorders>
              <w:top w:val="nil"/>
              <w:left w:val="nil"/>
              <w:bottom w:val="nil"/>
              <w:right w:val="nil"/>
            </w:tcBorders>
          </w:tcPr>
          <w:p w:rsidR="00BF677D" w:rsidRPr="00317976" w:rsidRDefault="00BF677D" w:rsidP="00CD62E6">
            <w:pPr>
              <w:rPr>
                <w:sz w:val="20"/>
              </w:rPr>
            </w:pPr>
            <w:r>
              <w:rPr>
                <w:sz w:val="20"/>
              </w:rPr>
              <w:t xml:space="preserve">Short Term </w:t>
            </w:r>
            <w:r w:rsidRPr="00317976">
              <w:rPr>
                <w:sz w:val="20"/>
              </w:rPr>
              <w:t>Debtors</w:t>
            </w:r>
          </w:p>
        </w:tc>
        <w:tc>
          <w:tcPr>
            <w:tcW w:w="1843" w:type="dxa"/>
            <w:tcBorders>
              <w:top w:val="nil"/>
              <w:left w:val="nil"/>
              <w:bottom w:val="nil"/>
              <w:right w:val="nil"/>
            </w:tcBorders>
          </w:tcPr>
          <w:p w:rsidR="00BF677D" w:rsidRPr="0017067D" w:rsidRDefault="002A4F7F" w:rsidP="00724E33">
            <w:pPr>
              <w:pStyle w:val="CommentText"/>
              <w:tabs>
                <w:tab w:val="decimal" w:pos="1452"/>
              </w:tabs>
            </w:pPr>
            <w:r>
              <w:t>10,</w:t>
            </w:r>
            <w:r w:rsidR="00724E33">
              <w:t>760</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724E33">
            <w:pPr>
              <w:pStyle w:val="CommentText"/>
              <w:tabs>
                <w:tab w:val="decimal" w:pos="1452"/>
              </w:tabs>
            </w:pPr>
            <w:r>
              <w:t>10,</w:t>
            </w:r>
            <w:r w:rsidR="00724E33">
              <w:t>855</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0</w:t>
            </w:r>
          </w:p>
        </w:tc>
        <w:tc>
          <w:tcPr>
            <w:tcW w:w="4678" w:type="dxa"/>
            <w:tcBorders>
              <w:top w:val="nil"/>
              <w:left w:val="nil"/>
              <w:bottom w:val="nil"/>
              <w:right w:val="nil"/>
            </w:tcBorders>
          </w:tcPr>
          <w:p w:rsidR="00BF677D" w:rsidRPr="00317976" w:rsidRDefault="00BF677D" w:rsidP="00CD62E6">
            <w:pPr>
              <w:rPr>
                <w:sz w:val="20"/>
              </w:rPr>
            </w:pPr>
            <w:r w:rsidRPr="00317976">
              <w:rPr>
                <w:sz w:val="20"/>
              </w:rPr>
              <w:t xml:space="preserve">Cash </w:t>
            </w:r>
            <w:r>
              <w:rPr>
                <w:sz w:val="20"/>
              </w:rPr>
              <w:t>&amp; Cash Equivalents</w:t>
            </w:r>
          </w:p>
        </w:tc>
        <w:tc>
          <w:tcPr>
            <w:tcW w:w="1843" w:type="dxa"/>
            <w:tcBorders>
              <w:top w:val="nil"/>
              <w:left w:val="nil"/>
              <w:bottom w:val="single" w:sz="4" w:space="0" w:color="auto"/>
              <w:right w:val="nil"/>
            </w:tcBorders>
          </w:tcPr>
          <w:p w:rsidR="00BF677D" w:rsidRPr="00C37E47" w:rsidRDefault="002A4F7F" w:rsidP="00724E33">
            <w:pPr>
              <w:tabs>
                <w:tab w:val="decimal" w:pos="1452"/>
              </w:tabs>
              <w:rPr>
                <w:sz w:val="20"/>
              </w:rPr>
            </w:pPr>
            <w:r>
              <w:rPr>
                <w:sz w:val="20"/>
              </w:rPr>
              <w:t>28,</w:t>
            </w:r>
            <w:r w:rsidR="00724E33">
              <w:rPr>
                <w:sz w:val="20"/>
              </w:rPr>
              <w:t>768</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single" w:sz="4" w:space="0" w:color="auto"/>
              <w:right w:val="nil"/>
            </w:tcBorders>
          </w:tcPr>
          <w:p w:rsidR="00BF677D" w:rsidRPr="00C37E47" w:rsidRDefault="00BF677D" w:rsidP="00724E33">
            <w:pPr>
              <w:tabs>
                <w:tab w:val="decimal" w:pos="1452"/>
              </w:tabs>
              <w:rPr>
                <w:sz w:val="20"/>
              </w:rPr>
            </w:pPr>
            <w:r>
              <w:rPr>
                <w:sz w:val="20"/>
              </w:rPr>
              <w:t>29,</w:t>
            </w:r>
            <w:r w:rsidR="00724E33">
              <w:rPr>
                <w:sz w:val="20"/>
              </w:rPr>
              <w:t>347</w:t>
            </w:r>
          </w:p>
        </w:tc>
      </w:tr>
      <w:tr w:rsidR="00BF677D" w:rsidRPr="00317976" w:rsidTr="00E536BB">
        <w:trPr>
          <w:trHeight w:val="182"/>
        </w:trPr>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sz w:val="20"/>
              </w:rPr>
            </w:pPr>
          </w:p>
        </w:tc>
        <w:tc>
          <w:tcPr>
            <w:tcW w:w="1843" w:type="dxa"/>
            <w:tcBorders>
              <w:top w:val="single" w:sz="4" w:space="0" w:color="auto"/>
              <w:left w:val="nil"/>
              <w:bottom w:val="nil"/>
              <w:right w:val="nil"/>
            </w:tcBorders>
          </w:tcPr>
          <w:p w:rsidR="00BF677D" w:rsidRPr="00C37E47" w:rsidRDefault="002A4F7F" w:rsidP="00724E33">
            <w:pPr>
              <w:pStyle w:val="CommentText"/>
              <w:tabs>
                <w:tab w:val="decimal" w:pos="1452"/>
              </w:tabs>
            </w:pPr>
            <w:r>
              <w:t>39,</w:t>
            </w:r>
            <w:r w:rsidR="00724E33">
              <w:t>757</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single" w:sz="4" w:space="0" w:color="auto"/>
              <w:left w:val="nil"/>
              <w:bottom w:val="nil"/>
              <w:right w:val="nil"/>
            </w:tcBorders>
          </w:tcPr>
          <w:p w:rsidR="00BF677D" w:rsidRPr="00C37E47" w:rsidRDefault="00BF677D" w:rsidP="00724E33">
            <w:pPr>
              <w:pStyle w:val="CommentText"/>
              <w:tabs>
                <w:tab w:val="decimal" w:pos="1452"/>
              </w:tabs>
            </w:pPr>
            <w:r>
              <w:t>45,</w:t>
            </w:r>
            <w:r w:rsidR="00724E33">
              <w:t>430</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b/>
                <w:sz w:val="20"/>
              </w:rPr>
            </w:pPr>
            <w:r w:rsidRPr="00317976">
              <w:rPr>
                <w:b/>
                <w:sz w:val="20"/>
              </w:rPr>
              <w:t>Current Liabilities</w:t>
            </w:r>
          </w:p>
        </w:tc>
        <w:tc>
          <w:tcPr>
            <w:tcW w:w="1843" w:type="dxa"/>
            <w:tcBorders>
              <w:top w:val="nil"/>
              <w:left w:val="nil"/>
              <w:bottom w:val="nil"/>
              <w:right w:val="nil"/>
            </w:tcBorders>
          </w:tcPr>
          <w:p w:rsidR="00BF677D" w:rsidRPr="00D864F8" w:rsidRDefault="00BF677D" w:rsidP="00CD62E6">
            <w:pPr>
              <w:tabs>
                <w:tab w:val="decimal" w:pos="601"/>
                <w:tab w:val="decimal" w:pos="792"/>
                <w:tab w:val="decimal" w:pos="1452"/>
              </w:tabs>
              <w:rPr>
                <w:sz w:val="20"/>
                <w:highlight w:val="yellow"/>
              </w:rPr>
            </w:pPr>
          </w:p>
        </w:tc>
        <w:tc>
          <w:tcPr>
            <w:tcW w:w="567" w:type="dxa"/>
            <w:tcBorders>
              <w:top w:val="nil"/>
              <w:left w:val="nil"/>
              <w:bottom w:val="nil"/>
              <w:right w:val="nil"/>
            </w:tcBorders>
          </w:tcPr>
          <w:p w:rsidR="00BF677D" w:rsidRPr="006C1779" w:rsidRDefault="00BF677D" w:rsidP="00CD62E6">
            <w:pPr>
              <w:tabs>
                <w:tab w:val="decimal" w:pos="601"/>
                <w:tab w:val="decimal" w:pos="792"/>
                <w:tab w:val="decimal" w:pos="1452"/>
              </w:tabs>
              <w:rPr>
                <w:sz w:val="20"/>
                <w:highlight w:val="yellow"/>
              </w:rPr>
            </w:pPr>
          </w:p>
        </w:tc>
        <w:tc>
          <w:tcPr>
            <w:tcW w:w="1843" w:type="dxa"/>
            <w:tcBorders>
              <w:top w:val="nil"/>
              <w:left w:val="nil"/>
              <w:bottom w:val="nil"/>
              <w:right w:val="nil"/>
            </w:tcBorders>
          </w:tcPr>
          <w:p w:rsidR="00BF677D" w:rsidRPr="00D864F8" w:rsidRDefault="00BF677D" w:rsidP="00296A09">
            <w:pPr>
              <w:tabs>
                <w:tab w:val="decimal" w:pos="601"/>
                <w:tab w:val="decimal" w:pos="792"/>
                <w:tab w:val="decimal" w:pos="1452"/>
              </w:tabs>
              <w:rPr>
                <w:sz w:val="20"/>
                <w:highlight w:val="yellow"/>
              </w:rPr>
            </w:pP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8</w:t>
            </w:r>
          </w:p>
        </w:tc>
        <w:tc>
          <w:tcPr>
            <w:tcW w:w="4678" w:type="dxa"/>
            <w:tcBorders>
              <w:top w:val="nil"/>
              <w:left w:val="nil"/>
              <w:bottom w:val="nil"/>
              <w:right w:val="nil"/>
            </w:tcBorders>
          </w:tcPr>
          <w:p w:rsidR="00BF677D" w:rsidRPr="00317976" w:rsidRDefault="00BF677D" w:rsidP="00CD62E6">
            <w:pPr>
              <w:rPr>
                <w:sz w:val="20"/>
              </w:rPr>
            </w:pPr>
            <w:r>
              <w:rPr>
                <w:sz w:val="20"/>
              </w:rPr>
              <w:t>Short Term Borrowing</w:t>
            </w:r>
          </w:p>
        </w:tc>
        <w:tc>
          <w:tcPr>
            <w:tcW w:w="1843" w:type="dxa"/>
            <w:tcBorders>
              <w:top w:val="nil"/>
              <w:left w:val="nil"/>
              <w:bottom w:val="nil"/>
              <w:right w:val="nil"/>
            </w:tcBorders>
          </w:tcPr>
          <w:p w:rsidR="00BF677D" w:rsidRPr="0017067D" w:rsidRDefault="00F238F2" w:rsidP="00CD62E6">
            <w:pPr>
              <w:pStyle w:val="CommentText"/>
              <w:tabs>
                <w:tab w:val="decimal" w:pos="1452"/>
              </w:tabs>
            </w:pP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296A09">
            <w:pPr>
              <w:pStyle w:val="CommentText"/>
              <w:tabs>
                <w:tab w:val="decimal" w:pos="1452"/>
              </w:tabs>
            </w:pPr>
            <w:r>
              <w:t>(333)</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8</w:t>
            </w:r>
          </w:p>
        </w:tc>
        <w:tc>
          <w:tcPr>
            <w:tcW w:w="4678" w:type="dxa"/>
            <w:tcBorders>
              <w:top w:val="nil"/>
              <w:left w:val="nil"/>
              <w:bottom w:val="nil"/>
              <w:right w:val="nil"/>
            </w:tcBorders>
          </w:tcPr>
          <w:p w:rsidR="00BF677D" w:rsidRDefault="00BF677D" w:rsidP="00CD62E6">
            <w:pPr>
              <w:rPr>
                <w:sz w:val="20"/>
              </w:rPr>
            </w:pPr>
            <w:r>
              <w:rPr>
                <w:sz w:val="20"/>
              </w:rPr>
              <w:t>Other Short Term Liabilities</w:t>
            </w:r>
          </w:p>
        </w:tc>
        <w:tc>
          <w:tcPr>
            <w:tcW w:w="1843" w:type="dxa"/>
            <w:tcBorders>
              <w:top w:val="nil"/>
              <w:left w:val="nil"/>
              <w:bottom w:val="nil"/>
              <w:right w:val="nil"/>
            </w:tcBorders>
          </w:tcPr>
          <w:p w:rsidR="00BF677D" w:rsidRPr="0017067D" w:rsidRDefault="002A4F7F" w:rsidP="004148D0">
            <w:pPr>
              <w:tabs>
                <w:tab w:val="decimal" w:pos="1452"/>
              </w:tabs>
              <w:rPr>
                <w:sz w:val="20"/>
              </w:rPr>
            </w:pPr>
            <w:r>
              <w:rPr>
                <w:sz w:val="20"/>
              </w:rPr>
              <w:t>(3</w:t>
            </w:r>
            <w:r w:rsidR="004148D0">
              <w:rPr>
                <w:sz w:val="20"/>
              </w:rPr>
              <w:t>29</w:t>
            </w:r>
            <w:r>
              <w:rPr>
                <w:sz w:val="20"/>
              </w:rPr>
              <w:t>)</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17067D" w:rsidRDefault="00BF677D" w:rsidP="00296A09">
            <w:pPr>
              <w:tabs>
                <w:tab w:val="decimal" w:pos="1452"/>
              </w:tabs>
              <w:rPr>
                <w:sz w:val="20"/>
              </w:rPr>
            </w:pPr>
            <w:r>
              <w:rPr>
                <w:sz w:val="20"/>
              </w:rPr>
              <w:t>(335)</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1</w:t>
            </w:r>
          </w:p>
        </w:tc>
        <w:tc>
          <w:tcPr>
            <w:tcW w:w="4678" w:type="dxa"/>
            <w:tcBorders>
              <w:top w:val="nil"/>
              <w:left w:val="nil"/>
              <w:bottom w:val="nil"/>
              <w:right w:val="nil"/>
            </w:tcBorders>
          </w:tcPr>
          <w:p w:rsidR="00BF677D" w:rsidRPr="00317976" w:rsidRDefault="00BF677D" w:rsidP="00CD62E6">
            <w:pPr>
              <w:rPr>
                <w:sz w:val="20"/>
              </w:rPr>
            </w:pPr>
            <w:r>
              <w:rPr>
                <w:sz w:val="20"/>
              </w:rPr>
              <w:t>Short Term Creditors</w:t>
            </w:r>
          </w:p>
        </w:tc>
        <w:tc>
          <w:tcPr>
            <w:tcW w:w="1843" w:type="dxa"/>
            <w:tcBorders>
              <w:top w:val="nil"/>
              <w:left w:val="nil"/>
              <w:bottom w:val="single" w:sz="4" w:space="0" w:color="auto"/>
              <w:right w:val="nil"/>
            </w:tcBorders>
          </w:tcPr>
          <w:p w:rsidR="00BF677D" w:rsidRPr="0017067D" w:rsidRDefault="002A4F7F" w:rsidP="00724E33">
            <w:pPr>
              <w:tabs>
                <w:tab w:val="decimal" w:pos="1452"/>
              </w:tabs>
              <w:rPr>
                <w:sz w:val="20"/>
              </w:rPr>
            </w:pPr>
            <w:r>
              <w:rPr>
                <w:sz w:val="20"/>
              </w:rPr>
              <w:t>(6,</w:t>
            </w:r>
            <w:r w:rsidR="00724E33">
              <w:rPr>
                <w:sz w:val="20"/>
              </w:rPr>
              <w:t>998</w:t>
            </w:r>
            <w:r>
              <w:rPr>
                <w:sz w:val="20"/>
              </w:rPr>
              <w:t>)</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single" w:sz="4" w:space="0" w:color="auto"/>
              <w:right w:val="nil"/>
            </w:tcBorders>
          </w:tcPr>
          <w:p w:rsidR="00BF677D" w:rsidRPr="0017067D" w:rsidRDefault="00BF677D" w:rsidP="00724E33">
            <w:pPr>
              <w:tabs>
                <w:tab w:val="decimal" w:pos="1452"/>
              </w:tabs>
              <w:rPr>
                <w:sz w:val="20"/>
              </w:rPr>
            </w:pPr>
            <w:r>
              <w:rPr>
                <w:sz w:val="20"/>
              </w:rPr>
              <w:t>(6,</w:t>
            </w:r>
            <w:r w:rsidR="00724E33">
              <w:rPr>
                <w:sz w:val="20"/>
              </w:rPr>
              <w:t>824</w:t>
            </w:r>
            <w:r>
              <w:rPr>
                <w:sz w:val="20"/>
              </w:rPr>
              <w:t>)</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sz w:val="20"/>
              </w:rPr>
            </w:pPr>
          </w:p>
        </w:tc>
        <w:tc>
          <w:tcPr>
            <w:tcW w:w="1843" w:type="dxa"/>
            <w:tcBorders>
              <w:top w:val="single" w:sz="4" w:space="0" w:color="auto"/>
              <w:left w:val="nil"/>
              <w:bottom w:val="nil"/>
              <w:right w:val="nil"/>
            </w:tcBorders>
          </w:tcPr>
          <w:p w:rsidR="00BF677D" w:rsidRPr="0017067D" w:rsidRDefault="002A4F7F" w:rsidP="00724E33">
            <w:pPr>
              <w:tabs>
                <w:tab w:val="decimal" w:pos="1452"/>
              </w:tabs>
              <w:rPr>
                <w:sz w:val="20"/>
              </w:rPr>
            </w:pPr>
            <w:r>
              <w:rPr>
                <w:sz w:val="20"/>
              </w:rPr>
              <w:t>(</w:t>
            </w:r>
            <w:r w:rsidR="00724E33">
              <w:rPr>
                <w:sz w:val="20"/>
              </w:rPr>
              <w:t>7</w:t>
            </w:r>
            <w:r>
              <w:rPr>
                <w:sz w:val="20"/>
              </w:rPr>
              <w:t>,</w:t>
            </w:r>
            <w:r w:rsidR="00724E33">
              <w:rPr>
                <w:sz w:val="20"/>
              </w:rPr>
              <w:t>327</w:t>
            </w:r>
            <w:r>
              <w:rPr>
                <w:sz w:val="20"/>
              </w:rPr>
              <w:t>)</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single" w:sz="4" w:space="0" w:color="auto"/>
              <w:left w:val="nil"/>
              <w:bottom w:val="nil"/>
              <w:right w:val="nil"/>
            </w:tcBorders>
          </w:tcPr>
          <w:p w:rsidR="00BF677D" w:rsidRPr="0017067D" w:rsidRDefault="00BF677D" w:rsidP="00724E33">
            <w:pPr>
              <w:tabs>
                <w:tab w:val="decimal" w:pos="1452"/>
              </w:tabs>
              <w:rPr>
                <w:sz w:val="20"/>
              </w:rPr>
            </w:pPr>
            <w:r>
              <w:rPr>
                <w:sz w:val="20"/>
              </w:rPr>
              <w:t>(7,</w:t>
            </w:r>
            <w:r w:rsidR="00724E33">
              <w:rPr>
                <w:sz w:val="20"/>
              </w:rPr>
              <w:t>489</w:t>
            </w:r>
            <w:r>
              <w:rPr>
                <w:sz w:val="20"/>
              </w:rPr>
              <w:t>)</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b/>
                <w:sz w:val="20"/>
              </w:rPr>
            </w:pPr>
            <w:r w:rsidRPr="00317976">
              <w:rPr>
                <w:b/>
                <w:sz w:val="20"/>
              </w:rPr>
              <w:t>Long Term Liabilities</w:t>
            </w:r>
          </w:p>
        </w:tc>
        <w:tc>
          <w:tcPr>
            <w:tcW w:w="1843" w:type="dxa"/>
            <w:tcBorders>
              <w:top w:val="nil"/>
              <w:left w:val="nil"/>
              <w:bottom w:val="nil"/>
              <w:right w:val="nil"/>
            </w:tcBorders>
          </w:tcPr>
          <w:p w:rsidR="00BF677D" w:rsidRPr="00D864F8" w:rsidRDefault="00BF677D" w:rsidP="00CD62E6">
            <w:pPr>
              <w:tabs>
                <w:tab w:val="decimal" w:pos="601"/>
                <w:tab w:val="decimal" w:pos="703"/>
              </w:tabs>
              <w:rPr>
                <w:sz w:val="20"/>
                <w:highlight w:val="yellow"/>
              </w:rPr>
            </w:pPr>
          </w:p>
        </w:tc>
        <w:tc>
          <w:tcPr>
            <w:tcW w:w="567" w:type="dxa"/>
            <w:tcBorders>
              <w:top w:val="nil"/>
              <w:left w:val="nil"/>
              <w:bottom w:val="nil"/>
              <w:right w:val="nil"/>
            </w:tcBorders>
          </w:tcPr>
          <w:p w:rsidR="00BF677D" w:rsidRPr="006C1779" w:rsidRDefault="00BF677D" w:rsidP="00CD62E6">
            <w:pPr>
              <w:tabs>
                <w:tab w:val="decimal" w:pos="601"/>
                <w:tab w:val="decimal" w:pos="703"/>
              </w:tabs>
              <w:rPr>
                <w:sz w:val="20"/>
                <w:highlight w:val="yellow"/>
              </w:rPr>
            </w:pPr>
          </w:p>
        </w:tc>
        <w:tc>
          <w:tcPr>
            <w:tcW w:w="1843" w:type="dxa"/>
            <w:tcBorders>
              <w:top w:val="nil"/>
              <w:left w:val="nil"/>
              <w:bottom w:val="nil"/>
              <w:right w:val="nil"/>
            </w:tcBorders>
          </w:tcPr>
          <w:p w:rsidR="00BF677D" w:rsidRPr="00D864F8" w:rsidRDefault="00BF677D" w:rsidP="00296A09">
            <w:pPr>
              <w:tabs>
                <w:tab w:val="decimal" w:pos="601"/>
                <w:tab w:val="decimal" w:pos="703"/>
              </w:tabs>
              <w:rPr>
                <w:sz w:val="20"/>
                <w:highlight w:val="yellow"/>
              </w:rPr>
            </w:pP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2</w:t>
            </w:r>
          </w:p>
        </w:tc>
        <w:tc>
          <w:tcPr>
            <w:tcW w:w="4678" w:type="dxa"/>
            <w:tcBorders>
              <w:top w:val="nil"/>
              <w:left w:val="nil"/>
              <w:bottom w:val="nil"/>
              <w:right w:val="nil"/>
            </w:tcBorders>
          </w:tcPr>
          <w:p w:rsidR="00BF677D" w:rsidRPr="00317976" w:rsidRDefault="00BF677D" w:rsidP="00CD62E6">
            <w:pPr>
              <w:rPr>
                <w:sz w:val="20"/>
              </w:rPr>
            </w:pPr>
            <w:r>
              <w:rPr>
                <w:sz w:val="20"/>
              </w:rPr>
              <w:t>Provisions</w:t>
            </w:r>
          </w:p>
        </w:tc>
        <w:tc>
          <w:tcPr>
            <w:tcW w:w="1843" w:type="dxa"/>
            <w:tcBorders>
              <w:top w:val="nil"/>
              <w:left w:val="nil"/>
              <w:bottom w:val="nil"/>
              <w:right w:val="nil"/>
            </w:tcBorders>
          </w:tcPr>
          <w:p w:rsidR="00BF677D" w:rsidRPr="0017067D" w:rsidRDefault="002A4F7F" w:rsidP="0017067D">
            <w:pPr>
              <w:pStyle w:val="CommentText"/>
              <w:tabs>
                <w:tab w:val="decimal" w:pos="1452"/>
              </w:tabs>
            </w:pPr>
            <w:r>
              <w:t>(1,084)</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296A09">
            <w:pPr>
              <w:pStyle w:val="CommentText"/>
              <w:tabs>
                <w:tab w:val="decimal" w:pos="1452"/>
              </w:tabs>
            </w:pPr>
            <w:r>
              <w:t>(1,763)</w:t>
            </w:r>
          </w:p>
        </w:tc>
      </w:tr>
      <w:tr w:rsidR="00BF677D" w:rsidRPr="00317976" w:rsidTr="00E536BB">
        <w:tc>
          <w:tcPr>
            <w:tcW w:w="1242" w:type="dxa"/>
            <w:tcBorders>
              <w:top w:val="nil"/>
              <w:left w:val="nil"/>
              <w:bottom w:val="nil"/>
              <w:right w:val="nil"/>
            </w:tcBorders>
          </w:tcPr>
          <w:p w:rsidR="00BF677D" w:rsidRPr="00A6686C" w:rsidRDefault="00A6686C" w:rsidP="00CD62E6">
            <w:pPr>
              <w:jc w:val="center"/>
              <w:rPr>
                <w:sz w:val="20"/>
              </w:rPr>
            </w:pPr>
            <w:r w:rsidRPr="00A6686C">
              <w:rPr>
                <w:sz w:val="20"/>
              </w:rPr>
              <w:t>8</w:t>
            </w:r>
          </w:p>
        </w:tc>
        <w:tc>
          <w:tcPr>
            <w:tcW w:w="4678" w:type="dxa"/>
            <w:tcBorders>
              <w:top w:val="nil"/>
              <w:left w:val="nil"/>
              <w:bottom w:val="nil"/>
              <w:right w:val="nil"/>
            </w:tcBorders>
          </w:tcPr>
          <w:p w:rsidR="00BF677D" w:rsidRPr="00317976" w:rsidRDefault="00BF677D" w:rsidP="00CD62E6">
            <w:pPr>
              <w:rPr>
                <w:sz w:val="20"/>
              </w:rPr>
            </w:pPr>
            <w:r>
              <w:rPr>
                <w:sz w:val="20"/>
              </w:rPr>
              <w:t>Long Term Borrowing</w:t>
            </w:r>
          </w:p>
        </w:tc>
        <w:tc>
          <w:tcPr>
            <w:tcW w:w="1843" w:type="dxa"/>
            <w:tcBorders>
              <w:top w:val="nil"/>
              <w:left w:val="nil"/>
              <w:bottom w:val="nil"/>
              <w:right w:val="nil"/>
            </w:tcBorders>
          </w:tcPr>
          <w:p w:rsidR="00BF677D" w:rsidRPr="0017067D" w:rsidRDefault="002A4F7F" w:rsidP="00BC1A14">
            <w:pPr>
              <w:pStyle w:val="CommentText"/>
              <w:tabs>
                <w:tab w:val="decimal" w:pos="1452"/>
              </w:tabs>
            </w:pPr>
            <w:r>
              <w:t>(2,</w:t>
            </w:r>
            <w:r w:rsidR="00BC1A14">
              <w:t>000</w:t>
            </w: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17067D" w:rsidRDefault="00BF677D" w:rsidP="00724E33">
            <w:pPr>
              <w:pStyle w:val="CommentText"/>
              <w:tabs>
                <w:tab w:val="decimal" w:pos="1452"/>
              </w:tabs>
            </w:pPr>
            <w:r>
              <w:t>(5,</w:t>
            </w:r>
            <w:r w:rsidR="00724E33">
              <w:t>184</w:t>
            </w:r>
            <w:r>
              <w:t>)</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3</w:t>
            </w:r>
          </w:p>
        </w:tc>
        <w:tc>
          <w:tcPr>
            <w:tcW w:w="4678" w:type="dxa"/>
            <w:tcBorders>
              <w:top w:val="nil"/>
              <w:left w:val="nil"/>
              <w:bottom w:val="nil"/>
              <w:right w:val="nil"/>
            </w:tcBorders>
            <w:vAlign w:val="center"/>
          </w:tcPr>
          <w:p w:rsidR="00BF677D" w:rsidRPr="00317976" w:rsidRDefault="00BF677D" w:rsidP="00613676">
            <w:pPr>
              <w:rPr>
                <w:sz w:val="20"/>
              </w:rPr>
            </w:pPr>
            <w:r>
              <w:rPr>
                <w:sz w:val="20"/>
              </w:rPr>
              <w:t>Other Long Term Liabilities</w:t>
            </w:r>
          </w:p>
        </w:tc>
        <w:tc>
          <w:tcPr>
            <w:tcW w:w="1843" w:type="dxa"/>
            <w:tcBorders>
              <w:top w:val="nil"/>
              <w:left w:val="nil"/>
              <w:bottom w:val="nil"/>
              <w:right w:val="nil"/>
            </w:tcBorders>
            <w:vAlign w:val="center"/>
          </w:tcPr>
          <w:p w:rsidR="00BF677D" w:rsidRPr="0017067D" w:rsidRDefault="002A4F7F" w:rsidP="00724E33">
            <w:pPr>
              <w:tabs>
                <w:tab w:val="decimal" w:pos="1452"/>
              </w:tabs>
              <w:rPr>
                <w:sz w:val="20"/>
              </w:rPr>
            </w:pPr>
            <w:r>
              <w:rPr>
                <w:sz w:val="20"/>
              </w:rPr>
              <w:t>(</w:t>
            </w:r>
            <w:r w:rsidR="00724E33">
              <w:rPr>
                <w:sz w:val="20"/>
              </w:rPr>
              <w:t>814</w:t>
            </w:r>
            <w:r>
              <w:rPr>
                <w:sz w:val="20"/>
              </w:rPr>
              <w:t>,</w:t>
            </w:r>
            <w:r w:rsidR="00724E33">
              <w:rPr>
                <w:sz w:val="20"/>
              </w:rPr>
              <w:t>251</w:t>
            </w:r>
            <w:r>
              <w:rPr>
                <w:sz w:val="20"/>
              </w:rPr>
              <w:t>)</w:t>
            </w:r>
          </w:p>
        </w:tc>
        <w:tc>
          <w:tcPr>
            <w:tcW w:w="567" w:type="dxa"/>
            <w:tcBorders>
              <w:top w:val="nil"/>
              <w:left w:val="nil"/>
              <w:bottom w:val="nil"/>
              <w:right w:val="nil"/>
            </w:tcBorders>
            <w:vAlign w:val="center"/>
          </w:tcPr>
          <w:p w:rsidR="00BF677D" w:rsidRPr="00EF0833" w:rsidRDefault="00BF677D" w:rsidP="00613676">
            <w:pPr>
              <w:tabs>
                <w:tab w:val="decimal" w:pos="1452"/>
              </w:tabs>
              <w:rPr>
                <w:sz w:val="20"/>
              </w:rPr>
            </w:pPr>
          </w:p>
        </w:tc>
        <w:tc>
          <w:tcPr>
            <w:tcW w:w="1843" w:type="dxa"/>
            <w:tcBorders>
              <w:top w:val="nil"/>
              <w:left w:val="nil"/>
              <w:bottom w:val="nil"/>
              <w:right w:val="nil"/>
            </w:tcBorders>
            <w:vAlign w:val="center"/>
          </w:tcPr>
          <w:p w:rsidR="00BF677D" w:rsidRPr="0017067D" w:rsidRDefault="00BF677D" w:rsidP="00724E33">
            <w:pPr>
              <w:tabs>
                <w:tab w:val="decimal" w:pos="1452"/>
              </w:tabs>
              <w:rPr>
                <w:sz w:val="20"/>
              </w:rPr>
            </w:pPr>
            <w:r>
              <w:rPr>
                <w:sz w:val="20"/>
              </w:rPr>
              <w:t>(</w:t>
            </w:r>
            <w:r w:rsidR="00724E33">
              <w:rPr>
                <w:sz w:val="20"/>
              </w:rPr>
              <w:t>812</w:t>
            </w:r>
            <w:r>
              <w:rPr>
                <w:sz w:val="20"/>
              </w:rPr>
              <w:t>,</w:t>
            </w:r>
            <w:r w:rsidR="00724E33">
              <w:rPr>
                <w:sz w:val="20"/>
              </w:rPr>
              <w:t>058</w:t>
            </w:r>
            <w:r>
              <w:rPr>
                <w:sz w:val="20"/>
              </w:rPr>
              <w:t>)</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0D7D67">
            <w:pPr>
              <w:pStyle w:val="CommentText"/>
            </w:pPr>
          </w:p>
        </w:tc>
        <w:tc>
          <w:tcPr>
            <w:tcW w:w="1843" w:type="dxa"/>
            <w:tcBorders>
              <w:top w:val="single" w:sz="4" w:space="0" w:color="auto"/>
              <w:left w:val="nil"/>
              <w:bottom w:val="nil"/>
              <w:right w:val="nil"/>
            </w:tcBorders>
          </w:tcPr>
          <w:p w:rsidR="00BF677D" w:rsidRPr="0017067D" w:rsidRDefault="002A4F7F" w:rsidP="00724E33">
            <w:pPr>
              <w:tabs>
                <w:tab w:val="decimal" w:pos="1452"/>
              </w:tabs>
              <w:rPr>
                <w:sz w:val="20"/>
              </w:rPr>
            </w:pPr>
            <w:r>
              <w:rPr>
                <w:sz w:val="20"/>
              </w:rPr>
              <w:t>(</w:t>
            </w:r>
            <w:r w:rsidR="00724E33">
              <w:rPr>
                <w:sz w:val="20"/>
              </w:rPr>
              <w:t>817</w:t>
            </w:r>
            <w:r>
              <w:rPr>
                <w:sz w:val="20"/>
              </w:rPr>
              <w:t>,</w:t>
            </w:r>
            <w:r w:rsidR="00724E33">
              <w:rPr>
                <w:sz w:val="20"/>
              </w:rPr>
              <w:t>336</w:t>
            </w:r>
            <w:r>
              <w:rPr>
                <w:sz w:val="20"/>
              </w:rPr>
              <w:t>)</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single" w:sz="4" w:space="0" w:color="auto"/>
              <w:left w:val="nil"/>
              <w:bottom w:val="nil"/>
              <w:right w:val="nil"/>
            </w:tcBorders>
          </w:tcPr>
          <w:p w:rsidR="00BF677D" w:rsidRPr="0017067D" w:rsidRDefault="00BF677D" w:rsidP="00724E33">
            <w:pPr>
              <w:tabs>
                <w:tab w:val="decimal" w:pos="1452"/>
              </w:tabs>
              <w:rPr>
                <w:sz w:val="20"/>
              </w:rPr>
            </w:pPr>
            <w:r>
              <w:rPr>
                <w:sz w:val="20"/>
              </w:rPr>
              <w:t>(</w:t>
            </w:r>
            <w:r w:rsidR="00724E33">
              <w:rPr>
                <w:sz w:val="20"/>
              </w:rPr>
              <w:t>819</w:t>
            </w:r>
            <w:r>
              <w:rPr>
                <w:sz w:val="20"/>
              </w:rPr>
              <w:t>,</w:t>
            </w:r>
            <w:r w:rsidR="00724E33">
              <w:rPr>
                <w:sz w:val="20"/>
              </w:rPr>
              <w:t>005</w:t>
            </w:r>
            <w:r>
              <w:rPr>
                <w:sz w:val="20"/>
              </w:rPr>
              <w:t>)</w:t>
            </w:r>
          </w:p>
        </w:tc>
      </w:tr>
      <w:tr w:rsidR="00BF677D" w:rsidRPr="00317976" w:rsidTr="00E536BB">
        <w:tc>
          <w:tcPr>
            <w:tcW w:w="1242" w:type="dxa"/>
            <w:tcBorders>
              <w:top w:val="nil"/>
              <w:left w:val="nil"/>
              <w:bottom w:val="nil"/>
              <w:right w:val="nil"/>
            </w:tcBorders>
          </w:tcPr>
          <w:p w:rsidR="00BF677D" w:rsidRPr="00724E33" w:rsidRDefault="00BF677D" w:rsidP="00CD62E6">
            <w:pPr>
              <w:jc w:val="center"/>
              <w:rPr>
                <w:sz w:val="12"/>
                <w:szCs w:val="12"/>
                <w:highlight w:val="yellow"/>
              </w:rPr>
            </w:pPr>
          </w:p>
        </w:tc>
        <w:tc>
          <w:tcPr>
            <w:tcW w:w="4678" w:type="dxa"/>
            <w:tcBorders>
              <w:top w:val="nil"/>
              <w:left w:val="nil"/>
              <w:bottom w:val="nil"/>
              <w:right w:val="nil"/>
            </w:tcBorders>
          </w:tcPr>
          <w:p w:rsidR="00BF677D" w:rsidRPr="00724E33" w:rsidRDefault="00BF677D" w:rsidP="00CD62E6">
            <w:pPr>
              <w:rPr>
                <w:sz w:val="12"/>
                <w:szCs w:val="12"/>
              </w:rPr>
            </w:pPr>
          </w:p>
        </w:tc>
        <w:tc>
          <w:tcPr>
            <w:tcW w:w="1843" w:type="dxa"/>
            <w:tcBorders>
              <w:top w:val="nil"/>
              <w:left w:val="nil"/>
              <w:bottom w:val="single" w:sz="4" w:space="0" w:color="auto"/>
              <w:right w:val="nil"/>
            </w:tcBorders>
          </w:tcPr>
          <w:p w:rsidR="00BF677D" w:rsidRPr="00724E33" w:rsidRDefault="00BF677D" w:rsidP="00CD62E6">
            <w:pPr>
              <w:tabs>
                <w:tab w:val="decimal" w:pos="884"/>
              </w:tabs>
              <w:rPr>
                <w:sz w:val="12"/>
                <w:szCs w:val="12"/>
                <w:highlight w:val="yellow"/>
              </w:rPr>
            </w:pPr>
          </w:p>
        </w:tc>
        <w:tc>
          <w:tcPr>
            <w:tcW w:w="567" w:type="dxa"/>
            <w:tcBorders>
              <w:top w:val="nil"/>
              <w:left w:val="nil"/>
              <w:bottom w:val="nil"/>
              <w:right w:val="nil"/>
            </w:tcBorders>
          </w:tcPr>
          <w:p w:rsidR="00BF677D" w:rsidRPr="00724E33" w:rsidRDefault="00BF677D" w:rsidP="00CD62E6">
            <w:pPr>
              <w:tabs>
                <w:tab w:val="decimal" w:pos="884"/>
              </w:tabs>
              <w:rPr>
                <w:sz w:val="12"/>
                <w:szCs w:val="12"/>
              </w:rPr>
            </w:pPr>
          </w:p>
        </w:tc>
        <w:tc>
          <w:tcPr>
            <w:tcW w:w="1843" w:type="dxa"/>
            <w:tcBorders>
              <w:top w:val="nil"/>
              <w:left w:val="nil"/>
              <w:bottom w:val="single" w:sz="4" w:space="0" w:color="auto"/>
              <w:right w:val="nil"/>
            </w:tcBorders>
          </w:tcPr>
          <w:p w:rsidR="00BF677D" w:rsidRPr="00724E33" w:rsidRDefault="00BF677D" w:rsidP="00296A09">
            <w:pPr>
              <w:tabs>
                <w:tab w:val="decimal" w:pos="884"/>
              </w:tabs>
              <w:rPr>
                <w:sz w:val="12"/>
                <w:szCs w:val="12"/>
                <w:highlight w:val="yellow"/>
              </w:rPr>
            </w:pP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20"/>
                <w:highlight w:val="yellow"/>
              </w:rPr>
            </w:pPr>
          </w:p>
        </w:tc>
        <w:tc>
          <w:tcPr>
            <w:tcW w:w="4678" w:type="dxa"/>
            <w:tcBorders>
              <w:top w:val="nil"/>
              <w:left w:val="nil"/>
              <w:bottom w:val="nil"/>
              <w:right w:val="nil"/>
            </w:tcBorders>
          </w:tcPr>
          <w:p w:rsidR="00BF677D" w:rsidRPr="00317976" w:rsidRDefault="00BF677D" w:rsidP="00CD62E6">
            <w:pPr>
              <w:rPr>
                <w:b/>
                <w:sz w:val="20"/>
              </w:rPr>
            </w:pPr>
            <w:r>
              <w:rPr>
                <w:b/>
                <w:sz w:val="20"/>
              </w:rPr>
              <w:t>Net</w:t>
            </w:r>
            <w:r w:rsidRPr="00317976">
              <w:rPr>
                <w:b/>
                <w:sz w:val="20"/>
              </w:rPr>
              <w:t xml:space="preserve"> </w:t>
            </w:r>
            <w:r>
              <w:rPr>
                <w:b/>
                <w:sz w:val="20"/>
              </w:rPr>
              <w:t>Liabilities</w:t>
            </w:r>
            <w:r w:rsidRPr="00317976">
              <w:rPr>
                <w:b/>
                <w:sz w:val="20"/>
              </w:rPr>
              <w:t xml:space="preserve"> </w:t>
            </w:r>
          </w:p>
        </w:tc>
        <w:tc>
          <w:tcPr>
            <w:tcW w:w="1843" w:type="dxa"/>
            <w:tcBorders>
              <w:top w:val="single" w:sz="4" w:space="0" w:color="auto"/>
              <w:left w:val="nil"/>
              <w:bottom w:val="double" w:sz="4" w:space="0" w:color="auto"/>
              <w:right w:val="nil"/>
            </w:tcBorders>
          </w:tcPr>
          <w:p w:rsidR="00BF677D" w:rsidRPr="005126F5" w:rsidRDefault="002A4F7F" w:rsidP="00724E33">
            <w:pPr>
              <w:pStyle w:val="CommentText"/>
              <w:tabs>
                <w:tab w:val="decimal" w:pos="1452"/>
              </w:tabs>
            </w:pPr>
            <w:r>
              <w:t>(685,</w:t>
            </w:r>
            <w:r w:rsidR="00724E33">
              <w:t>640</w:t>
            </w: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single" w:sz="4" w:space="0" w:color="auto"/>
              <w:left w:val="nil"/>
              <w:bottom w:val="double" w:sz="4" w:space="0" w:color="auto"/>
              <w:right w:val="nil"/>
            </w:tcBorders>
          </w:tcPr>
          <w:p w:rsidR="00BF677D" w:rsidRPr="005126F5" w:rsidRDefault="00BF677D" w:rsidP="00724E33">
            <w:pPr>
              <w:pStyle w:val="CommentText"/>
              <w:tabs>
                <w:tab w:val="decimal" w:pos="1452"/>
              </w:tabs>
            </w:pPr>
            <w:r>
              <w:t>(</w:t>
            </w:r>
            <w:r w:rsidR="00724E33">
              <w:t>687</w:t>
            </w:r>
            <w:r>
              <w:t>,</w:t>
            </w:r>
            <w:r w:rsidR="00724E33">
              <w:t>116</w:t>
            </w:r>
            <w:r>
              <w:t>)</w:t>
            </w:r>
          </w:p>
        </w:tc>
      </w:tr>
      <w:tr w:rsidR="004800B9" w:rsidRPr="00317976" w:rsidTr="00724E33">
        <w:trPr>
          <w:trHeight w:val="44"/>
        </w:trPr>
        <w:tc>
          <w:tcPr>
            <w:tcW w:w="1242" w:type="dxa"/>
            <w:tcBorders>
              <w:top w:val="nil"/>
              <w:left w:val="nil"/>
              <w:bottom w:val="nil"/>
              <w:right w:val="nil"/>
            </w:tcBorders>
          </w:tcPr>
          <w:p w:rsidR="004800B9" w:rsidRPr="00724E33" w:rsidRDefault="004800B9" w:rsidP="00CD62E6">
            <w:pPr>
              <w:jc w:val="center"/>
              <w:rPr>
                <w:sz w:val="12"/>
                <w:szCs w:val="12"/>
                <w:highlight w:val="yellow"/>
              </w:rPr>
            </w:pPr>
          </w:p>
        </w:tc>
        <w:tc>
          <w:tcPr>
            <w:tcW w:w="4678" w:type="dxa"/>
            <w:tcBorders>
              <w:top w:val="nil"/>
              <w:left w:val="nil"/>
              <w:bottom w:val="nil"/>
              <w:right w:val="nil"/>
            </w:tcBorders>
          </w:tcPr>
          <w:p w:rsidR="004800B9" w:rsidRPr="00724E33" w:rsidRDefault="004800B9" w:rsidP="00CD62E6">
            <w:pPr>
              <w:rPr>
                <w:b/>
                <w:sz w:val="12"/>
                <w:szCs w:val="12"/>
              </w:rPr>
            </w:pPr>
          </w:p>
        </w:tc>
        <w:tc>
          <w:tcPr>
            <w:tcW w:w="1843" w:type="dxa"/>
            <w:tcBorders>
              <w:top w:val="double" w:sz="4" w:space="0" w:color="auto"/>
              <w:left w:val="nil"/>
              <w:bottom w:val="nil"/>
              <w:right w:val="nil"/>
            </w:tcBorders>
          </w:tcPr>
          <w:p w:rsidR="004800B9" w:rsidRPr="00724E33" w:rsidRDefault="004800B9" w:rsidP="00CD62E6">
            <w:pPr>
              <w:tabs>
                <w:tab w:val="decimal" w:pos="601"/>
                <w:tab w:val="decimal" w:pos="703"/>
              </w:tabs>
              <w:rPr>
                <w:sz w:val="12"/>
                <w:szCs w:val="12"/>
              </w:rPr>
            </w:pPr>
          </w:p>
        </w:tc>
        <w:tc>
          <w:tcPr>
            <w:tcW w:w="567" w:type="dxa"/>
            <w:tcBorders>
              <w:top w:val="nil"/>
              <w:left w:val="nil"/>
              <w:bottom w:val="nil"/>
              <w:right w:val="nil"/>
            </w:tcBorders>
          </w:tcPr>
          <w:p w:rsidR="004800B9" w:rsidRPr="00724E33" w:rsidRDefault="004800B9" w:rsidP="00CD62E6">
            <w:pPr>
              <w:tabs>
                <w:tab w:val="decimal" w:pos="601"/>
                <w:tab w:val="decimal" w:pos="703"/>
              </w:tabs>
              <w:rPr>
                <w:sz w:val="12"/>
                <w:szCs w:val="12"/>
              </w:rPr>
            </w:pPr>
          </w:p>
        </w:tc>
        <w:tc>
          <w:tcPr>
            <w:tcW w:w="1843" w:type="dxa"/>
            <w:tcBorders>
              <w:top w:val="double" w:sz="4" w:space="0" w:color="auto"/>
              <w:left w:val="nil"/>
              <w:bottom w:val="nil"/>
              <w:right w:val="nil"/>
            </w:tcBorders>
          </w:tcPr>
          <w:p w:rsidR="004800B9" w:rsidRPr="00724E33" w:rsidRDefault="004800B9" w:rsidP="0013515F">
            <w:pPr>
              <w:tabs>
                <w:tab w:val="decimal" w:pos="601"/>
                <w:tab w:val="decimal" w:pos="703"/>
              </w:tabs>
              <w:rPr>
                <w:sz w:val="12"/>
                <w:szCs w:val="12"/>
              </w:rPr>
            </w:pP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6</w:t>
            </w:r>
          </w:p>
        </w:tc>
        <w:tc>
          <w:tcPr>
            <w:tcW w:w="4678" w:type="dxa"/>
            <w:tcBorders>
              <w:top w:val="nil"/>
              <w:left w:val="nil"/>
              <w:bottom w:val="nil"/>
              <w:right w:val="nil"/>
            </w:tcBorders>
          </w:tcPr>
          <w:p w:rsidR="00BF677D" w:rsidRPr="00317976" w:rsidRDefault="00BF677D" w:rsidP="00CD62E6">
            <w:pPr>
              <w:rPr>
                <w:sz w:val="20"/>
              </w:rPr>
            </w:pPr>
            <w:r w:rsidRPr="00317976">
              <w:rPr>
                <w:sz w:val="20"/>
              </w:rPr>
              <w:t>Revenue Reserves</w:t>
            </w:r>
          </w:p>
        </w:tc>
        <w:tc>
          <w:tcPr>
            <w:tcW w:w="1843" w:type="dxa"/>
            <w:tcBorders>
              <w:top w:val="nil"/>
              <w:left w:val="nil"/>
              <w:bottom w:val="nil"/>
              <w:right w:val="nil"/>
            </w:tcBorders>
          </w:tcPr>
          <w:p w:rsidR="00BF677D" w:rsidRPr="005126F5" w:rsidRDefault="00043328" w:rsidP="00724E33">
            <w:pPr>
              <w:pStyle w:val="CommentText"/>
              <w:tabs>
                <w:tab w:val="decimal" w:pos="1452"/>
              </w:tabs>
            </w:pPr>
            <w:r>
              <w:t>(15,</w:t>
            </w:r>
            <w:r w:rsidR="00724E33">
              <w:t>784</w:t>
            </w:r>
            <w:r>
              <w:t>)</w:t>
            </w:r>
          </w:p>
        </w:tc>
        <w:tc>
          <w:tcPr>
            <w:tcW w:w="567" w:type="dxa"/>
            <w:tcBorders>
              <w:top w:val="nil"/>
              <w:left w:val="nil"/>
              <w:bottom w:val="nil"/>
              <w:right w:val="nil"/>
            </w:tcBorders>
          </w:tcPr>
          <w:p w:rsidR="00BF677D" w:rsidRPr="00EF0833" w:rsidRDefault="00BF677D" w:rsidP="00CD62E6">
            <w:pPr>
              <w:pStyle w:val="CommentText"/>
              <w:tabs>
                <w:tab w:val="decimal" w:pos="1452"/>
              </w:tabs>
            </w:pPr>
          </w:p>
        </w:tc>
        <w:tc>
          <w:tcPr>
            <w:tcW w:w="1843" w:type="dxa"/>
            <w:tcBorders>
              <w:top w:val="nil"/>
              <w:left w:val="nil"/>
              <w:bottom w:val="nil"/>
              <w:right w:val="nil"/>
            </w:tcBorders>
          </w:tcPr>
          <w:p w:rsidR="00BF677D" w:rsidRPr="005126F5" w:rsidRDefault="00BF677D" w:rsidP="00724E33">
            <w:pPr>
              <w:pStyle w:val="CommentText"/>
              <w:tabs>
                <w:tab w:val="decimal" w:pos="1452"/>
              </w:tabs>
            </w:pPr>
            <w:r>
              <w:t>(17,</w:t>
            </w:r>
            <w:r w:rsidR="00724E33">
              <w:t>968</w:t>
            </w:r>
            <w:r>
              <w:t>)</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6</w:t>
            </w:r>
          </w:p>
        </w:tc>
        <w:tc>
          <w:tcPr>
            <w:tcW w:w="4678" w:type="dxa"/>
            <w:tcBorders>
              <w:top w:val="nil"/>
              <w:left w:val="nil"/>
              <w:bottom w:val="nil"/>
              <w:right w:val="nil"/>
            </w:tcBorders>
          </w:tcPr>
          <w:p w:rsidR="00BF677D" w:rsidRPr="00317976" w:rsidRDefault="00BF677D" w:rsidP="00CD62E6">
            <w:pPr>
              <w:rPr>
                <w:sz w:val="20"/>
              </w:rPr>
            </w:pPr>
            <w:r w:rsidRPr="00317976">
              <w:rPr>
                <w:sz w:val="20"/>
              </w:rPr>
              <w:t>Capital Funding Reserve</w:t>
            </w:r>
          </w:p>
        </w:tc>
        <w:tc>
          <w:tcPr>
            <w:tcW w:w="1843" w:type="dxa"/>
            <w:tcBorders>
              <w:top w:val="nil"/>
              <w:left w:val="nil"/>
              <w:bottom w:val="nil"/>
              <w:right w:val="nil"/>
            </w:tcBorders>
          </w:tcPr>
          <w:p w:rsidR="00BF677D" w:rsidRPr="005126F5" w:rsidRDefault="00043328" w:rsidP="00A55797">
            <w:pPr>
              <w:tabs>
                <w:tab w:val="decimal" w:pos="1452"/>
              </w:tabs>
              <w:rPr>
                <w:sz w:val="20"/>
              </w:rPr>
            </w:pPr>
            <w:r>
              <w:rPr>
                <w:sz w:val="20"/>
              </w:rPr>
              <w:t>(17,745)</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5126F5" w:rsidRDefault="00BF677D" w:rsidP="00296A09">
            <w:pPr>
              <w:tabs>
                <w:tab w:val="decimal" w:pos="1452"/>
              </w:tabs>
              <w:rPr>
                <w:sz w:val="20"/>
              </w:rPr>
            </w:pPr>
            <w:r>
              <w:rPr>
                <w:sz w:val="20"/>
              </w:rPr>
              <w:t>(16,633)</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6</w:t>
            </w:r>
          </w:p>
        </w:tc>
        <w:tc>
          <w:tcPr>
            <w:tcW w:w="4678" w:type="dxa"/>
            <w:tcBorders>
              <w:top w:val="nil"/>
              <w:left w:val="nil"/>
              <w:bottom w:val="nil"/>
              <w:right w:val="nil"/>
            </w:tcBorders>
          </w:tcPr>
          <w:p w:rsidR="00BF677D" w:rsidRPr="00317976" w:rsidRDefault="00BF677D" w:rsidP="00CD62E6">
            <w:pPr>
              <w:rPr>
                <w:sz w:val="20"/>
              </w:rPr>
            </w:pPr>
            <w:r>
              <w:rPr>
                <w:sz w:val="20"/>
              </w:rPr>
              <w:t>Capital Grants Unapplied Account</w:t>
            </w:r>
          </w:p>
        </w:tc>
        <w:tc>
          <w:tcPr>
            <w:tcW w:w="1843" w:type="dxa"/>
            <w:tcBorders>
              <w:top w:val="nil"/>
              <w:left w:val="nil"/>
              <w:bottom w:val="nil"/>
              <w:right w:val="nil"/>
            </w:tcBorders>
          </w:tcPr>
          <w:p w:rsidR="00BF677D" w:rsidRPr="005126F5" w:rsidRDefault="00724E33" w:rsidP="00CD62E6">
            <w:pPr>
              <w:tabs>
                <w:tab w:val="decimal" w:pos="1452"/>
              </w:tabs>
              <w:rPr>
                <w:sz w:val="20"/>
              </w:rPr>
            </w:pPr>
            <w:r>
              <w:rPr>
                <w:sz w:val="20"/>
              </w:rPr>
              <w:t>(121)</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5126F5" w:rsidRDefault="00BF677D" w:rsidP="00724E33">
            <w:pPr>
              <w:tabs>
                <w:tab w:val="decimal" w:pos="1452"/>
              </w:tabs>
              <w:rPr>
                <w:sz w:val="20"/>
              </w:rPr>
            </w:pPr>
            <w:r>
              <w:rPr>
                <w:sz w:val="20"/>
              </w:rPr>
              <w:t>(</w:t>
            </w:r>
            <w:r w:rsidR="00724E33">
              <w:rPr>
                <w:sz w:val="20"/>
              </w:rPr>
              <w:t>947</w:t>
            </w:r>
            <w:r>
              <w:rPr>
                <w:sz w:val="20"/>
              </w:rPr>
              <w:t>)</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6</w:t>
            </w:r>
          </w:p>
        </w:tc>
        <w:tc>
          <w:tcPr>
            <w:tcW w:w="4678" w:type="dxa"/>
            <w:tcBorders>
              <w:top w:val="nil"/>
              <w:left w:val="nil"/>
              <w:bottom w:val="nil"/>
              <w:right w:val="nil"/>
            </w:tcBorders>
          </w:tcPr>
          <w:p w:rsidR="00BF677D" w:rsidRPr="00317976" w:rsidRDefault="00BF677D" w:rsidP="00CD62E6">
            <w:pPr>
              <w:rPr>
                <w:sz w:val="20"/>
              </w:rPr>
            </w:pPr>
            <w:r w:rsidRPr="00317976">
              <w:rPr>
                <w:sz w:val="20"/>
              </w:rPr>
              <w:t>Usable Capital Receipts Reserve</w:t>
            </w:r>
          </w:p>
        </w:tc>
        <w:tc>
          <w:tcPr>
            <w:tcW w:w="1843" w:type="dxa"/>
            <w:tcBorders>
              <w:top w:val="nil"/>
              <w:left w:val="nil"/>
              <w:bottom w:val="single" w:sz="4" w:space="0" w:color="auto"/>
              <w:right w:val="nil"/>
            </w:tcBorders>
          </w:tcPr>
          <w:p w:rsidR="00BF677D" w:rsidRPr="005126F5" w:rsidRDefault="00043328" w:rsidP="00CD62E6">
            <w:pPr>
              <w:tabs>
                <w:tab w:val="decimal" w:pos="1452"/>
              </w:tabs>
              <w:rPr>
                <w:sz w:val="20"/>
              </w:rPr>
            </w:pPr>
            <w:r>
              <w:rPr>
                <w:sz w:val="20"/>
              </w:rPr>
              <w:t>(1,582)</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single" w:sz="4" w:space="0" w:color="auto"/>
              <w:right w:val="nil"/>
            </w:tcBorders>
          </w:tcPr>
          <w:p w:rsidR="00BF677D" w:rsidRPr="005126F5" w:rsidRDefault="00BF677D" w:rsidP="00296A09">
            <w:pPr>
              <w:tabs>
                <w:tab w:val="decimal" w:pos="1452"/>
              </w:tabs>
              <w:rPr>
                <w:sz w:val="20"/>
              </w:rPr>
            </w:pPr>
            <w:r>
              <w:rPr>
                <w:sz w:val="20"/>
              </w:rPr>
              <w:t>(1,501)</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6</w:t>
            </w:r>
          </w:p>
        </w:tc>
        <w:tc>
          <w:tcPr>
            <w:tcW w:w="4678" w:type="dxa"/>
            <w:tcBorders>
              <w:top w:val="nil"/>
              <w:left w:val="nil"/>
              <w:bottom w:val="nil"/>
              <w:right w:val="nil"/>
            </w:tcBorders>
          </w:tcPr>
          <w:p w:rsidR="00BF677D" w:rsidRPr="00317976" w:rsidRDefault="00BF677D" w:rsidP="00CD62E6">
            <w:pPr>
              <w:rPr>
                <w:b/>
                <w:sz w:val="20"/>
              </w:rPr>
            </w:pPr>
            <w:r w:rsidRPr="00317976">
              <w:rPr>
                <w:b/>
                <w:sz w:val="20"/>
              </w:rPr>
              <w:t>Usable Reserves:</w:t>
            </w:r>
          </w:p>
        </w:tc>
        <w:tc>
          <w:tcPr>
            <w:tcW w:w="1843" w:type="dxa"/>
            <w:tcBorders>
              <w:top w:val="single" w:sz="4" w:space="0" w:color="auto"/>
              <w:left w:val="nil"/>
              <w:bottom w:val="single" w:sz="4" w:space="0" w:color="auto"/>
              <w:right w:val="nil"/>
            </w:tcBorders>
          </w:tcPr>
          <w:p w:rsidR="00BF677D" w:rsidRPr="005126F5" w:rsidRDefault="00043328" w:rsidP="00724E33">
            <w:pPr>
              <w:tabs>
                <w:tab w:val="decimal" w:pos="1452"/>
              </w:tabs>
              <w:rPr>
                <w:sz w:val="20"/>
              </w:rPr>
            </w:pPr>
            <w:r>
              <w:rPr>
                <w:sz w:val="20"/>
              </w:rPr>
              <w:t>(35,</w:t>
            </w:r>
            <w:r w:rsidR="00724E33">
              <w:rPr>
                <w:sz w:val="20"/>
              </w:rPr>
              <w:t>231</w:t>
            </w:r>
            <w:r>
              <w:rPr>
                <w:sz w:val="20"/>
              </w:rPr>
              <w:t>)</w:t>
            </w:r>
          </w:p>
        </w:tc>
        <w:tc>
          <w:tcPr>
            <w:tcW w:w="567" w:type="dxa"/>
            <w:tcBorders>
              <w:top w:val="nil"/>
              <w:left w:val="nil"/>
              <w:bottom w:val="nil"/>
              <w:right w:val="nil"/>
            </w:tcBorders>
          </w:tcPr>
          <w:p w:rsidR="00BF677D" w:rsidRPr="00EF0833" w:rsidRDefault="00BF677D" w:rsidP="00CD62E6">
            <w:pPr>
              <w:pStyle w:val="CommentText"/>
              <w:tabs>
                <w:tab w:val="decimal" w:pos="1451"/>
              </w:tabs>
            </w:pPr>
          </w:p>
        </w:tc>
        <w:tc>
          <w:tcPr>
            <w:tcW w:w="1843" w:type="dxa"/>
            <w:tcBorders>
              <w:top w:val="single" w:sz="4" w:space="0" w:color="auto"/>
              <w:left w:val="nil"/>
              <w:bottom w:val="single" w:sz="4" w:space="0" w:color="auto"/>
              <w:right w:val="nil"/>
            </w:tcBorders>
          </w:tcPr>
          <w:p w:rsidR="00BF677D" w:rsidRPr="005126F5" w:rsidRDefault="00BF677D" w:rsidP="00724E33">
            <w:pPr>
              <w:tabs>
                <w:tab w:val="decimal" w:pos="1452"/>
              </w:tabs>
              <w:rPr>
                <w:sz w:val="20"/>
              </w:rPr>
            </w:pPr>
            <w:r>
              <w:rPr>
                <w:sz w:val="20"/>
              </w:rPr>
              <w:t>(</w:t>
            </w:r>
            <w:r w:rsidR="00724E33">
              <w:rPr>
                <w:sz w:val="20"/>
              </w:rPr>
              <w:t>37</w:t>
            </w:r>
            <w:r>
              <w:rPr>
                <w:sz w:val="20"/>
              </w:rPr>
              <w:t>,</w:t>
            </w:r>
            <w:r w:rsidR="00724E33">
              <w:rPr>
                <w:sz w:val="20"/>
              </w:rPr>
              <w:t>048</w:t>
            </w:r>
            <w:r>
              <w:rPr>
                <w:sz w:val="20"/>
              </w:rPr>
              <w:t>)</w:t>
            </w:r>
          </w:p>
        </w:tc>
      </w:tr>
      <w:tr w:rsidR="00BF677D" w:rsidRPr="00317976" w:rsidTr="00E536BB">
        <w:tc>
          <w:tcPr>
            <w:tcW w:w="1242" w:type="dxa"/>
            <w:tcBorders>
              <w:top w:val="nil"/>
              <w:left w:val="nil"/>
              <w:bottom w:val="nil"/>
              <w:right w:val="nil"/>
            </w:tcBorders>
          </w:tcPr>
          <w:p w:rsidR="00BF677D" w:rsidRPr="00BF677D" w:rsidRDefault="00BF677D" w:rsidP="00CD62E6">
            <w:pPr>
              <w:jc w:val="center"/>
              <w:rPr>
                <w:sz w:val="16"/>
                <w:szCs w:val="16"/>
                <w:highlight w:val="yellow"/>
              </w:rPr>
            </w:pPr>
          </w:p>
        </w:tc>
        <w:tc>
          <w:tcPr>
            <w:tcW w:w="4678" w:type="dxa"/>
            <w:tcBorders>
              <w:top w:val="nil"/>
              <w:left w:val="nil"/>
              <w:bottom w:val="nil"/>
              <w:right w:val="nil"/>
            </w:tcBorders>
          </w:tcPr>
          <w:p w:rsidR="00BF677D" w:rsidRPr="00E057FC" w:rsidRDefault="00BF677D" w:rsidP="00CD62E6">
            <w:pPr>
              <w:rPr>
                <w:b/>
                <w:sz w:val="16"/>
                <w:szCs w:val="16"/>
              </w:rPr>
            </w:pPr>
          </w:p>
        </w:tc>
        <w:tc>
          <w:tcPr>
            <w:tcW w:w="1843" w:type="dxa"/>
            <w:tcBorders>
              <w:top w:val="single" w:sz="4" w:space="0" w:color="auto"/>
              <w:left w:val="nil"/>
              <w:bottom w:val="nil"/>
              <w:right w:val="nil"/>
            </w:tcBorders>
          </w:tcPr>
          <w:p w:rsidR="00BF677D" w:rsidRPr="00E057FC" w:rsidRDefault="00BF677D" w:rsidP="00CD62E6">
            <w:pPr>
              <w:tabs>
                <w:tab w:val="decimal" w:pos="1452"/>
              </w:tabs>
              <w:rPr>
                <w:sz w:val="16"/>
                <w:szCs w:val="16"/>
              </w:rPr>
            </w:pPr>
          </w:p>
        </w:tc>
        <w:tc>
          <w:tcPr>
            <w:tcW w:w="567" w:type="dxa"/>
            <w:tcBorders>
              <w:top w:val="nil"/>
              <w:left w:val="nil"/>
              <w:bottom w:val="nil"/>
              <w:right w:val="nil"/>
            </w:tcBorders>
          </w:tcPr>
          <w:p w:rsidR="00BF677D" w:rsidRPr="00E057FC" w:rsidRDefault="00BF677D" w:rsidP="00CD62E6">
            <w:pPr>
              <w:tabs>
                <w:tab w:val="decimal" w:pos="1452"/>
              </w:tabs>
              <w:rPr>
                <w:sz w:val="16"/>
                <w:szCs w:val="16"/>
                <w:highlight w:val="yellow"/>
              </w:rPr>
            </w:pPr>
          </w:p>
        </w:tc>
        <w:tc>
          <w:tcPr>
            <w:tcW w:w="1843" w:type="dxa"/>
            <w:tcBorders>
              <w:top w:val="single" w:sz="4" w:space="0" w:color="auto"/>
              <w:left w:val="nil"/>
              <w:bottom w:val="nil"/>
              <w:right w:val="nil"/>
            </w:tcBorders>
          </w:tcPr>
          <w:p w:rsidR="00BF677D" w:rsidRPr="00E057FC" w:rsidRDefault="00BF677D" w:rsidP="00296A09">
            <w:pPr>
              <w:tabs>
                <w:tab w:val="decimal" w:pos="1452"/>
              </w:tabs>
              <w:rPr>
                <w:sz w:val="16"/>
                <w:szCs w:val="16"/>
              </w:rPr>
            </w:pP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8</w:t>
            </w:r>
          </w:p>
        </w:tc>
        <w:tc>
          <w:tcPr>
            <w:tcW w:w="4678" w:type="dxa"/>
            <w:tcBorders>
              <w:top w:val="nil"/>
              <w:left w:val="nil"/>
              <w:bottom w:val="nil"/>
              <w:right w:val="nil"/>
            </w:tcBorders>
          </w:tcPr>
          <w:p w:rsidR="00BF677D" w:rsidRPr="00317976" w:rsidRDefault="00BF677D" w:rsidP="00CD62E6">
            <w:pPr>
              <w:rPr>
                <w:sz w:val="20"/>
              </w:rPr>
            </w:pPr>
            <w:r w:rsidRPr="00317976">
              <w:rPr>
                <w:sz w:val="20"/>
              </w:rPr>
              <w:t>Revaluation Reserve</w:t>
            </w:r>
          </w:p>
        </w:tc>
        <w:tc>
          <w:tcPr>
            <w:tcW w:w="1843" w:type="dxa"/>
            <w:tcBorders>
              <w:top w:val="nil"/>
              <w:left w:val="nil"/>
              <w:bottom w:val="nil"/>
              <w:right w:val="nil"/>
            </w:tcBorders>
          </w:tcPr>
          <w:p w:rsidR="00BF677D" w:rsidRPr="004148D0" w:rsidRDefault="00043328" w:rsidP="001B2AF5">
            <w:pPr>
              <w:tabs>
                <w:tab w:val="decimal" w:pos="1452"/>
              </w:tabs>
              <w:rPr>
                <w:sz w:val="20"/>
              </w:rPr>
            </w:pPr>
            <w:r w:rsidRPr="004148D0">
              <w:rPr>
                <w:sz w:val="20"/>
              </w:rPr>
              <w:t>(40,862)</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5126F5" w:rsidRDefault="00BF677D" w:rsidP="00296A09">
            <w:pPr>
              <w:tabs>
                <w:tab w:val="decimal" w:pos="1452"/>
              </w:tabs>
              <w:rPr>
                <w:sz w:val="20"/>
              </w:rPr>
            </w:pPr>
            <w:r>
              <w:rPr>
                <w:sz w:val="20"/>
              </w:rPr>
              <w:t>(36,957)</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8</w:t>
            </w:r>
          </w:p>
        </w:tc>
        <w:tc>
          <w:tcPr>
            <w:tcW w:w="4678" w:type="dxa"/>
            <w:tcBorders>
              <w:top w:val="nil"/>
              <w:left w:val="nil"/>
              <w:bottom w:val="nil"/>
              <w:right w:val="nil"/>
            </w:tcBorders>
          </w:tcPr>
          <w:p w:rsidR="00BF677D" w:rsidRPr="00317976" w:rsidRDefault="00BF677D" w:rsidP="00CD62E6">
            <w:pPr>
              <w:rPr>
                <w:sz w:val="20"/>
              </w:rPr>
            </w:pPr>
            <w:r w:rsidRPr="00317976">
              <w:rPr>
                <w:sz w:val="20"/>
              </w:rPr>
              <w:t>Capital Adjustment Account</w:t>
            </w:r>
          </w:p>
        </w:tc>
        <w:tc>
          <w:tcPr>
            <w:tcW w:w="1843" w:type="dxa"/>
            <w:tcBorders>
              <w:top w:val="nil"/>
              <w:left w:val="nil"/>
              <w:bottom w:val="nil"/>
              <w:right w:val="nil"/>
            </w:tcBorders>
          </w:tcPr>
          <w:p w:rsidR="00BF677D" w:rsidRPr="004148D0" w:rsidRDefault="00043328" w:rsidP="00A55797">
            <w:pPr>
              <w:tabs>
                <w:tab w:val="decimal" w:pos="1452"/>
              </w:tabs>
              <w:rPr>
                <w:sz w:val="20"/>
              </w:rPr>
            </w:pPr>
            <w:r w:rsidRPr="004148D0">
              <w:rPr>
                <w:sz w:val="20"/>
              </w:rPr>
              <w:t>(38,641)</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5126F5" w:rsidRDefault="00BF677D" w:rsidP="00296A09">
            <w:pPr>
              <w:tabs>
                <w:tab w:val="decimal" w:pos="1452"/>
              </w:tabs>
              <w:rPr>
                <w:sz w:val="20"/>
              </w:rPr>
            </w:pPr>
            <w:r>
              <w:rPr>
                <w:sz w:val="20"/>
              </w:rPr>
              <w:t>(36,762)</w:t>
            </w:r>
          </w:p>
        </w:tc>
      </w:tr>
      <w:tr w:rsidR="00BF677D" w:rsidRPr="00317976" w:rsidTr="00E536BB">
        <w:tc>
          <w:tcPr>
            <w:tcW w:w="1242" w:type="dxa"/>
            <w:tcBorders>
              <w:top w:val="nil"/>
              <w:left w:val="nil"/>
              <w:bottom w:val="nil"/>
              <w:right w:val="nil"/>
            </w:tcBorders>
          </w:tcPr>
          <w:p w:rsidR="00BF677D" w:rsidRPr="00A6686C" w:rsidRDefault="00BF677D" w:rsidP="00A6686C">
            <w:pPr>
              <w:jc w:val="center"/>
              <w:rPr>
                <w:sz w:val="20"/>
              </w:rPr>
            </w:pPr>
            <w:r w:rsidRPr="00A6686C">
              <w:rPr>
                <w:sz w:val="20"/>
              </w:rPr>
              <w:t>1</w:t>
            </w:r>
            <w:r w:rsidR="00A6686C" w:rsidRPr="00A6686C">
              <w:rPr>
                <w:sz w:val="20"/>
              </w:rPr>
              <w:t>3</w:t>
            </w:r>
            <w:r w:rsidRPr="00A6686C">
              <w:rPr>
                <w:sz w:val="20"/>
              </w:rPr>
              <w:t>,1</w:t>
            </w:r>
            <w:r w:rsidR="00A6686C" w:rsidRPr="00A6686C">
              <w:rPr>
                <w:sz w:val="20"/>
              </w:rPr>
              <w:t>5</w:t>
            </w:r>
            <w:r w:rsidRPr="00A6686C">
              <w:rPr>
                <w:sz w:val="20"/>
              </w:rPr>
              <w:t>&amp;1</w:t>
            </w:r>
            <w:r w:rsidR="00A6686C" w:rsidRPr="00A6686C">
              <w:rPr>
                <w:sz w:val="20"/>
              </w:rPr>
              <w:t>8</w:t>
            </w:r>
          </w:p>
        </w:tc>
        <w:tc>
          <w:tcPr>
            <w:tcW w:w="4678" w:type="dxa"/>
            <w:tcBorders>
              <w:top w:val="nil"/>
              <w:left w:val="nil"/>
              <w:bottom w:val="nil"/>
              <w:right w:val="nil"/>
            </w:tcBorders>
          </w:tcPr>
          <w:p w:rsidR="00BF677D" w:rsidRPr="00317976" w:rsidRDefault="00BF677D" w:rsidP="00CD62E6">
            <w:pPr>
              <w:rPr>
                <w:sz w:val="20"/>
              </w:rPr>
            </w:pPr>
            <w:r w:rsidRPr="00317976">
              <w:rPr>
                <w:sz w:val="20"/>
              </w:rPr>
              <w:t>Pension Reserve</w:t>
            </w:r>
          </w:p>
        </w:tc>
        <w:tc>
          <w:tcPr>
            <w:tcW w:w="1843" w:type="dxa"/>
            <w:tcBorders>
              <w:top w:val="nil"/>
              <w:left w:val="nil"/>
              <w:bottom w:val="nil"/>
              <w:right w:val="nil"/>
            </w:tcBorders>
          </w:tcPr>
          <w:p w:rsidR="00BF677D" w:rsidRPr="004148D0" w:rsidRDefault="00724E33" w:rsidP="00724E33">
            <w:pPr>
              <w:tabs>
                <w:tab w:val="decimal" w:pos="1452"/>
              </w:tabs>
              <w:rPr>
                <w:sz w:val="20"/>
              </w:rPr>
            </w:pPr>
            <w:r>
              <w:rPr>
                <w:sz w:val="20"/>
              </w:rPr>
              <w:t>800</w:t>
            </w:r>
            <w:r w:rsidR="00043328" w:rsidRPr="004148D0">
              <w:rPr>
                <w:sz w:val="20"/>
              </w:rPr>
              <w:t>,</w:t>
            </w:r>
            <w:r>
              <w:rPr>
                <w:sz w:val="20"/>
              </w:rPr>
              <w:t>264</w:t>
            </w:r>
          </w:p>
        </w:tc>
        <w:tc>
          <w:tcPr>
            <w:tcW w:w="567" w:type="dxa"/>
            <w:tcBorders>
              <w:top w:val="nil"/>
              <w:left w:val="nil"/>
              <w:bottom w:val="nil"/>
              <w:right w:val="nil"/>
            </w:tcBorders>
          </w:tcPr>
          <w:p w:rsidR="00BF677D" w:rsidRPr="00EF0833" w:rsidRDefault="00BF677D" w:rsidP="00CD62E6">
            <w:pPr>
              <w:tabs>
                <w:tab w:val="decimal" w:pos="1452"/>
              </w:tabs>
              <w:rPr>
                <w:sz w:val="20"/>
              </w:rPr>
            </w:pPr>
          </w:p>
        </w:tc>
        <w:tc>
          <w:tcPr>
            <w:tcW w:w="1843" w:type="dxa"/>
            <w:tcBorders>
              <w:top w:val="nil"/>
              <w:left w:val="nil"/>
              <w:bottom w:val="nil"/>
              <w:right w:val="nil"/>
            </w:tcBorders>
          </w:tcPr>
          <w:p w:rsidR="00BF677D" w:rsidRPr="005126F5" w:rsidRDefault="00724E33" w:rsidP="00724E33">
            <w:pPr>
              <w:tabs>
                <w:tab w:val="decimal" w:pos="1452"/>
              </w:tabs>
              <w:rPr>
                <w:sz w:val="20"/>
              </w:rPr>
            </w:pPr>
            <w:r>
              <w:rPr>
                <w:sz w:val="20"/>
              </w:rPr>
              <w:t>797</w:t>
            </w:r>
            <w:r w:rsidR="00BF677D">
              <w:rPr>
                <w:sz w:val="20"/>
              </w:rPr>
              <w:t>,</w:t>
            </w:r>
            <w:r>
              <w:rPr>
                <w:sz w:val="20"/>
              </w:rPr>
              <w:t>742</w:t>
            </w:r>
          </w:p>
        </w:tc>
      </w:tr>
      <w:tr w:rsidR="00A6686C" w:rsidRPr="00317976" w:rsidTr="00E536BB">
        <w:tc>
          <w:tcPr>
            <w:tcW w:w="1242" w:type="dxa"/>
            <w:tcBorders>
              <w:top w:val="nil"/>
              <w:left w:val="nil"/>
              <w:bottom w:val="nil"/>
              <w:right w:val="nil"/>
            </w:tcBorders>
          </w:tcPr>
          <w:p w:rsidR="00A6686C" w:rsidRPr="00A6686C" w:rsidRDefault="00A6686C" w:rsidP="00A6686C">
            <w:pPr>
              <w:jc w:val="center"/>
            </w:pPr>
            <w:r w:rsidRPr="00A6686C">
              <w:rPr>
                <w:sz w:val="20"/>
              </w:rPr>
              <w:t>18</w:t>
            </w:r>
          </w:p>
        </w:tc>
        <w:tc>
          <w:tcPr>
            <w:tcW w:w="4678" w:type="dxa"/>
            <w:tcBorders>
              <w:top w:val="nil"/>
              <w:left w:val="nil"/>
              <w:bottom w:val="nil"/>
              <w:right w:val="nil"/>
            </w:tcBorders>
          </w:tcPr>
          <w:p w:rsidR="00A6686C" w:rsidRPr="00317976" w:rsidRDefault="00A6686C" w:rsidP="00CD62E6">
            <w:pPr>
              <w:rPr>
                <w:sz w:val="20"/>
              </w:rPr>
            </w:pPr>
            <w:r w:rsidRPr="00317976">
              <w:rPr>
                <w:sz w:val="20"/>
              </w:rPr>
              <w:t>Collection Fund Adjustment Account</w:t>
            </w:r>
          </w:p>
        </w:tc>
        <w:tc>
          <w:tcPr>
            <w:tcW w:w="1843" w:type="dxa"/>
            <w:tcBorders>
              <w:top w:val="nil"/>
              <w:left w:val="nil"/>
              <w:bottom w:val="nil"/>
              <w:right w:val="nil"/>
            </w:tcBorders>
          </w:tcPr>
          <w:p w:rsidR="00A6686C" w:rsidRPr="004148D0" w:rsidRDefault="00A6686C" w:rsidP="00681178">
            <w:pPr>
              <w:tabs>
                <w:tab w:val="decimal" w:pos="1452"/>
              </w:tabs>
              <w:rPr>
                <w:sz w:val="20"/>
              </w:rPr>
            </w:pPr>
            <w:r w:rsidRPr="004148D0">
              <w:rPr>
                <w:sz w:val="20"/>
              </w:rPr>
              <w:t>(704)</w:t>
            </w:r>
          </w:p>
        </w:tc>
        <w:tc>
          <w:tcPr>
            <w:tcW w:w="567" w:type="dxa"/>
            <w:tcBorders>
              <w:top w:val="nil"/>
              <w:left w:val="nil"/>
              <w:bottom w:val="nil"/>
              <w:right w:val="nil"/>
            </w:tcBorders>
          </w:tcPr>
          <w:p w:rsidR="00A6686C" w:rsidRPr="00EF0833" w:rsidRDefault="00A6686C" w:rsidP="00CD62E6">
            <w:pPr>
              <w:tabs>
                <w:tab w:val="decimal" w:pos="1452"/>
              </w:tabs>
              <w:rPr>
                <w:sz w:val="20"/>
              </w:rPr>
            </w:pPr>
          </w:p>
        </w:tc>
        <w:tc>
          <w:tcPr>
            <w:tcW w:w="1843" w:type="dxa"/>
            <w:tcBorders>
              <w:top w:val="nil"/>
              <w:left w:val="nil"/>
              <w:bottom w:val="nil"/>
              <w:right w:val="nil"/>
            </w:tcBorders>
          </w:tcPr>
          <w:p w:rsidR="00A6686C" w:rsidRPr="005126F5" w:rsidRDefault="00A6686C" w:rsidP="00296A09">
            <w:pPr>
              <w:tabs>
                <w:tab w:val="decimal" w:pos="1452"/>
              </w:tabs>
              <w:rPr>
                <w:sz w:val="20"/>
              </w:rPr>
            </w:pPr>
            <w:r>
              <w:rPr>
                <w:sz w:val="20"/>
              </w:rPr>
              <w:t>(664)</w:t>
            </w:r>
          </w:p>
        </w:tc>
      </w:tr>
      <w:tr w:rsidR="00A6686C" w:rsidRPr="00317976" w:rsidTr="00E536BB">
        <w:trPr>
          <w:trHeight w:val="197"/>
        </w:trPr>
        <w:tc>
          <w:tcPr>
            <w:tcW w:w="1242" w:type="dxa"/>
            <w:tcBorders>
              <w:top w:val="nil"/>
              <w:left w:val="nil"/>
              <w:bottom w:val="nil"/>
              <w:right w:val="nil"/>
            </w:tcBorders>
          </w:tcPr>
          <w:p w:rsidR="00A6686C" w:rsidRPr="00A6686C" w:rsidRDefault="00A6686C" w:rsidP="00A6686C">
            <w:pPr>
              <w:jc w:val="center"/>
            </w:pPr>
            <w:r w:rsidRPr="00A6686C">
              <w:rPr>
                <w:sz w:val="20"/>
              </w:rPr>
              <w:t>18</w:t>
            </w:r>
          </w:p>
        </w:tc>
        <w:tc>
          <w:tcPr>
            <w:tcW w:w="4678" w:type="dxa"/>
            <w:tcBorders>
              <w:top w:val="nil"/>
              <w:left w:val="nil"/>
              <w:bottom w:val="nil"/>
              <w:right w:val="nil"/>
            </w:tcBorders>
          </w:tcPr>
          <w:p w:rsidR="00A6686C" w:rsidRPr="00A828A3" w:rsidRDefault="00A6686C" w:rsidP="00CD62E6">
            <w:pPr>
              <w:rPr>
                <w:sz w:val="20"/>
              </w:rPr>
            </w:pPr>
            <w:r w:rsidRPr="00A828A3">
              <w:rPr>
                <w:sz w:val="20"/>
              </w:rPr>
              <w:t>Accumulated Absences Adjustment Account</w:t>
            </w:r>
          </w:p>
        </w:tc>
        <w:tc>
          <w:tcPr>
            <w:tcW w:w="1843" w:type="dxa"/>
            <w:tcBorders>
              <w:top w:val="nil"/>
              <w:left w:val="nil"/>
              <w:bottom w:val="nil"/>
              <w:right w:val="nil"/>
            </w:tcBorders>
          </w:tcPr>
          <w:p w:rsidR="00A6686C" w:rsidRPr="004148D0" w:rsidRDefault="00A6686C" w:rsidP="00CD62E6">
            <w:pPr>
              <w:tabs>
                <w:tab w:val="decimal" w:pos="1452"/>
              </w:tabs>
              <w:rPr>
                <w:sz w:val="20"/>
              </w:rPr>
            </w:pPr>
            <w:r w:rsidRPr="004148D0">
              <w:rPr>
                <w:sz w:val="20"/>
              </w:rPr>
              <w:t>813</w:t>
            </w:r>
          </w:p>
        </w:tc>
        <w:tc>
          <w:tcPr>
            <w:tcW w:w="567" w:type="dxa"/>
            <w:tcBorders>
              <w:top w:val="nil"/>
              <w:left w:val="nil"/>
              <w:bottom w:val="nil"/>
              <w:right w:val="nil"/>
            </w:tcBorders>
          </w:tcPr>
          <w:p w:rsidR="00A6686C" w:rsidRPr="00EF0833" w:rsidRDefault="00A6686C" w:rsidP="00CD62E6">
            <w:pPr>
              <w:tabs>
                <w:tab w:val="decimal" w:pos="1452"/>
              </w:tabs>
              <w:rPr>
                <w:sz w:val="20"/>
              </w:rPr>
            </w:pPr>
          </w:p>
        </w:tc>
        <w:tc>
          <w:tcPr>
            <w:tcW w:w="1843" w:type="dxa"/>
            <w:tcBorders>
              <w:top w:val="nil"/>
              <w:left w:val="nil"/>
              <w:bottom w:val="nil"/>
              <w:right w:val="nil"/>
            </w:tcBorders>
          </w:tcPr>
          <w:p w:rsidR="00A6686C" w:rsidRPr="005126F5" w:rsidRDefault="00A6686C" w:rsidP="00296A09">
            <w:pPr>
              <w:tabs>
                <w:tab w:val="decimal" w:pos="1452"/>
              </w:tabs>
              <w:rPr>
                <w:sz w:val="20"/>
              </w:rPr>
            </w:pPr>
            <w:r>
              <w:rPr>
                <w:sz w:val="20"/>
              </w:rPr>
              <w:t>804</w:t>
            </w:r>
          </w:p>
        </w:tc>
      </w:tr>
      <w:tr w:rsidR="00A6686C" w:rsidRPr="00317976" w:rsidTr="00E536BB">
        <w:tc>
          <w:tcPr>
            <w:tcW w:w="1242" w:type="dxa"/>
            <w:tcBorders>
              <w:top w:val="nil"/>
              <w:left w:val="nil"/>
              <w:bottom w:val="nil"/>
              <w:right w:val="nil"/>
            </w:tcBorders>
          </w:tcPr>
          <w:p w:rsidR="00A6686C" w:rsidRPr="00A6686C" w:rsidRDefault="00A6686C" w:rsidP="00A6686C">
            <w:pPr>
              <w:jc w:val="center"/>
            </w:pPr>
            <w:r w:rsidRPr="00A6686C">
              <w:rPr>
                <w:sz w:val="20"/>
              </w:rPr>
              <w:t>18</w:t>
            </w:r>
          </w:p>
        </w:tc>
        <w:tc>
          <w:tcPr>
            <w:tcW w:w="4678" w:type="dxa"/>
            <w:tcBorders>
              <w:top w:val="nil"/>
              <w:left w:val="nil"/>
              <w:bottom w:val="nil"/>
              <w:right w:val="nil"/>
            </w:tcBorders>
          </w:tcPr>
          <w:p w:rsidR="00A6686C" w:rsidRPr="00317976" w:rsidRDefault="00A6686C" w:rsidP="00CD62E6">
            <w:pPr>
              <w:rPr>
                <w:b/>
                <w:sz w:val="20"/>
              </w:rPr>
            </w:pPr>
            <w:r w:rsidRPr="00317976">
              <w:rPr>
                <w:b/>
                <w:sz w:val="20"/>
              </w:rPr>
              <w:t>Unusable Reserves:</w:t>
            </w:r>
          </w:p>
        </w:tc>
        <w:tc>
          <w:tcPr>
            <w:tcW w:w="1843" w:type="dxa"/>
            <w:tcBorders>
              <w:top w:val="single" w:sz="4" w:space="0" w:color="auto"/>
              <w:left w:val="nil"/>
              <w:bottom w:val="single" w:sz="4" w:space="0" w:color="auto"/>
              <w:right w:val="nil"/>
            </w:tcBorders>
          </w:tcPr>
          <w:p w:rsidR="00A6686C" w:rsidRPr="005126F5" w:rsidRDefault="00A6686C" w:rsidP="00724E33">
            <w:pPr>
              <w:tabs>
                <w:tab w:val="decimal" w:pos="1452"/>
              </w:tabs>
              <w:rPr>
                <w:sz w:val="20"/>
              </w:rPr>
            </w:pPr>
            <w:r>
              <w:rPr>
                <w:sz w:val="20"/>
              </w:rPr>
              <w:t>720,</w:t>
            </w:r>
            <w:r w:rsidR="00724E33">
              <w:rPr>
                <w:sz w:val="20"/>
              </w:rPr>
              <w:t>871</w:t>
            </w:r>
          </w:p>
        </w:tc>
        <w:tc>
          <w:tcPr>
            <w:tcW w:w="567" w:type="dxa"/>
            <w:tcBorders>
              <w:top w:val="nil"/>
              <w:left w:val="nil"/>
              <w:bottom w:val="nil"/>
              <w:right w:val="nil"/>
            </w:tcBorders>
          </w:tcPr>
          <w:p w:rsidR="00A6686C" w:rsidRPr="00EF0833" w:rsidRDefault="00A6686C" w:rsidP="00CD62E6">
            <w:pPr>
              <w:tabs>
                <w:tab w:val="decimal" w:pos="1452"/>
              </w:tabs>
              <w:rPr>
                <w:sz w:val="20"/>
              </w:rPr>
            </w:pPr>
          </w:p>
        </w:tc>
        <w:tc>
          <w:tcPr>
            <w:tcW w:w="1843" w:type="dxa"/>
            <w:tcBorders>
              <w:top w:val="single" w:sz="4" w:space="0" w:color="auto"/>
              <w:left w:val="nil"/>
              <w:bottom w:val="single" w:sz="4" w:space="0" w:color="auto"/>
              <w:right w:val="nil"/>
            </w:tcBorders>
          </w:tcPr>
          <w:p w:rsidR="00A6686C" w:rsidRPr="005126F5" w:rsidRDefault="00724E33" w:rsidP="00724E33">
            <w:pPr>
              <w:tabs>
                <w:tab w:val="decimal" w:pos="1452"/>
              </w:tabs>
              <w:rPr>
                <w:sz w:val="20"/>
              </w:rPr>
            </w:pPr>
            <w:r>
              <w:rPr>
                <w:sz w:val="20"/>
              </w:rPr>
              <w:t>724</w:t>
            </w:r>
            <w:r w:rsidR="00A6686C">
              <w:rPr>
                <w:sz w:val="20"/>
              </w:rPr>
              <w:t>,</w:t>
            </w:r>
            <w:r>
              <w:rPr>
                <w:sz w:val="20"/>
              </w:rPr>
              <w:t>164</w:t>
            </w:r>
          </w:p>
        </w:tc>
      </w:tr>
      <w:tr w:rsidR="00BF677D" w:rsidRPr="00317976" w:rsidTr="00E536BB">
        <w:trPr>
          <w:trHeight w:val="77"/>
        </w:trPr>
        <w:tc>
          <w:tcPr>
            <w:tcW w:w="1242" w:type="dxa"/>
            <w:tcBorders>
              <w:top w:val="nil"/>
              <w:left w:val="nil"/>
              <w:bottom w:val="nil"/>
              <w:right w:val="nil"/>
            </w:tcBorders>
          </w:tcPr>
          <w:p w:rsidR="00BF677D" w:rsidRPr="00BF677D" w:rsidRDefault="00BF677D" w:rsidP="00CD62E6">
            <w:pPr>
              <w:jc w:val="center"/>
              <w:rPr>
                <w:sz w:val="16"/>
                <w:szCs w:val="16"/>
                <w:highlight w:val="yellow"/>
              </w:rPr>
            </w:pPr>
          </w:p>
        </w:tc>
        <w:tc>
          <w:tcPr>
            <w:tcW w:w="4678" w:type="dxa"/>
            <w:tcBorders>
              <w:top w:val="nil"/>
              <w:left w:val="nil"/>
              <w:bottom w:val="nil"/>
              <w:right w:val="nil"/>
            </w:tcBorders>
          </w:tcPr>
          <w:p w:rsidR="00BF677D" w:rsidRPr="00E057FC" w:rsidRDefault="00BF677D" w:rsidP="00CD62E6">
            <w:pPr>
              <w:rPr>
                <w:b/>
                <w:sz w:val="16"/>
                <w:szCs w:val="16"/>
              </w:rPr>
            </w:pPr>
          </w:p>
        </w:tc>
        <w:tc>
          <w:tcPr>
            <w:tcW w:w="1843" w:type="dxa"/>
            <w:tcBorders>
              <w:top w:val="single" w:sz="4" w:space="0" w:color="auto"/>
              <w:left w:val="nil"/>
              <w:bottom w:val="single" w:sz="4" w:space="0" w:color="auto"/>
              <w:right w:val="nil"/>
            </w:tcBorders>
          </w:tcPr>
          <w:p w:rsidR="00BF677D" w:rsidRPr="00E057FC" w:rsidRDefault="00BF677D" w:rsidP="00CD62E6">
            <w:pPr>
              <w:tabs>
                <w:tab w:val="decimal" w:pos="1452"/>
              </w:tabs>
              <w:rPr>
                <w:sz w:val="16"/>
                <w:szCs w:val="16"/>
              </w:rPr>
            </w:pPr>
          </w:p>
        </w:tc>
        <w:tc>
          <w:tcPr>
            <w:tcW w:w="567" w:type="dxa"/>
            <w:tcBorders>
              <w:top w:val="nil"/>
              <w:left w:val="nil"/>
              <w:bottom w:val="nil"/>
              <w:right w:val="nil"/>
            </w:tcBorders>
          </w:tcPr>
          <w:p w:rsidR="00BF677D" w:rsidRPr="00E057FC" w:rsidRDefault="00BF677D" w:rsidP="00CD62E6">
            <w:pPr>
              <w:tabs>
                <w:tab w:val="decimal" w:pos="1452"/>
              </w:tabs>
              <w:rPr>
                <w:sz w:val="16"/>
                <w:szCs w:val="16"/>
              </w:rPr>
            </w:pPr>
          </w:p>
        </w:tc>
        <w:tc>
          <w:tcPr>
            <w:tcW w:w="1843" w:type="dxa"/>
            <w:tcBorders>
              <w:top w:val="single" w:sz="4" w:space="0" w:color="auto"/>
              <w:left w:val="nil"/>
              <w:bottom w:val="single" w:sz="4" w:space="0" w:color="auto"/>
              <w:right w:val="nil"/>
            </w:tcBorders>
          </w:tcPr>
          <w:p w:rsidR="00BF677D" w:rsidRPr="00E057FC" w:rsidRDefault="00BF677D" w:rsidP="00296A09">
            <w:pPr>
              <w:tabs>
                <w:tab w:val="decimal" w:pos="1452"/>
              </w:tabs>
              <w:rPr>
                <w:sz w:val="16"/>
                <w:szCs w:val="16"/>
              </w:rPr>
            </w:pPr>
          </w:p>
        </w:tc>
      </w:tr>
      <w:tr w:rsidR="00BF677D" w:rsidRPr="00317976" w:rsidTr="00E536BB">
        <w:tc>
          <w:tcPr>
            <w:tcW w:w="1242" w:type="dxa"/>
            <w:tcBorders>
              <w:top w:val="nil"/>
              <w:left w:val="nil"/>
              <w:bottom w:val="nil"/>
              <w:right w:val="nil"/>
            </w:tcBorders>
          </w:tcPr>
          <w:p w:rsidR="00BF677D" w:rsidRPr="00317976" w:rsidRDefault="00BF677D" w:rsidP="00CD62E6">
            <w:pPr>
              <w:jc w:val="center"/>
              <w:rPr>
                <w:sz w:val="20"/>
              </w:rPr>
            </w:pPr>
          </w:p>
        </w:tc>
        <w:tc>
          <w:tcPr>
            <w:tcW w:w="4678" w:type="dxa"/>
            <w:tcBorders>
              <w:top w:val="nil"/>
              <w:left w:val="nil"/>
              <w:bottom w:val="nil"/>
              <w:right w:val="nil"/>
            </w:tcBorders>
          </w:tcPr>
          <w:p w:rsidR="00BF677D" w:rsidRPr="00317976" w:rsidRDefault="00BF677D" w:rsidP="00CD62E6">
            <w:pPr>
              <w:rPr>
                <w:b/>
                <w:sz w:val="20"/>
              </w:rPr>
            </w:pPr>
            <w:r w:rsidRPr="00317976">
              <w:rPr>
                <w:b/>
                <w:sz w:val="20"/>
              </w:rPr>
              <w:t xml:space="preserve">Total </w:t>
            </w:r>
            <w:r>
              <w:rPr>
                <w:b/>
                <w:sz w:val="20"/>
              </w:rPr>
              <w:t>Reserves</w:t>
            </w:r>
          </w:p>
        </w:tc>
        <w:tc>
          <w:tcPr>
            <w:tcW w:w="1843" w:type="dxa"/>
            <w:tcBorders>
              <w:top w:val="single" w:sz="4" w:space="0" w:color="auto"/>
              <w:left w:val="nil"/>
              <w:bottom w:val="double" w:sz="4" w:space="0" w:color="auto"/>
              <w:right w:val="nil"/>
            </w:tcBorders>
          </w:tcPr>
          <w:p w:rsidR="00BF677D" w:rsidRPr="00C37E47" w:rsidRDefault="00043328" w:rsidP="00724E33">
            <w:pPr>
              <w:pStyle w:val="CommentText"/>
              <w:tabs>
                <w:tab w:val="decimal" w:pos="1452"/>
              </w:tabs>
            </w:pPr>
            <w:r>
              <w:t>685,</w:t>
            </w:r>
            <w:r w:rsidR="00724E33">
              <w:t>640</w:t>
            </w:r>
          </w:p>
        </w:tc>
        <w:tc>
          <w:tcPr>
            <w:tcW w:w="567" w:type="dxa"/>
            <w:tcBorders>
              <w:top w:val="nil"/>
              <w:left w:val="nil"/>
              <w:bottom w:val="nil"/>
              <w:right w:val="nil"/>
            </w:tcBorders>
          </w:tcPr>
          <w:p w:rsidR="00BF677D" w:rsidRPr="00302FA7" w:rsidRDefault="00BF677D" w:rsidP="00302FA7">
            <w:pPr>
              <w:pStyle w:val="CommentText"/>
              <w:tabs>
                <w:tab w:val="decimal" w:pos="1452"/>
              </w:tabs>
            </w:pPr>
          </w:p>
        </w:tc>
        <w:tc>
          <w:tcPr>
            <w:tcW w:w="1843" w:type="dxa"/>
            <w:tcBorders>
              <w:top w:val="single" w:sz="4" w:space="0" w:color="auto"/>
              <w:left w:val="nil"/>
              <w:bottom w:val="double" w:sz="4" w:space="0" w:color="auto"/>
              <w:right w:val="nil"/>
            </w:tcBorders>
          </w:tcPr>
          <w:p w:rsidR="00BF677D" w:rsidRPr="00C37E47" w:rsidRDefault="00724E33" w:rsidP="00724E33">
            <w:pPr>
              <w:pStyle w:val="CommentText"/>
              <w:tabs>
                <w:tab w:val="decimal" w:pos="1452"/>
              </w:tabs>
            </w:pPr>
            <w:r>
              <w:t>687</w:t>
            </w:r>
            <w:r w:rsidR="00BF677D">
              <w:t>,</w:t>
            </w:r>
            <w:r>
              <w:t>116</w:t>
            </w:r>
          </w:p>
        </w:tc>
      </w:tr>
    </w:tbl>
    <w:p w:rsidR="00724E33" w:rsidRDefault="00724E33" w:rsidP="00C37996">
      <w:pPr>
        <w:jc w:val="both"/>
        <w:rPr>
          <w:sz w:val="20"/>
        </w:rPr>
      </w:pPr>
      <w:r>
        <w:rPr>
          <w:sz w:val="20"/>
        </w:rPr>
        <w:t xml:space="preserve">The 2016/17 accounts have been restated to include the </w:t>
      </w:r>
      <w:r w:rsidR="00EF4270">
        <w:rPr>
          <w:sz w:val="20"/>
        </w:rPr>
        <w:t>Authority’s</w:t>
      </w:r>
      <w:r>
        <w:rPr>
          <w:sz w:val="20"/>
        </w:rPr>
        <w:t xml:space="preserve"> 25% share in North West </w:t>
      </w:r>
      <w:proofErr w:type="spellStart"/>
      <w:r>
        <w:rPr>
          <w:sz w:val="20"/>
        </w:rPr>
        <w:t>FireControl</w:t>
      </w:r>
      <w:proofErr w:type="spellEnd"/>
      <w:r>
        <w:rPr>
          <w:sz w:val="20"/>
        </w:rPr>
        <w:t xml:space="preserve"> Limited.</w:t>
      </w:r>
    </w:p>
    <w:p w:rsidR="00724E33" w:rsidRDefault="00724E33" w:rsidP="00C37996">
      <w:pPr>
        <w:jc w:val="both"/>
        <w:rPr>
          <w:sz w:val="20"/>
        </w:rPr>
      </w:pPr>
    </w:p>
    <w:p w:rsidR="005126F5" w:rsidRPr="00724E33" w:rsidRDefault="00724E33" w:rsidP="00C37996">
      <w:pPr>
        <w:jc w:val="both"/>
        <w:rPr>
          <w:sz w:val="20"/>
        </w:rPr>
      </w:pPr>
      <w:r>
        <w:rPr>
          <w:sz w:val="20"/>
        </w:rPr>
        <w:t>These Financial Statements replace the unaudited financial statements authorised by the Treasurer on 31 May 2018.</w:t>
      </w:r>
    </w:p>
    <w:p w:rsidR="00E057FC" w:rsidRPr="00724E33" w:rsidRDefault="00E057FC" w:rsidP="00C37996">
      <w:pPr>
        <w:jc w:val="both"/>
        <w:rPr>
          <w:sz w:val="12"/>
          <w:szCs w:val="12"/>
        </w:rPr>
      </w:pPr>
    </w:p>
    <w:p w:rsidR="00C37996" w:rsidRDefault="00C37996" w:rsidP="00C37996">
      <w:pPr>
        <w:jc w:val="both"/>
        <w:rPr>
          <w:sz w:val="20"/>
        </w:rPr>
      </w:pPr>
      <w:r w:rsidRPr="00317976">
        <w:rPr>
          <w:sz w:val="20"/>
        </w:rPr>
        <w:t xml:space="preserve">This Statement of Accounts is that upon which the Auditor should enter his certificate and opinion.  It presents a true and fair view of the financial position of the Authority at 31 March </w:t>
      </w:r>
      <w:r w:rsidR="00EA53D9" w:rsidRPr="00317976">
        <w:rPr>
          <w:sz w:val="20"/>
        </w:rPr>
        <w:t>201</w:t>
      </w:r>
      <w:r w:rsidR="00EA53D9">
        <w:rPr>
          <w:sz w:val="20"/>
        </w:rPr>
        <w:t>8</w:t>
      </w:r>
      <w:r w:rsidR="00EA53D9" w:rsidRPr="00317976">
        <w:rPr>
          <w:sz w:val="20"/>
        </w:rPr>
        <w:t xml:space="preserve"> </w:t>
      </w:r>
      <w:r w:rsidRPr="00317976">
        <w:rPr>
          <w:sz w:val="20"/>
        </w:rPr>
        <w:t>and its income and expenditure for the year then ended.</w:t>
      </w:r>
    </w:p>
    <w:p w:rsidR="005126F5" w:rsidRDefault="005126F5" w:rsidP="00C37996">
      <w:pPr>
        <w:jc w:val="both"/>
        <w:rPr>
          <w:sz w:val="20"/>
        </w:rPr>
      </w:pPr>
    </w:p>
    <w:p w:rsidR="00E536BB" w:rsidRDefault="00E536BB" w:rsidP="00C37996">
      <w:pPr>
        <w:jc w:val="both"/>
        <w:rPr>
          <w:sz w:val="20"/>
        </w:rPr>
      </w:pPr>
    </w:p>
    <w:tbl>
      <w:tblPr>
        <w:tblW w:w="0" w:type="auto"/>
        <w:tblLayout w:type="fixed"/>
        <w:tblLook w:val="0000" w:firstRow="0" w:lastRow="0" w:firstColumn="0" w:lastColumn="0" w:noHBand="0" w:noVBand="0"/>
      </w:tblPr>
      <w:tblGrid>
        <w:gridCol w:w="4928"/>
        <w:gridCol w:w="4842"/>
      </w:tblGrid>
      <w:tr w:rsidR="00C37996" w:rsidTr="0012728C">
        <w:trPr>
          <w:trHeight w:val="573"/>
        </w:trPr>
        <w:tc>
          <w:tcPr>
            <w:tcW w:w="4928" w:type="dxa"/>
          </w:tcPr>
          <w:p w:rsidR="00C37996" w:rsidRPr="00996DD8" w:rsidRDefault="00C37996" w:rsidP="0012728C">
            <w:pPr>
              <w:rPr>
                <w:sz w:val="20"/>
              </w:rPr>
            </w:pPr>
            <w:r w:rsidRPr="00996DD8">
              <w:rPr>
                <w:sz w:val="20"/>
              </w:rPr>
              <w:t>K Mattinson    CPFA</w:t>
            </w:r>
          </w:p>
          <w:p w:rsidR="00C37996" w:rsidRPr="00996DD8" w:rsidRDefault="00C37996" w:rsidP="0012728C">
            <w:pPr>
              <w:rPr>
                <w:sz w:val="20"/>
              </w:rPr>
            </w:pPr>
            <w:r w:rsidRPr="00996DD8">
              <w:rPr>
                <w:sz w:val="20"/>
              </w:rPr>
              <w:t>Treasurer to the Combined Fire Authority</w:t>
            </w:r>
          </w:p>
          <w:p w:rsidR="00C37996" w:rsidRPr="00996DD8" w:rsidRDefault="00CD13F6" w:rsidP="00CF615E">
            <w:pPr>
              <w:rPr>
                <w:sz w:val="20"/>
              </w:rPr>
            </w:pPr>
            <w:r>
              <w:rPr>
                <w:sz w:val="20"/>
              </w:rPr>
              <w:t>24 July</w:t>
            </w:r>
            <w:r w:rsidR="000B724F" w:rsidRPr="00996DD8">
              <w:rPr>
                <w:sz w:val="20"/>
              </w:rPr>
              <w:t xml:space="preserve"> 2018</w:t>
            </w:r>
          </w:p>
        </w:tc>
        <w:tc>
          <w:tcPr>
            <w:tcW w:w="4842" w:type="dxa"/>
          </w:tcPr>
          <w:p w:rsidR="00C37996" w:rsidRDefault="002C3B00" w:rsidP="00CF615E">
            <w:pPr>
              <w:rPr>
                <w:sz w:val="20"/>
              </w:rPr>
            </w:pPr>
            <w:r>
              <w:rPr>
                <w:sz w:val="20"/>
              </w:rPr>
              <w:t>Matthew Tomlinson</w:t>
            </w:r>
          </w:p>
          <w:p w:rsidR="002C3B00" w:rsidRDefault="002C3B00" w:rsidP="00CF615E">
            <w:pPr>
              <w:rPr>
                <w:sz w:val="20"/>
              </w:rPr>
            </w:pPr>
            <w:r>
              <w:rPr>
                <w:sz w:val="20"/>
              </w:rPr>
              <w:t>Chair of Audit Committee</w:t>
            </w:r>
          </w:p>
          <w:p w:rsidR="002C3B00" w:rsidRPr="00996DD8" w:rsidRDefault="002C3B00" w:rsidP="00CF615E">
            <w:pPr>
              <w:rPr>
                <w:caps/>
                <w:sz w:val="20"/>
              </w:rPr>
            </w:pPr>
            <w:r>
              <w:rPr>
                <w:sz w:val="20"/>
              </w:rPr>
              <w:t>24 July 2018</w:t>
            </w:r>
          </w:p>
        </w:tc>
      </w:tr>
    </w:tbl>
    <w:p w:rsidR="00D864F8" w:rsidRDefault="00D864F8" w:rsidP="00125863">
      <w:pPr>
        <w:tabs>
          <w:tab w:val="left" w:pos="720"/>
          <w:tab w:val="right" w:pos="5760"/>
        </w:tabs>
        <w:rPr>
          <w:b/>
          <w:sz w:val="22"/>
        </w:rPr>
      </w:pPr>
    </w:p>
    <w:p w:rsidR="00D90216" w:rsidRDefault="00D90216" w:rsidP="00D90216">
      <w:pPr>
        <w:tabs>
          <w:tab w:val="left" w:pos="720"/>
          <w:tab w:val="right" w:pos="5760"/>
        </w:tabs>
        <w:jc w:val="center"/>
        <w:rPr>
          <w:b/>
          <w:sz w:val="22"/>
        </w:rPr>
      </w:pPr>
      <w:r>
        <w:rPr>
          <w:b/>
          <w:sz w:val="22"/>
        </w:rPr>
        <w:lastRenderedPageBreak/>
        <w:t>CASH FLOW STATEMENT</w:t>
      </w:r>
    </w:p>
    <w:p w:rsidR="00D90216" w:rsidRDefault="00D90216" w:rsidP="00D90216">
      <w:pPr>
        <w:ind w:left="540" w:hanging="540"/>
        <w:rPr>
          <w:sz w:val="22"/>
          <w:u w:val="single"/>
        </w:rPr>
      </w:pPr>
    </w:p>
    <w:p w:rsidR="00D90216" w:rsidRPr="00231F47" w:rsidRDefault="00D90216" w:rsidP="00D90216">
      <w:pPr>
        <w:jc w:val="both"/>
        <w:rPr>
          <w:sz w:val="22"/>
          <w:szCs w:val="22"/>
        </w:rPr>
      </w:pPr>
      <w:r w:rsidRPr="003347C0">
        <w:rPr>
          <w:sz w:val="22"/>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amounts of net cash flows arising from operating activities is an indicator of the extent to which the operations are funded by way of taxation and grant income or from the recipients of services provided by the Authority.  Investing activities represent the extent to which cash outflows have been made for resources which are intended to contribute to the Author</w:t>
      </w:r>
      <w:r w:rsidR="00F73C99">
        <w:rPr>
          <w:sz w:val="22"/>
        </w:rPr>
        <w:t>ity’s future service delivery.</w:t>
      </w:r>
      <w:r w:rsidR="00231F47">
        <w:rPr>
          <w:sz w:val="22"/>
        </w:rPr>
        <w:t xml:space="preserve">  </w:t>
      </w:r>
    </w:p>
    <w:p w:rsidR="00D90216" w:rsidRDefault="00D90216" w:rsidP="00D90216">
      <w:pPr>
        <w:rPr>
          <w:sz w:val="22"/>
        </w:rPr>
      </w:pPr>
    </w:p>
    <w:tbl>
      <w:tblPr>
        <w:tblW w:w="0" w:type="auto"/>
        <w:tblLayout w:type="fixed"/>
        <w:tblLook w:val="0000" w:firstRow="0" w:lastRow="0" w:firstColumn="0" w:lastColumn="0" w:noHBand="0" w:noVBand="0"/>
      </w:tblPr>
      <w:tblGrid>
        <w:gridCol w:w="817"/>
        <w:gridCol w:w="4961"/>
        <w:gridCol w:w="993"/>
        <w:gridCol w:w="992"/>
        <w:gridCol w:w="992"/>
        <w:gridCol w:w="992"/>
      </w:tblGrid>
      <w:tr w:rsidR="00890C40" w:rsidTr="00EF4270">
        <w:trPr>
          <w:cantSplit/>
          <w:trHeight w:hRule="exact" w:val="660"/>
        </w:trPr>
        <w:tc>
          <w:tcPr>
            <w:tcW w:w="817" w:type="dxa"/>
          </w:tcPr>
          <w:p w:rsidR="00890C40" w:rsidRPr="003347C0" w:rsidRDefault="00890C40" w:rsidP="00CD62E6">
            <w:pPr>
              <w:pStyle w:val="Footer"/>
              <w:tabs>
                <w:tab w:val="clear" w:pos="4153"/>
                <w:tab w:val="clear" w:pos="8306"/>
              </w:tabs>
              <w:spacing w:after="240"/>
              <w:rPr>
                <w:sz w:val="20"/>
              </w:rPr>
            </w:pPr>
            <w:r w:rsidRPr="003347C0">
              <w:rPr>
                <w:sz w:val="20"/>
              </w:rPr>
              <w:t>Notes</w:t>
            </w:r>
          </w:p>
        </w:tc>
        <w:tc>
          <w:tcPr>
            <w:tcW w:w="4961" w:type="dxa"/>
          </w:tcPr>
          <w:p w:rsidR="00890C40" w:rsidRPr="003347C0" w:rsidRDefault="00890C40" w:rsidP="00CD62E6">
            <w:pPr>
              <w:pStyle w:val="Footer"/>
              <w:tabs>
                <w:tab w:val="clear" w:pos="4153"/>
                <w:tab w:val="clear" w:pos="8306"/>
              </w:tabs>
              <w:spacing w:after="240"/>
              <w:rPr>
                <w:sz w:val="20"/>
              </w:rPr>
            </w:pPr>
          </w:p>
        </w:tc>
        <w:tc>
          <w:tcPr>
            <w:tcW w:w="1985" w:type="dxa"/>
            <w:gridSpan w:val="2"/>
          </w:tcPr>
          <w:p w:rsidR="00890C40" w:rsidRPr="003347C0" w:rsidRDefault="00890C40" w:rsidP="00BF677D">
            <w:pPr>
              <w:spacing w:after="240"/>
              <w:jc w:val="center"/>
              <w:rPr>
                <w:sz w:val="20"/>
              </w:rPr>
            </w:pPr>
            <w:r w:rsidRPr="003347C0">
              <w:rPr>
                <w:sz w:val="20"/>
              </w:rPr>
              <w:t>201</w:t>
            </w:r>
            <w:r w:rsidR="00BF677D">
              <w:rPr>
                <w:sz w:val="20"/>
              </w:rPr>
              <w:t>7</w:t>
            </w:r>
            <w:r>
              <w:rPr>
                <w:sz w:val="20"/>
              </w:rPr>
              <w:t>/1</w:t>
            </w:r>
            <w:r w:rsidR="00BF677D">
              <w:rPr>
                <w:sz w:val="20"/>
              </w:rPr>
              <w:t>8</w:t>
            </w:r>
          </w:p>
        </w:tc>
        <w:tc>
          <w:tcPr>
            <w:tcW w:w="1984" w:type="dxa"/>
            <w:gridSpan w:val="2"/>
          </w:tcPr>
          <w:p w:rsidR="00890C40" w:rsidRPr="00EF4270" w:rsidRDefault="00BF677D" w:rsidP="00EF4270">
            <w:pPr>
              <w:jc w:val="center"/>
              <w:rPr>
                <w:sz w:val="20"/>
              </w:rPr>
            </w:pPr>
            <w:r w:rsidRPr="00EF4270">
              <w:rPr>
                <w:sz w:val="20"/>
              </w:rPr>
              <w:t>2016/17</w:t>
            </w:r>
          </w:p>
          <w:p w:rsidR="00BE3C39" w:rsidRPr="003347C0" w:rsidRDefault="00BE3C39" w:rsidP="00EF4270">
            <w:pPr>
              <w:jc w:val="center"/>
            </w:pPr>
            <w:r w:rsidRPr="00EF4270">
              <w:rPr>
                <w:sz w:val="20"/>
              </w:rPr>
              <w:t>As restated</w:t>
            </w:r>
            <w:r w:rsidR="00A250F7">
              <w:rPr>
                <w:sz w:val="20"/>
              </w:rPr>
              <w:t>*</w:t>
            </w:r>
          </w:p>
        </w:tc>
      </w:tr>
      <w:tr w:rsidR="00D90216" w:rsidTr="00CD62E6">
        <w:trPr>
          <w:trHeight w:hRule="exact" w:val="300"/>
        </w:trPr>
        <w:tc>
          <w:tcPr>
            <w:tcW w:w="817" w:type="dxa"/>
          </w:tcPr>
          <w:p w:rsidR="00D90216" w:rsidRPr="003347C0" w:rsidRDefault="00D90216" w:rsidP="00CD62E6">
            <w:pPr>
              <w:spacing w:after="240"/>
              <w:rPr>
                <w:sz w:val="20"/>
              </w:rPr>
            </w:pPr>
          </w:p>
        </w:tc>
        <w:tc>
          <w:tcPr>
            <w:tcW w:w="4961" w:type="dxa"/>
          </w:tcPr>
          <w:p w:rsidR="00D90216" w:rsidRPr="003347C0" w:rsidRDefault="00D90216" w:rsidP="00CD62E6">
            <w:pPr>
              <w:spacing w:after="240"/>
              <w:rPr>
                <w:sz w:val="20"/>
              </w:rPr>
            </w:pPr>
          </w:p>
        </w:tc>
        <w:tc>
          <w:tcPr>
            <w:tcW w:w="993" w:type="dxa"/>
          </w:tcPr>
          <w:p w:rsidR="00D90216" w:rsidRPr="003347C0" w:rsidRDefault="00D90216" w:rsidP="00CD62E6">
            <w:pPr>
              <w:tabs>
                <w:tab w:val="left" w:pos="794"/>
              </w:tabs>
              <w:spacing w:after="240"/>
              <w:jc w:val="center"/>
              <w:rPr>
                <w:sz w:val="20"/>
              </w:rPr>
            </w:pPr>
            <w:r w:rsidRPr="003347C0">
              <w:rPr>
                <w:sz w:val="20"/>
              </w:rPr>
              <w:t>£000</w:t>
            </w:r>
          </w:p>
        </w:tc>
        <w:tc>
          <w:tcPr>
            <w:tcW w:w="992" w:type="dxa"/>
          </w:tcPr>
          <w:p w:rsidR="00D90216" w:rsidRPr="003347C0" w:rsidRDefault="00D90216" w:rsidP="00CD62E6">
            <w:pPr>
              <w:tabs>
                <w:tab w:val="left" w:pos="794"/>
              </w:tabs>
              <w:spacing w:after="240"/>
              <w:jc w:val="center"/>
              <w:rPr>
                <w:sz w:val="20"/>
              </w:rPr>
            </w:pPr>
            <w:r w:rsidRPr="003347C0">
              <w:rPr>
                <w:sz w:val="20"/>
              </w:rPr>
              <w:t>£000</w:t>
            </w:r>
          </w:p>
        </w:tc>
        <w:tc>
          <w:tcPr>
            <w:tcW w:w="992" w:type="dxa"/>
          </w:tcPr>
          <w:p w:rsidR="00D90216" w:rsidRPr="003347C0" w:rsidRDefault="00D90216" w:rsidP="00CD62E6">
            <w:pPr>
              <w:tabs>
                <w:tab w:val="left" w:pos="742"/>
              </w:tabs>
              <w:spacing w:after="240"/>
              <w:jc w:val="center"/>
              <w:rPr>
                <w:sz w:val="20"/>
              </w:rPr>
            </w:pPr>
            <w:r w:rsidRPr="003347C0">
              <w:rPr>
                <w:sz w:val="20"/>
              </w:rPr>
              <w:t>£000</w:t>
            </w:r>
          </w:p>
        </w:tc>
        <w:tc>
          <w:tcPr>
            <w:tcW w:w="992" w:type="dxa"/>
          </w:tcPr>
          <w:p w:rsidR="00D90216" w:rsidRPr="003347C0" w:rsidRDefault="00D90216" w:rsidP="00CD62E6">
            <w:pPr>
              <w:tabs>
                <w:tab w:val="left" w:pos="743"/>
              </w:tabs>
              <w:spacing w:after="240"/>
              <w:jc w:val="center"/>
              <w:rPr>
                <w:sz w:val="20"/>
              </w:rPr>
            </w:pPr>
            <w:r w:rsidRPr="003347C0">
              <w:rPr>
                <w:sz w:val="20"/>
              </w:rPr>
              <w:t>£000</w:t>
            </w:r>
          </w:p>
        </w:tc>
      </w:tr>
      <w:tr w:rsidR="00D90216" w:rsidTr="00CD62E6">
        <w:trPr>
          <w:trHeight w:hRule="exact" w:val="300"/>
        </w:trPr>
        <w:tc>
          <w:tcPr>
            <w:tcW w:w="817" w:type="dxa"/>
          </w:tcPr>
          <w:p w:rsidR="00D90216" w:rsidRPr="00FB1DA8" w:rsidRDefault="00D90216" w:rsidP="00CD62E6">
            <w:pPr>
              <w:pStyle w:val="Heading5"/>
              <w:rPr>
                <w:sz w:val="20"/>
                <w:highlight w:val="yellow"/>
              </w:rPr>
            </w:pPr>
          </w:p>
        </w:tc>
        <w:tc>
          <w:tcPr>
            <w:tcW w:w="4961" w:type="dxa"/>
          </w:tcPr>
          <w:p w:rsidR="00D90216" w:rsidRPr="00FB1DA8" w:rsidRDefault="00D90216" w:rsidP="00CD62E6">
            <w:pPr>
              <w:pStyle w:val="Heading5"/>
              <w:rPr>
                <w:sz w:val="20"/>
                <w:highlight w:val="yellow"/>
              </w:rPr>
            </w:pPr>
          </w:p>
        </w:tc>
        <w:tc>
          <w:tcPr>
            <w:tcW w:w="993" w:type="dxa"/>
          </w:tcPr>
          <w:p w:rsidR="00D90216" w:rsidRPr="00FB1DA8" w:rsidRDefault="00D90216" w:rsidP="00CD62E6">
            <w:pPr>
              <w:tabs>
                <w:tab w:val="decimal" w:pos="743"/>
                <w:tab w:val="decimal" w:pos="882"/>
              </w:tabs>
              <w:rPr>
                <w:sz w:val="20"/>
                <w:highlight w:val="yellow"/>
              </w:rPr>
            </w:pPr>
          </w:p>
        </w:tc>
        <w:tc>
          <w:tcPr>
            <w:tcW w:w="992" w:type="dxa"/>
          </w:tcPr>
          <w:p w:rsidR="00D90216" w:rsidRPr="00FB1DA8" w:rsidRDefault="00D90216" w:rsidP="00CD62E6">
            <w:pPr>
              <w:tabs>
                <w:tab w:val="decimal" w:pos="742"/>
              </w:tabs>
              <w:rPr>
                <w:sz w:val="20"/>
                <w:highlight w:val="yellow"/>
              </w:rPr>
            </w:pPr>
          </w:p>
        </w:tc>
        <w:tc>
          <w:tcPr>
            <w:tcW w:w="992" w:type="dxa"/>
          </w:tcPr>
          <w:p w:rsidR="00D90216" w:rsidRPr="00FB1DA8" w:rsidRDefault="00D90216" w:rsidP="00CD62E6">
            <w:pPr>
              <w:tabs>
                <w:tab w:val="decimal" w:pos="742"/>
              </w:tabs>
              <w:rPr>
                <w:sz w:val="20"/>
                <w:highlight w:val="yellow"/>
              </w:rPr>
            </w:pPr>
          </w:p>
        </w:tc>
        <w:tc>
          <w:tcPr>
            <w:tcW w:w="992" w:type="dxa"/>
          </w:tcPr>
          <w:p w:rsidR="00D90216" w:rsidRPr="00FB1DA8" w:rsidRDefault="00D90216" w:rsidP="00CD62E6">
            <w:pPr>
              <w:tabs>
                <w:tab w:val="decimal" w:pos="743"/>
              </w:tabs>
              <w:rPr>
                <w:sz w:val="20"/>
                <w:highlight w:val="yellow"/>
              </w:rPr>
            </w:pPr>
          </w:p>
        </w:tc>
      </w:tr>
      <w:tr w:rsidR="00BF677D" w:rsidTr="00CD62E6">
        <w:trPr>
          <w:trHeight w:hRule="exact" w:val="300"/>
        </w:trPr>
        <w:tc>
          <w:tcPr>
            <w:tcW w:w="817" w:type="dxa"/>
          </w:tcPr>
          <w:p w:rsidR="00BF677D" w:rsidRPr="00DB64CC" w:rsidRDefault="00BF677D" w:rsidP="00DB64CC">
            <w:pPr>
              <w:pStyle w:val="Footer"/>
              <w:tabs>
                <w:tab w:val="clear" w:pos="4153"/>
                <w:tab w:val="clear" w:pos="8306"/>
                <w:tab w:val="left" w:pos="284"/>
              </w:tabs>
              <w:jc w:val="center"/>
              <w:rPr>
                <w:sz w:val="20"/>
              </w:rPr>
            </w:pPr>
          </w:p>
        </w:tc>
        <w:tc>
          <w:tcPr>
            <w:tcW w:w="4961" w:type="dxa"/>
          </w:tcPr>
          <w:p w:rsidR="00BF677D" w:rsidRPr="003347C0" w:rsidRDefault="00BF677D" w:rsidP="00CD62E6">
            <w:pPr>
              <w:pStyle w:val="Footer"/>
              <w:tabs>
                <w:tab w:val="clear" w:pos="4153"/>
                <w:tab w:val="clear" w:pos="8306"/>
                <w:tab w:val="left" w:pos="284"/>
              </w:tabs>
              <w:rPr>
                <w:sz w:val="20"/>
              </w:rPr>
            </w:pPr>
            <w:r w:rsidRPr="003347C0">
              <w:rPr>
                <w:sz w:val="20"/>
              </w:rPr>
              <w:t xml:space="preserve">Net </w:t>
            </w:r>
            <w:r>
              <w:rPr>
                <w:sz w:val="20"/>
              </w:rPr>
              <w:t>(deficit)/surplus</w:t>
            </w:r>
            <w:r w:rsidRPr="003347C0">
              <w:rPr>
                <w:sz w:val="20"/>
              </w:rPr>
              <w:t xml:space="preserve"> on the provision of services</w:t>
            </w:r>
          </w:p>
        </w:tc>
        <w:tc>
          <w:tcPr>
            <w:tcW w:w="993" w:type="dxa"/>
          </w:tcPr>
          <w:p w:rsidR="00BF677D" w:rsidRPr="000E2F44" w:rsidRDefault="00BF677D" w:rsidP="00CD62E6">
            <w:pPr>
              <w:tabs>
                <w:tab w:val="decimal" w:pos="743"/>
                <w:tab w:val="decimal" w:pos="882"/>
              </w:tabs>
              <w:rPr>
                <w:sz w:val="20"/>
              </w:rPr>
            </w:pPr>
          </w:p>
        </w:tc>
        <w:tc>
          <w:tcPr>
            <w:tcW w:w="992" w:type="dxa"/>
          </w:tcPr>
          <w:p w:rsidR="00BF677D" w:rsidRPr="006C28D2" w:rsidRDefault="00F35C91" w:rsidP="00CA025A">
            <w:pPr>
              <w:pStyle w:val="CommentText"/>
              <w:tabs>
                <w:tab w:val="decimal" w:pos="743"/>
              </w:tabs>
              <w:spacing w:after="240"/>
            </w:pPr>
            <w:r>
              <w:t>(1</w:t>
            </w:r>
            <w:r w:rsidR="00BE3C39">
              <w:t>4,421</w:t>
            </w:r>
            <w:r>
              <w:t>)</w:t>
            </w:r>
          </w:p>
        </w:tc>
        <w:tc>
          <w:tcPr>
            <w:tcW w:w="992" w:type="dxa"/>
          </w:tcPr>
          <w:p w:rsidR="00BF677D" w:rsidRPr="000E2F44" w:rsidRDefault="00BF677D" w:rsidP="00CD62E6">
            <w:pPr>
              <w:tabs>
                <w:tab w:val="decimal" w:pos="742"/>
              </w:tabs>
              <w:rPr>
                <w:sz w:val="20"/>
              </w:rPr>
            </w:pPr>
          </w:p>
        </w:tc>
        <w:tc>
          <w:tcPr>
            <w:tcW w:w="992" w:type="dxa"/>
          </w:tcPr>
          <w:p w:rsidR="00BF677D" w:rsidRPr="006C28D2" w:rsidRDefault="00BF677D" w:rsidP="00CA025A">
            <w:pPr>
              <w:pStyle w:val="CommentText"/>
              <w:tabs>
                <w:tab w:val="decimal" w:pos="743"/>
              </w:tabs>
              <w:spacing w:after="240"/>
            </w:pPr>
            <w:r>
              <w:t>(10,</w:t>
            </w:r>
            <w:r w:rsidR="00BE3C39">
              <w:t>557</w:t>
            </w:r>
            <w:r>
              <w:t>)</w:t>
            </w:r>
          </w:p>
        </w:tc>
      </w:tr>
      <w:tr w:rsidR="00BF677D" w:rsidTr="00CD62E6">
        <w:trPr>
          <w:trHeight w:hRule="exact" w:val="300"/>
        </w:trPr>
        <w:tc>
          <w:tcPr>
            <w:tcW w:w="817" w:type="dxa"/>
          </w:tcPr>
          <w:p w:rsidR="00BF677D" w:rsidRPr="00FB1DA8" w:rsidRDefault="00BF677D" w:rsidP="00CD62E6">
            <w:pPr>
              <w:tabs>
                <w:tab w:val="left" w:pos="284"/>
              </w:tabs>
              <w:rPr>
                <w:sz w:val="20"/>
                <w:highlight w:val="yellow"/>
              </w:rPr>
            </w:pPr>
          </w:p>
        </w:tc>
        <w:tc>
          <w:tcPr>
            <w:tcW w:w="4961" w:type="dxa"/>
          </w:tcPr>
          <w:p w:rsidR="00BF677D" w:rsidRPr="00FB1DA8" w:rsidRDefault="00BF677D" w:rsidP="00CD62E6">
            <w:pPr>
              <w:tabs>
                <w:tab w:val="left" w:pos="284"/>
              </w:tabs>
              <w:rPr>
                <w:sz w:val="20"/>
                <w:highlight w:val="yellow"/>
              </w:rPr>
            </w:pPr>
          </w:p>
        </w:tc>
        <w:tc>
          <w:tcPr>
            <w:tcW w:w="993" w:type="dxa"/>
          </w:tcPr>
          <w:p w:rsidR="00BF677D" w:rsidRPr="000E2F44" w:rsidRDefault="00BF677D" w:rsidP="00CD62E6">
            <w:pPr>
              <w:tabs>
                <w:tab w:val="decimal" w:pos="743"/>
              </w:tabs>
              <w:rPr>
                <w:sz w:val="20"/>
              </w:rPr>
            </w:pPr>
          </w:p>
        </w:tc>
        <w:tc>
          <w:tcPr>
            <w:tcW w:w="992" w:type="dxa"/>
          </w:tcPr>
          <w:p w:rsidR="00BF677D" w:rsidRPr="006C28D2" w:rsidRDefault="00BF677D" w:rsidP="009B7AC9">
            <w:pPr>
              <w:pStyle w:val="CommentText"/>
              <w:tabs>
                <w:tab w:val="decimal" w:pos="743"/>
              </w:tabs>
              <w:spacing w:after="240"/>
            </w:pPr>
          </w:p>
        </w:tc>
        <w:tc>
          <w:tcPr>
            <w:tcW w:w="992" w:type="dxa"/>
          </w:tcPr>
          <w:p w:rsidR="00BF677D" w:rsidRPr="000E2F44" w:rsidRDefault="00BF677D" w:rsidP="00CD62E6">
            <w:pPr>
              <w:tabs>
                <w:tab w:val="decimal" w:pos="743"/>
              </w:tabs>
              <w:rPr>
                <w:sz w:val="20"/>
              </w:rPr>
            </w:pPr>
          </w:p>
        </w:tc>
        <w:tc>
          <w:tcPr>
            <w:tcW w:w="992" w:type="dxa"/>
          </w:tcPr>
          <w:p w:rsidR="00BF677D" w:rsidRPr="006C28D2" w:rsidRDefault="00BF677D" w:rsidP="00296A09">
            <w:pPr>
              <w:pStyle w:val="CommentText"/>
              <w:tabs>
                <w:tab w:val="decimal" w:pos="743"/>
              </w:tabs>
              <w:spacing w:after="240"/>
            </w:pPr>
          </w:p>
        </w:tc>
      </w:tr>
      <w:tr w:rsidR="00BF677D" w:rsidTr="00CD62E6">
        <w:trPr>
          <w:trHeight w:hRule="exact" w:val="587"/>
        </w:trPr>
        <w:tc>
          <w:tcPr>
            <w:tcW w:w="817" w:type="dxa"/>
          </w:tcPr>
          <w:p w:rsidR="00BF677D" w:rsidRPr="00BF677D" w:rsidRDefault="00BF677D" w:rsidP="000B724F">
            <w:pPr>
              <w:tabs>
                <w:tab w:val="left" w:pos="284"/>
              </w:tabs>
              <w:jc w:val="center"/>
              <w:rPr>
                <w:sz w:val="20"/>
                <w:highlight w:val="yellow"/>
              </w:rPr>
            </w:pPr>
            <w:r w:rsidRPr="000B724F">
              <w:rPr>
                <w:sz w:val="20"/>
              </w:rPr>
              <w:t>2</w:t>
            </w:r>
            <w:r w:rsidR="000B724F" w:rsidRPr="000B724F">
              <w:rPr>
                <w:sz w:val="20"/>
              </w:rPr>
              <w:t>3</w:t>
            </w:r>
          </w:p>
        </w:tc>
        <w:tc>
          <w:tcPr>
            <w:tcW w:w="4961" w:type="dxa"/>
          </w:tcPr>
          <w:p w:rsidR="00BF677D" w:rsidRPr="003347C0" w:rsidRDefault="00BF677D" w:rsidP="00CD62E6">
            <w:pPr>
              <w:tabs>
                <w:tab w:val="left" w:pos="284"/>
              </w:tabs>
              <w:rPr>
                <w:sz w:val="20"/>
              </w:rPr>
            </w:pPr>
            <w:r w:rsidRPr="003347C0">
              <w:rPr>
                <w:sz w:val="20"/>
              </w:rPr>
              <w:t xml:space="preserve">Adjustments to net </w:t>
            </w:r>
            <w:r>
              <w:rPr>
                <w:sz w:val="20"/>
              </w:rPr>
              <w:t>(deficit)/surplus</w:t>
            </w:r>
            <w:r w:rsidRPr="003347C0">
              <w:rPr>
                <w:sz w:val="20"/>
              </w:rPr>
              <w:t xml:space="preserve"> on the provision of services for non-cash movements</w:t>
            </w:r>
          </w:p>
        </w:tc>
        <w:tc>
          <w:tcPr>
            <w:tcW w:w="993" w:type="dxa"/>
          </w:tcPr>
          <w:p w:rsidR="00BF677D" w:rsidRPr="000E2F44" w:rsidRDefault="00BF677D" w:rsidP="00CD62E6">
            <w:pPr>
              <w:tabs>
                <w:tab w:val="decimal" w:pos="743"/>
              </w:tabs>
              <w:rPr>
                <w:sz w:val="20"/>
              </w:rPr>
            </w:pPr>
          </w:p>
        </w:tc>
        <w:tc>
          <w:tcPr>
            <w:tcW w:w="992" w:type="dxa"/>
          </w:tcPr>
          <w:p w:rsidR="00BF677D" w:rsidRPr="006C28D2" w:rsidRDefault="00F35C91" w:rsidP="00CA025A">
            <w:pPr>
              <w:pStyle w:val="CommentText"/>
              <w:tabs>
                <w:tab w:val="decimal" w:pos="743"/>
              </w:tabs>
              <w:spacing w:after="240"/>
            </w:pPr>
            <w:r>
              <w:t>17,</w:t>
            </w:r>
            <w:r w:rsidR="00BE3C39">
              <w:t>569</w:t>
            </w:r>
          </w:p>
        </w:tc>
        <w:tc>
          <w:tcPr>
            <w:tcW w:w="992" w:type="dxa"/>
          </w:tcPr>
          <w:p w:rsidR="00BF677D" w:rsidRPr="000E2F44" w:rsidRDefault="00BF677D" w:rsidP="00CD62E6">
            <w:pPr>
              <w:tabs>
                <w:tab w:val="decimal" w:pos="743"/>
              </w:tabs>
              <w:rPr>
                <w:sz w:val="20"/>
              </w:rPr>
            </w:pPr>
          </w:p>
        </w:tc>
        <w:tc>
          <w:tcPr>
            <w:tcW w:w="992" w:type="dxa"/>
          </w:tcPr>
          <w:p w:rsidR="00BF677D" w:rsidRPr="006C28D2" w:rsidRDefault="00BF677D" w:rsidP="00CA025A">
            <w:pPr>
              <w:pStyle w:val="CommentText"/>
              <w:tabs>
                <w:tab w:val="decimal" w:pos="743"/>
              </w:tabs>
              <w:spacing w:after="240"/>
            </w:pPr>
            <w:r>
              <w:t>14,</w:t>
            </w:r>
            <w:r w:rsidR="00BE3C39">
              <w:t>725</w:t>
            </w:r>
          </w:p>
        </w:tc>
      </w:tr>
      <w:tr w:rsidR="00BF677D" w:rsidTr="007C1322">
        <w:trPr>
          <w:trHeight w:hRule="exact" w:val="684"/>
        </w:trPr>
        <w:tc>
          <w:tcPr>
            <w:tcW w:w="817" w:type="dxa"/>
          </w:tcPr>
          <w:p w:rsidR="00BF677D" w:rsidRPr="00BF677D" w:rsidRDefault="00BF677D" w:rsidP="00273AF9">
            <w:pPr>
              <w:tabs>
                <w:tab w:val="left" w:pos="284"/>
              </w:tabs>
              <w:jc w:val="center"/>
              <w:rPr>
                <w:sz w:val="20"/>
                <w:highlight w:val="yellow"/>
              </w:rPr>
            </w:pPr>
          </w:p>
        </w:tc>
        <w:tc>
          <w:tcPr>
            <w:tcW w:w="4961" w:type="dxa"/>
          </w:tcPr>
          <w:p w:rsidR="00BF677D" w:rsidRPr="003347C0" w:rsidRDefault="00BF677D" w:rsidP="00933D1A">
            <w:pPr>
              <w:tabs>
                <w:tab w:val="left" w:pos="284"/>
              </w:tabs>
              <w:rPr>
                <w:sz w:val="20"/>
              </w:rPr>
            </w:pPr>
            <w:r w:rsidRPr="003347C0">
              <w:rPr>
                <w:sz w:val="20"/>
              </w:rPr>
              <w:t xml:space="preserve">Adjustments </w:t>
            </w:r>
            <w:r>
              <w:rPr>
                <w:sz w:val="20"/>
              </w:rPr>
              <w:t>for items included in the net (deficit) on the provision of services that are investing and financing activities</w:t>
            </w:r>
          </w:p>
        </w:tc>
        <w:tc>
          <w:tcPr>
            <w:tcW w:w="993" w:type="dxa"/>
          </w:tcPr>
          <w:p w:rsidR="00BF677D" w:rsidRPr="00FB1DA8" w:rsidRDefault="00BF677D" w:rsidP="00CD62E6">
            <w:pPr>
              <w:tabs>
                <w:tab w:val="decimal" w:pos="743"/>
                <w:tab w:val="decimal" w:pos="882"/>
              </w:tabs>
              <w:rPr>
                <w:sz w:val="20"/>
                <w:highlight w:val="yellow"/>
              </w:rPr>
            </w:pPr>
          </w:p>
        </w:tc>
        <w:tc>
          <w:tcPr>
            <w:tcW w:w="992" w:type="dxa"/>
          </w:tcPr>
          <w:p w:rsidR="00BF677D" w:rsidRPr="006A4449" w:rsidRDefault="00F35C91" w:rsidP="006A4449">
            <w:pPr>
              <w:pStyle w:val="CommentText"/>
              <w:tabs>
                <w:tab w:val="decimal" w:pos="743"/>
              </w:tabs>
              <w:spacing w:after="240"/>
            </w:pPr>
            <w:r>
              <w:t>1,455</w:t>
            </w:r>
          </w:p>
        </w:tc>
        <w:tc>
          <w:tcPr>
            <w:tcW w:w="992" w:type="dxa"/>
          </w:tcPr>
          <w:p w:rsidR="00BF677D" w:rsidRPr="003D06F0" w:rsidRDefault="00BF677D" w:rsidP="00CD62E6">
            <w:pPr>
              <w:tabs>
                <w:tab w:val="decimal" w:pos="743"/>
                <w:tab w:val="decimal" w:pos="882"/>
              </w:tabs>
              <w:rPr>
                <w:sz w:val="20"/>
                <w:highlight w:val="yellow"/>
              </w:rPr>
            </w:pPr>
          </w:p>
        </w:tc>
        <w:tc>
          <w:tcPr>
            <w:tcW w:w="992" w:type="dxa"/>
          </w:tcPr>
          <w:p w:rsidR="00BF677D" w:rsidRPr="006A4449" w:rsidRDefault="00BF677D" w:rsidP="00296A09">
            <w:pPr>
              <w:pStyle w:val="CommentText"/>
              <w:tabs>
                <w:tab w:val="decimal" w:pos="743"/>
              </w:tabs>
              <w:spacing w:after="240"/>
            </w:pPr>
            <w:r>
              <w:t>1,493</w:t>
            </w:r>
          </w:p>
        </w:tc>
      </w:tr>
      <w:tr w:rsidR="00BF677D" w:rsidTr="007C1322">
        <w:trPr>
          <w:trHeight w:hRule="exact" w:val="139"/>
        </w:trPr>
        <w:tc>
          <w:tcPr>
            <w:tcW w:w="817" w:type="dxa"/>
          </w:tcPr>
          <w:p w:rsidR="00BF677D" w:rsidRPr="00BF677D" w:rsidRDefault="00BF677D" w:rsidP="00273AF9">
            <w:pPr>
              <w:tabs>
                <w:tab w:val="left" w:pos="284"/>
              </w:tabs>
              <w:jc w:val="center"/>
              <w:rPr>
                <w:sz w:val="20"/>
                <w:highlight w:val="yellow"/>
              </w:rPr>
            </w:pPr>
          </w:p>
        </w:tc>
        <w:tc>
          <w:tcPr>
            <w:tcW w:w="4961" w:type="dxa"/>
          </w:tcPr>
          <w:p w:rsidR="00BF677D" w:rsidRPr="00FB1DA8" w:rsidRDefault="00BF677D" w:rsidP="00CD62E6">
            <w:pPr>
              <w:tabs>
                <w:tab w:val="left" w:pos="284"/>
              </w:tabs>
              <w:rPr>
                <w:sz w:val="20"/>
                <w:highlight w:val="yellow"/>
              </w:rPr>
            </w:pPr>
          </w:p>
        </w:tc>
        <w:tc>
          <w:tcPr>
            <w:tcW w:w="993" w:type="dxa"/>
          </w:tcPr>
          <w:p w:rsidR="00BF677D" w:rsidRPr="00FB1DA8" w:rsidRDefault="00BF677D" w:rsidP="00CD62E6">
            <w:pPr>
              <w:tabs>
                <w:tab w:val="decimal" w:pos="743"/>
                <w:tab w:val="decimal" w:pos="882"/>
              </w:tabs>
              <w:rPr>
                <w:sz w:val="20"/>
                <w:highlight w:val="yellow"/>
              </w:rPr>
            </w:pPr>
          </w:p>
        </w:tc>
        <w:tc>
          <w:tcPr>
            <w:tcW w:w="992" w:type="dxa"/>
          </w:tcPr>
          <w:p w:rsidR="00BF677D" w:rsidRPr="006A4449" w:rsidRDefault="00BF677D" w:rsidP="009B7AC9">
            <w:pPr>
              <w:pStyle w:val="CommentText"/>
              <w:tabs>
                <w:tab w:val="decimal" w:pos="743"/>
              </w:tabs>
              <w:spacing w:after="240"/>
            </w:pPr>
          </w:p>
        </w:tc>
        <w:tc>
          <w:tcPr>
            <w:tcW w:w="992" w:type="dxa"/>
          </w:tcPr>
          <w:p w:rsidR="00BF677D" w:rsidRPr="003D06F0" w:rsidRDefault="00BF677D" w:rsidP="00CD62E6">
            <w:pPr>
              <w:tabs>
                <w:tab w:val="decimal" w:pos="743"/>
                <w:tab w:val="decimal" w:pos="882"/>
              </w:tabs>
              <w:rPr>
                <w:sz w:val="20"/>
                <w:highlight w:val="yellow"/>
              </w:rPr>
            </w:pPr>
          </w:p>
        </w:tc>
        <w:tc>
          <w:tcPr>
            <w:tcW w:w="992" w:type="dxa"/>
          </w:tcPr>
          <w:p w:rsidR="00BF677D" w:rsidRPr="006A4449" w:rsidRDefault="00BF677D" w:rsidP="00296A09">
            <w:pPr>
              <w:pStyle w:val="CommentText"/>
              <w:tabs>
                <w:tab w:val="decimal" w:pos="743"/>
              </w:tabs>
              <w:spacing w:after="240"/>
            </w:pPr>
          </w:p>
        </w:tc>
      </w:tr>
      <w:tr w:rsidR="00BF677D" w:rsidTr="00CD62E6">
        <w:trPr>
          <w:trHeight w:hRule="exact" w:val="300"/>
        </w:trPr>
        <w:tc>
          <w:tcPr>
            <w:tcW w:w="817" w:type="dxa"/>
          </w:tcPr>
          <w:p w:rsidR="00BF677D" w:rsidRPr="00BF677D" w:rsidRDefault="00BF677D" w:rsidP="00273AF9">
            <w:pPr>
              <w:tabs>
                <w:tab w:val="left" w:pos="284"/>
              </w:tabs>
              <w:jc w:val="center"/>
              <w:rPr>
                <w:sz w:val="20"/>
                <w:highlight w:val="yellow"/>
              </w:rPr>
            </w:pPr>
          </w:p>
        </w:tc>
        <w:tc>
          <w:tcPr>
            <w:tcW w:w="4961" w:type="dxa"/>
          </w:tcPr>
          <w:p w:rsidR="00BF677D" w:rsidRPr="003347C0" w:rsidRDefault="00BF677D" w:rsidP="00CD62E6">
            <w:pPr>
              <w:tabs>
                <w:tab w:val="left" w:pos="284"/>
              </w:tabs>
              <w:rPr>
                <w:b/>
                <w:sz w:val="20"/>
              </w:rPr>
            </w:pPr>
            <w:r w:rsidRPr="003347C0">
              <w:rPr>
                <w:b/>
                <w:sz w:val="20"/>
              </w:rPr>
              <w:t>Net cash flows from Operating Activities</w:t>
            </w:r>
          </w:p>
        </w:tc>
        <w:tc>
          <w:tcPr>
            <w:tcW w:w="993" w:type="dxa"/>
          </w:tcPr>
          <w:p w:rsidR="00BF677D" w:rsidRPr="003347C0" w:rsidRDefault="00BF677D" w:rsidP="00CD62E6">
            <w:pPr>
              <w:tabs>
                <w:tab w:val="decimal" w:pos="743"/>
              </w:tabs>
              <w:rPr>
                <w:b/>
                <w:sz w:val="20"/>
              </w:rPr>
            </w:pPr>
          </w:p>
        </w:tc>
        <w:tc>
          <w:tcPr>
            <w:tcW w:w="992" w:type="dxa"/>
          </w:tcPr>
          <w:p w:rsidR="00BF677D" w:rsidRPr="006A4449" w:rsidRDefault="00F35C91" w:rsidP="00CA025A">
            <w:pPr>
              <w:pStyle w:val="CommentText"/>
              <w:tabs>
                <w:tab w:val="decimal" w:pos="743"/>
              </w:tabs>
              <w:spacing w:after="240"/>
              <w:rPr>
                <w:b/>
              </w:rPr>
            </w:pPr>
            <w:r>
              <w:rPr>
                <w:b/>
              </w:rPr>
              <w:t>4,</w:t>
            </w:r>
            <w:r w:rsidR="00BE3C39">
              <w:rPr>
                <w:b/>
              </w:rPr>
              <w:t>603</w:t>
            </w:r>
          </w:p>
        </w:tc>
        <w:tc>
          <w:tcPr>
            <w:tcW w:w="992" w:type="dxa"/>
          </w:tcPr>
          <w:p w:rsidR="00BF677D" w:rsidRPr="003D06F0" w:rsidRDefault="00BF677D" w:rsidP="00CD62E6">
            <w:pPr>
              <w:tabs>
                <w:tab w:val="decimal" w:pos="743"/>
              </w:tabs>
              <w:rPr>
                <w:b/>
                <w:sz w:val="20"/>
                <w:highlight w:val="yellow"/>
              </w:rPr>
            </w:pPr>
          </w:p>
        </w:tc>
        <w:tc>
          <w:tcPr>
            <w:tcW w:w="992" w:type="dxa"/>
          </w:tcPr>
          <w:p w:rsidR="00BF677D" w:rsidRPr="006A4449" w:rsidRDefault="00BF677D" w:rsidP="00CA025A">
            <w:pPr>
              <w:pStyle w:val="CommentText"/>
              <w:tabs>
                <w:tab w:val="decimal" w:pos="743"/>
              </w:tabs>
              <w:spacing w:after="240"/>
              <w:rPr>
                <w:b/>
              </w:rPr>
            </w:pPr>
            <w:r>
              <w:rPr>
                <w:b/>
              </w:rPr>
              <w:t>5,</w:t>
            </w:r>
            <w:r w:rsidR="00BE3C39">
              <w:rPr>
                <w:b/>
              </w:rPr>
              <w:t>662</w:t>
            </w:r>
          </w:p>
        </w:tc>
      </w:tr>
      <w:tr w:rsidR="007C1322" w:rsidTr="00CD62E6">
        <w:trPr>
          <w:trHeight w:hRule="exact" w:val="300"/>
        </w:trPr>
        <w:tc>
          <w:tcPr>
            <w:tcW w:w="817" w:type="dxa"/>
          </w:tcPr>
          <w:p w:rsidR="007C1322" w:rsidRPr="00BF677D" w:rsidRDefault="007C1322" w:rsidP="00273AF9">
            <w:pPr>
              <w:tabs>
                <w:tab w:val="left" w:pos="284"/>
              </w:tabs>
              <w:jc w:val="center"/>
              <w:rPr>
                <w:sz w:val="20"/>
                <w:highlight w:val="yellow"/>
              </w:rPr>
            </w:pPr>
          </w:p>
        </w:tc>
        <w:tc>
          <w:tcPr>
            <w:tcW w:w="4961" w:type="dxa"/>
          </w:tcPr>
          <w:p w:rsidR="007C1322" w:rsidRPr="00FB1DA8" w:rsidRDefault="007C1322" w:rsidP="00CD62E6">
            <w:pPr>
              <w:tabs>
                <w:tab w:val="left" w:pos="284"/>
              </w:tabs>
              <w:rPr>
                <w:sz w:val="20"/>
                <w:highlight w:val="yellow"/>
              </w:rPr>
            </w:pPr>
          </w:p>
        </w:tc>
        <w:tc>
          <w:tcPr>
            <w:tcW w:w="993" w:type="dxa"/>
          </w:tcPr>
          <w:p w:rsidR="007C1322" w:rsidRPr="00FB1DA8" w:rsidRDefault="007C1322" w:rsidP="00CD62E6">
            <w:pPr>
              <w:tabs>
                <w:tab w:val="decimal" w:pos="743"/>
                <w:tab w:val="decimal" w:pos="882"/>
              </w:tabs>
              <w:rPr>
                <w:sz w:val="20"/>
                <w:highlight w:val="yellow"/>
              </w:rPr>
            </w:pPr>
          </w:p>
        </w:tc>
        <w:tc>
          <w:tcPr>
            <w:tcW w:w="992" w:type="dxa"/>
          </w:tcPr>
          <w:p w:rsidR="007C1322" w:rsidRPr="009B7AC9" w:rsidRDefault="007C1322" w:rsidP="009B7AC9">
            <w:pPr>
              <w:pStyle w:val="CommentText"/>
              <w:tabs>
                <w:tab w:val="decimal" w:pos="743"/>
              </w:tabs>
              <w:spacing w:after="240"/>
            </w:pPr>
          </w:p>
        </w:tc>
        <w:tc>
          <w:tcPr>
            <w:tcW w:w="992" w:type="dxa"/>
          </w:tcPr>
          <w:p w:rsidR="007C1322" w:rsidRPr="003D06F0" w:rsidRDefault="007C1322" w:rsidP="00CD62E6">
            <w:pPr>
              <w:tabs>
                <w:tab w:val="decimal" w:pos="743"/>
                <w:tab w:val="decimal" w:pos="882"/>
              </w:tabs>
              <w:rPr>
                <w:sz w:val="20"/>
                <w:highlight w:val="yellow"/>
              </w:rPr>
            </w:pPr>
          </w:p>
        </w:tc>
        <w:tc>
          <w:tcPr>
            <w:tcW w:w="992" w:type="dxa"/>
          </w:tcPr>
          <w:p w:rsidR="007C1322" w:rsidRPr="003D06F0" w:rsidRDefault="007C1322" w:rsidP="00CD62E6">
            <w:pPr>
              <w:tabs>
                <w:tab w:val="decimal" w:pos="742"/>
              </w:tabs>
              <w:rPr>
                <w:sz w:val="20"/>
                <w:highlight w:val="yellow"/>
              </w:rPr>
            </w:pPr>
          </w:p>
        </w:tc>
      </w:tr>
      <w:tr w:rsidR="007C1322" w:rsidTr="003E7DD0">
        <w:trPr>
          <w:trHeight w:hRule="exact" w:val="381"/>
        </w:trPr>
        <w:tc>
          <w:tcPr>
            <w:tcW w:w="817" w:type="dxa"/>
          </w:tcPr>
          <w:p w:rsidR="007C1322" w:rsidRPr="00BF677D" w:rsidRDefault="007C1322" w:rsidP="00273AF9">
            <w:pPr>
              <w:tabs>
                <w:tab w:val="left" w:pos="284"/>
              </w:tabs>
              <w:jc w:val="center"/>
              <w:rPr>
                <w:sz w:val="20"/>
                <w:highlight w:val="yellow"/>
              </w:rPr>
            </w:pPr>
          </w:p>
        </w:tc>
        <w:tc>
          <w:tcPr>
            <w:tcW w:w="4961" w:type="dxa"/>
          </w:tcPr>
          <w:p w:rsidR="007C1322" w:rsidRPr="003347C0" w:rsidRDefault="007C1322" w:rsidP="00CD62E6">
            <w:pPr>
              <w:tabs>
                <w:tab w:val="left" w:pos="284"/>
              </w:tabs>
              <w:rPr>
                <w:sz w:val="20"/>
                <w:u w:val="single"/>
              </w:rPr>
            </w:pPr>
            <w:r w:rsidRPr="003347C0">
              <w:rPr>
                <w:sz w:val="20"/>
                <w:u w:val="single"/>
              </w:rPr>
              <w:t>Investing activities</w:t>
            </w:r>
          </w:p>
        </w:tc>
        <w:tc>
          <w:tcPr>
            <w:tcW w:w="993" w:type="dxa"/>
          </w:tcPr>
          <w:p w:rsidR="007C1322" w:rsidRPr="00FB1DA8" w:rsidRDefault="007C1322" w:rsidP="00CD62E6">
            <w:pPr>
              <w:tabs>
                <w:tab w:val="left" w:pos="284"/>
                <w:tab w:val="decimal" w:pos="743"/>
              </w:tabs>
              <w:rPr>
                <w:sz w:val="20"/>
                <w:highlight w:val="yellow"/>
              </w:rPr>
            </w:pPr>
          </w:p>
        </w:tc>
        <w:tc>
          <w:tcPr>
            <w:tcW w:w="992" w:type="dxa"/>
          </w:tcPr>
          <w:p w:rsidR="007C1322" w:rsidRPr="009B7AC9" w:rsidRDefault="007C1322" w:rsidP="009B7AC9">
            <w:pPr>
              <w:pStyle w:val="CommentText"/>
              <w:tabs>
                <w:tab w:val="decimal" w:pos="743"/>
              </w:tabs>
              <w:spacing w:after="240"/>
            </w:pPr>
          </w:p>
        </w:tc>
        <w:tc>
          <w:tcPr>
            <w:tcW w:w="992" w:type="dxa"/>
          </w:tcPr>
          <w:p w:rsidR="007C1322" w:rsidRPr="003D06F0" w:rsidRDefault="007C1322" w:rsidP="00CD62E6">
            <w:pPr>
              <w:tabs>
                <w:tab w:val="left" w:pos="284"/>
                <w:tab w:val="decimal" w:pos="743"/>
              </w:tabs>
              <w:rPr>
                <w:sz w:val="20"/>
                <w:highlight w:val="yellow"/>
              </w:rPr>
            </w:pPr>
          </w:p>
        </w:tc>
        <w:tc>
          <w:tcPr>
            <w:tcW w:w="992" w:type="dxa"/>
          </w:tcPr>
          <w:p w:rsidR="007C1322" w:rsidRPr="003D06F0" w:rsidRDefault="007C1322" w:rsidP="00CD62E6">
            <w:pPr>
              <w:tabs>
                <w:tab w:val="left" w:pos="284"/>
                <w:tab w:val="decimal" w:pos="742"/>
              </w:tabs>
              <w:rPr>
                <w:sz w:val="20"/>
                <w:highlight w:val="yellow"/>
              </w:rPr>
            </w:pPr>
          </w:p>
        </w:tc>
      </w:tr>
      <w:tr w:rsidR="00BF677D" w:rsidTr="00691805">
        <w:trPr>
          <w:trHeight w:hRule="exact" w:val="582"/>
        </w:trPr>
        <w:tc>
          <w:tcPr>
            <w:tcW w:w="817" w:type="dxa"/>
          </w:tcPr>
          <w:p w:rsidR="00BF677D" w:rsidRPr="00BF677D" w:rsidRDefault="00C03D3C" w:rsidP="00C03D3C">
            <w:pPr>
              <w:tabs>
                <w:tab w:val="left" w:pos="284"/>
              </w:tabs>
              <w:jc w:val="center"/>
              <w:rPr>
                <w:sz w:val="20"/>
                <w:highlight w:val="yellow"/>
              </w:rPr>
            </w:pPr>
            <w:r w:rsidRPr="00C03D3C">
              <w:rPr>
                <w:sz w:val="20"/>
              </w:rPr>
              <w:t>6</w:t>
            </w:r>
            <w:r w:rsidR="00BF677D" w:rsidRPr="00C03D3C">
              <w:rPr>
                <w:sz w:val="20"/>
              </w:rPr>
              <w:t>&amp;</w:t>
            </w:r>
            <w:r w:rsidRPr="00C03D3C">
              <w:rPr>
                <w:sz w:val="20"/>
              </w:rPr>
              <w:t>7</w:t>
            </w:r>
          </w:p>
        </w:tc>
        <w:tc>
          <w:tcPr>
            <w:tcW w:w="4961" w:type="dxa"/>
          </w:tcPr>
          <w:p w:rsidR="00BF677D" w:rsidRPr="003347C0" w:rsidRDefault="00BF677D" w:rsidP="00CD62E6">
            <w:pPr>
              <w:tabs>
                <w:tab w:val="left" w:pos="284"/>
              </w:tabs>
              <w:ind w:left="284"/>
              <w:rPr>
                <w:sz w:val="20"/>
              </w:rPr>
            </w:pPr>
            <w:r w:rsidRPr="003347C0">
              <w:rPr>
                <w:sz w:val="20"/>
              </w:rPr>
              <w:t xml:space="preserve">Purchase of </w:t>
            </w:r>
            <w:r>
              <w:rPr>
                <w:sz w:val="20"/>
              </w:rPr>
              <w:t>property</w:t>
            </w:r>
            <w:r w:rsidRPr="003347C0">
              <w:rPr>
                <w:sz w:val="20"/>
              </w:rPr>
              <w:t xml:space="preserve"> </w:t>
            </w:r>
            <w:r>
              <w:rPr>
                <w:sz w:val="20"/>
              </w:rPr>
              <w:t>plant and equipment</w:t>
            </w:r>
            <w:r w:rsidRPr="003347C0">
              <w:rPr>
                <w:sz w:val="20"/>
              </w:rPr>
              <w:t xml:space="preserve"> &amp; other capital spend</w:t>
            </w:r>
          </w:p>
        </w:tc>
        <w:tc>
          <w:tcPr>
            <w:tcW w:w="993" w:type="dxa"/>
          </w:tcPr>
          <w:p w:rsidR="00BF677D" w:rsidRPr="006A4449" w:rsidRDefault="00F35C91" w:rsidP="00CA025A">
            <w:pPr>
              <w:pStyle w:val="CommentText"/>
              <w:tabs>
                <w:tab w:val="decimal" w:pos="743"/>
              </w:tabs>
              <w:spacing w:after="240"/>
            </w:pPr>
            <w:r>
              <w:t>(4,</w:t>
            </w:r>
            <w:r w:rsidR="00BE3C39">
              <w:t>879</w:t>
            </w:r>
            <w:r>
              <w:t>)</w:t>
            </w:r>
          </w:p>
        </w:tc>
        <w:tc>
          <w:tcPr>
            <w:tcW w:w="992" w:type="dxa"/>
          </w:tcPr>
          <w:p w:rsidR="00BF677D" w:rsidRPr="00ED5DAA" w:rsidRDefault="00BF677D" w:rsidP="009B7AC9">
            <w:pPr>
              <w:pStyle w:val="CommentText"/>
              <w:tabs>
                <w:tab w:val="decimal" w:pos="743"/>
              </w:tabs>
              <w:spacing w:after="240"/>
              <w:rPr>
                <w:highlight w:val="yellow"/>
              </w:rPr>
            </w:pPr>
          </w:p>
        </w:tc>
        <w:tc>
          <w:tcPr>
            <w:tcW w:w="992" w:type="dxa"/>
          </w:tcPr>
          <w:p w:rsidR="00BF677D" w:rsidRPr="006A4449" w:rsidRDefault="00BF677D" w:rsidP="00CA025A">
            <w:pPr>
              <w:pStyle w:val="CommentText"/>
              <w:tabs>
                <w:tab w:val="decimal" w:pos="743"/>
              </w:tabs>
              <w:spacing w:after="240"/>
            </w:pPr>
            <w:r>
              <w:t>(3,</w:t>
            </w:r>
            <w:r w:rsidR="00BE3C39">
              <w:t>247</w:t>
            </w:r>
            <w:r>
              <w:t>)</w:t>
            </w:r>
          </w:p>
        </w:tc>
        <w:tc>
          <w:tcPr>
            <w:tcW w:w="992" w:type="dxa"/>
          </w:tcPr>
          <w:p w:rsidR="00BF677D" w:rsidRPr="00ED5DAA" w:rsidRDefault="00BF677D" w:rsidP="00296A09">
            <w:pPr>
              <w:pStyle w:val="CommentText"/>
              <w:tabs>
                <w:tab w:val="decimal" w:pos="743"/>
              </w:tabs>
              <w:spacing w:after="240"/>
              <w:rPr>
                <w:highlight w:val="yellow"/>
              </w:rPr>
            </w:pPr>
          </w:p>
        </w:tc>
      </w:tr>
      <w:tr w:rsidR="00F35C91" w:rsidTr="003E7DD0">
        <w:trPr>
          <w:trHeight w:hRule="exact" w:val="300"/>
        </w:trPr>
        <w:tc>
          <w:tcPr>
            <w:tcW w:w="817" w:type="dxa"/>
          </w:tcPr>
          <w:p w:rsidR="00F35C91" w:rsidRPr="00BF677D" w:rsidRDefault="00F35C91" w:rsidP="004050FC">
            <w:pPr>
              <w:tabs>
                <w:tab w:val="left" w:pos="284"/>
              </w:tabs>
              <w:spacing w:after="240"/>
              <w:jc w:val="center"/>
              <w:rPr>
                <w:sz w:val="20"/>
                <w:highlight w:val="yellow"/>
              </w:rPr>
            </w:pPr>
          </w:p>
        </w:tc>
        <w:tc>
          <w:tcPr>
            <w:tcW w:w="4961" w:type="dxa"/>
          </w:tcPr>
          <w:p w:rsidR="00F35C91" w:rsidRDefault="00F35C91" w:rsidP="003E7DD0">
            <w:pPr>
              <w:pStyle w:val="Footer"/>
              <w:tabs>
                <w:tab w:val="clear" w:pos="4153"/>
                <w:tab w:val="clear" w:pos="8306"/>
                <w:tab w:val="left" w:pos="284"/>
              </w:tabs>
              <w:spacing w:after="240"/>
              <w:ind w:left="284"/>
              <w:rPr>
                <w:sz w:val="20"/>
              </w:rPr>
            </w:pPr>
            <w:r>
              <w:rPr>
                <w:sz w:val="20"/>
              </w:rPr>
              <w:t>Decrease in short term deposits</w:t>
            </w:r>
          </w:p>
        </w:tc>
        <w:tc>
          <w:tcPr>
            <w:tcW w:w="993" w:type="dxa"/>
          </w:tcPr>
          <w:p w:rsidR="00F35C91" w:rsidRPr="006A4449" w:rsidRDefault="00F35C91" w:rsidP="00CD62E6">
            <w:pPr>
              <w:tabs>
                <w:tab w:val="decimal" w:pos="743"/>
              </w:tabs>
              <w:spacing w:after="240"/>
              <w:rPr>
                <w:sz w:val="20"/>
              </w:rPr>
            </w:pPr>
            <w:r>
              <w:rPr>
                <w:sz w:val="20"/>
              </w:rPr>
              <w:t>5,000</w:t>
            </w:r>
          </w:p>
        </w:tc>
        <w:tc>
          <w:tcPr>
            <w:tcW w:w="992" w:type="dxa"/>
          </w:tcPr>
          <w:p w:rsidR="00F35C91" w:rsidRPr="006A4449" w:rsidRDefault="00F35C91" w:rsidP="00DD6895">
            <w:pPr>
              <w:pStyle w:val="CommentText"/>
              <w:tabs>
                <w:tab w:val="decimal" w:pos="743"/>
              </w:tabs>
              <w:spacing w:after="240"/>
            </w:pPr>
          </w:p>
        </w:tc>
        <w:tc>
          <w:tcPr>
            <w:tcW w:w="992" w:type="dxa"/>
          </w:tcPr>
          <w:p w:rsidR="00F35C91" w:rsidRDefault="00BE3C39" w:rsidP="00296A09">
            <w:pPr>
              <w:tabs>
                <w:tab w:val="decimal" w:pos="743"/>
              </w:tabs>
              <w:spacing w:after="240"/>
              <w:rPr>
                <w:sz w:val="20"/>
              </w:rPr>
            </w:pPr>
            <w:r>
              <w:rPr>
                <w:sz w:val="20"/>
              </w:rPr>
              <w:t>-</w:t>
            </w:r>
          </w:p>
        </w:tc>
        <w:tc>
          <w:tcPr>
            <w:tcW w:w="992" w:type="dxa"/>
          </w:tcPr>
          <w:p w:rsidR="00F35C91" w:rsidRPr="006A4449" w:rsidRDefault="00F35C91" w:rsidP="00296A09">
            <w:pPr>
              <w:pStyle w:val="CommentText"/>
              <w:tabs>
                <w:tab w:val="decimal" w:pos="743"/>
              </w:tabs>
              <w:spacing w:after="240"/>
            </w:pPr>
          </w:p>
        </w:tc>
      </w:tr>
      <w:tr w:rsidR="00BF677D" w:rsidTr="003E7DD0">
        <w:trPr>
          <w:trHeight w:hRule="exact" w:val="300"/>
        </w:trPr>
        <w:tc>
          <w:tcPr>
            <w:tcW w:w="817" w:type="dxa"/>
          </w:tcPr>
          <w:p w:rsidR="00BF677D" w:rsidRPr="00BF677D" w:rsidRDefault="00BF677D" w:rsidP="00C03D3C">
            <w:pPr>
              <w:tabs>
                <w:tab w:val="left" w:pos="284"/>
              </w:tabs>
              <w:spacing w:after="240"/>
              <w:jc w:val="center"/>
              <w:rPr>
                <w:sz w:val="20"/>
                <w:highlight w:val="yellow"/>
              </w:rPr>
            </w:pPr>
            <w:r w:rsidRPr="00C03D3C">
              <w:rPr>
                <w:sz w:val="20"/>
              </w:rPr>
              <w:t>2</w:t>
            </w:r>
            <w:r w:rsidR="00C03D3C" w:rsidRPr="00C03D3C">
              <w:rPr>
                <w:sz w:val="20"/>
              </w:rPr>
              <w:t>4</w:t>
            </w:r>
          </w:p>
        </w:tc>
        <w:tc>
          <w:tcPr>
            <w:tcW w:w="4961" w:type="dxa"/>
          </w:tcPr>
          <w:p w:rsidR="00BF677D" w:rsidRDefault="00BF677D" w:rsidP="003E7DD0">
            <w:pPr>
              <w:pStyle w:val="Footer"/>
              <w:tabs>
                <w:tab w:val="clear" w:pos="4153"/>
                <w:tab w:val="clear" w:pos="8306"/>
                <w:tab w:val="left" w:pos="284"/>
              </w:tabs>
              <w:spacing w:after="240"/>
              <w:ind w:left="284"/>
              <w:rPr>
                <w:sz w:val="20"/>
              </w:rPr>
            </w:pPr>
            <w:r>
              <w:rPr>
                <w:sz w:val="20"/>
              </w:rPr>
              <w:t>Receipts from investing activities</w:t>
            </w:r>
          </w:p>
        </w:tc>
        <w:tc>
          <w:tcPr>
            <w:tcW w:w="993" w:type="dxa"/>
          </w:tcPr>
          <w:p w:rsidR="00BF677D" w:rsidRPr="006A4449" w:rsidRDefault="00F35C91" w:rsidP="00CD62E6">
            <w:pPr>
              <w:tabs>
                <w:tab w:val="decimal" w:pos="743"/>
              </w:tabs>
              <w:spacing w:after="240"/>
              <w:rPr>
                <w:sz w:val="20"/>
              </w:rPr>
            </w:pPr>
            <w:r>
              <w:rPr>
                <w:sz w:val="20"/>
              </w:rPr>
              <w:t>99</w:t>
            </w:r>
          </w:p>
        </w:tc>
        <w:tc>
          <w:tcPr>
            <w:tcW w:w="992" w:type="dxa"/>
          </w:tcPr>
          <w:p w:rsidR="00BF677D" w:rsidRPr="006A4449" w:rsidRDefault="00BF677D" w:rsidP="00DD6895">
            <w:pPr>
              <w:pStyle w:val="CommentText"/>
              <w:tabs>
                <w:tab w:val="decimal" w:pos="743"/>
              </w:tabs>
              <w:spacing w:after="240"/>
            </w:pPr>
          </w:p>
        </w:tc>
        <w:tc>
          <w:tcPr>
            <w:tcW w:w="992" w:type="dxa"/>
          </w:tcPr>
          <w:p w:rsidR="00BF677D" w:rsidRPr="006A4449" w:rsidRDefault="00BF677D" w:rsidP="00296A09">
            <w:pPr>
              <w:tabs>
                <w:tab w:val="decimal" w:pos="743"/>
              </w:tabs>
              <w:spacing w:after="240"/>
              <w:rPr>
                <w:sz w:val="20"/>
              </w:rPr>
            </w:pPr>
            <w:r>
              <w:rPr>
                <w:sz w:val="20"/>
              </w:rPr>
              <w:t>119</w:t>
            </w:r>
          </w:p>
        </w:tc>
        <w:tc>
          <w:tcPr>
            <w:tcW w:w="992" w:type="dxa"/>
          </w:tcPr>
          <w:p w:rsidR="00BF677D" w:rsidRPr="006A4449" w:rsidRDefault="00BF677D" w:rsidP="00296A09">
            <w:pPr>
              <w:pStyle w:val="CommentText"/>
              <w:tabs>
                <w:tab w:val="decimal" w:pos="743"/>
              </w:tabs>
              <w:spacing w:after="240"/>
            </w:pPr>
          </w:p>
        </w:tc>
      </w:tr>
      <w:tr w:rsidR="00BF677D" w:rsidTr="009B7AC9">
        <w:trPr>
          <w:trHeight w:hRule="exact" w:val="300"/>
        </w:trPr>
        <w:tc>
          <w:tcPr>
            <w:tcW w:w="817" w:type="dxa"/>
          </w:tcPr>
          <w:p w:rsidR="00BF677D" w:rsidRPr="00BF677D" w:rsidRDefault="00BF677D" w:rsidP="00273AF9">
            <w:pPr>
              <w:tabs>
                <w:tab w:val="left" w:pos="284"/>
              </w:tabs>
              <w:spacing w:after="240"/>
              <w:jc w:val="center"/>
              <w:rPr>
                <w:sz w:val="20"/>
                <w:highlight w:val="yellow"/>
              </w:rPr>
            </w:pPr>
          </w:p>
        </w:tc>
        <w:tc>
          <w:tcPr>
            <w:tcW w:w="4961" w:type="dxa"/>
          </w:tcPr>
          <w:p w:rsidR="00BF677D" w:rsidRPr="003347C0" w:rsidRDefault="00BF677D" w:rsidP="00CD62E6">
            <w:pPr>
              <w:tabs>
                <w:tab w:val="left" w:pos="284"/>
              </w:tabs>
              <w:spacing w:after="240"/>
              <w:rPr>
                <w:sz w:val="20"/>
              </w:rPr>
            </w:pPr>
            <w:r>
              <w:rPr>
                <w:sz w:val="20"/>
              </w:rPr>
              <w:t>Net cash flows from investing activities</w:t>
            </w:r>
          </w:p>
        </w:tc>
        <w:tc>
          <w:tcPr>
            <w:tcW w:w="993" w:type="dxa"/>
            <w:tcBorders>
              <w:top w:val="single" w:sz="4" w:space="0" w:color="auto"/>
            </w:tcBorders>
          </w:tcPr>
          <w:p w:rsidR="00BF677D" w:rsidRPr="006A4449" w:rsidRDefault="00BF677D" w:rsidP="00CD62E6">
            <w:pPr>
              <w:tabs>
                <w:tab w:val="decimal" w:pos="743"/>
              </w:tabs>
              <w:spacing w:after="240"/>
              <w:rPr>
                <w:sz w:val="20"/>
              </w:rPr>
            </w:pPr>
          </w:p>
        </w:tc>
        <w:tc>
          <w:tcPr>
            <w:tcW w:w="992" w:type="dxa"/>
          </w:tcPr>
          <w:p w:rsidR="00BF677D" w:rsidRPr="006A4449" w:rsidRDefault="00BE3C39" w:rsidP="00CA025A">
            <w:pPr>
              <w:pStyle w:val="CommentText"/>
              <w:tabs>
                <w:tab w:val="decimal" w:pos="743"/>
              </w:tabs>
              <w:spacing w:after="240"/>
            </w:pPr>
            <w:r>
              <w:t>221</w:t>
            </w:r>
          </w:p>
        </w:tc>
        <w:tc>
          <w:tcPr>
            <w:tcW w:w="992" w:type="dxa"/>
            <w:tcBorders>
              <w:top w:val="single" w:sz="4" w:space="0" w:color="auto"/>
            </w:tcBorders>
          </w:tcPr>
          <w:p w:rsidR="00BF677D" w:rsidRPr="006A4449" w:rsidRDefault="00BF677D" w:rsidP="00296A09">
            <w:pPr>
              <w:tabs>
                <w:tab w:val="decimal" w:pos="743"/>
              </w:tabs>
              <w:spacing w:after="240"/>
              <w:rPr>
                <w:sz w:val="20"/>
              </w:rPr>
            </w:pPr>
          </w:p>
        </w:tc>
        <w:tc>
          <w:tcPr>
            <w:tcW w:w="992" w:type="dxa"/>
          </w:tcPr>
          <w:p w:rsidR="00BF677D" w:rsidRPr="006A4449" w:rsidRDefault="00BF677D" w:rsidP="00CA025A">
            <w:pPr>
              <w:pStyle w:val="CommentText"/>
              <w:tabs>
                <w:tab w:val="decimal" w:pos="743"/>
              </w:tabs>
              <w:spacing w:after="240"/>
            </w:pPr>
            <w:r>
              <w:t>(3,</w:t>
            </w:r>
            <w:r w:rsidR="00BE3C39">
              <w:t>128</w:t>
            </w:r>
            <w:r>
              <w:t>)</w:t>
            </w:r>
          </w:p>
        </w:tc>
      </w:tr>
      <w:tr w:rsidR="007C1322" w:rsidTr="00CD62E6">
        <w:trPr>
          <w:trHeight w:hRule="exact" w:val="216"/>
        </w:trPr>
        <w:tc>
          <w:tcPr>
            <w:tcW w:w="817" w:type="dxa"/>
          </w:tcPr>
          <w:p w:rsidR="007C1322" w:rsidRPr="00BF677D" w:rsidRDefault="007C1322" w:rsidP="00273AF9">
            <w:pPr>
              <w:tabs>
                <w:tab w:val="left" w:pos="284"/>
              </w:tabs>
              <w:spacing w:after="240"/>
              <w:jc w:val="center"/>
              <w:rPr>
                <w:sz w:val="20"/>
                <w:highlight w:val="yellow"/>
              </w:rPr>
            </w:pPr>
          </w:p>
        </w:tc>
        <w:tc>
          <w:tcPr>
            <w:tcW w:w="4961" w:type="dxa"/>
          </w:tcPr>
          <w:p w:rsidR="007C1322" w:rsidRPr="003347C0" w:rsidRDefault="007C1322" w:rsidP="00CD62E6">
            <w:pPr>
              <w:tabs>
                <w:tab w:val="left" w:pos="284"/>
              </w:tabs>
              <w:spacing w:after="240"/>
              <w:rPr>
                <w:sz w:val="20"/>
              </w:rPr>
            </w:pPr>
          </w:p>
        </w:tc>
        <w:tc>
          <w:tcPr>
            <w:tcW w:w="993" w:type="dxa"/>
          </w:tcPr>
          <w:p w:rsidR="007C1322" w:rsidRPr="00ED5DAA" w:rsidRDefault="007C1322" w:rsidP="00CD62E6">
            <w:pPr>
              <w:tabs>
                <w:tab w:val="decimal" w:pos="743"/>
                <w:tab w:val="decimal" w:pos="882"/>
              </w:tabs>
              <w:spacing w:after="240"/>
              <w:rPr>
                <w:sz w:val="20"/>
                <w:highlight w:val="yellow"/>
              </w:rPr>
            </w:pPr>
          </w:p>
        </w:tc>
        <w:tc>
          <w:tcPr>
            <w:tcW w:w="992" w:type="dxa"/>
          </w:tcPr>
          <w:p w:rsidR="007C1322" w:rsidRPr="00ED5DAA" w:rsidRDefault="007C1322" w:rsidP="009B7AC9">
            <w:pPr>
              <w:pStyle w:val="CommentText"/>
              <w:tabs>
                <w:tab w:val="decimal" w:pos="743"/>
              </w:tabs>
              <w:spacing w:after="240"/>
              <w:rPr>
                <w:highlight w:val="yellow"/>
              </w:rPr>
            </w:pPr>
          </w:p>
        </w:tc>
        <w:tc>
          <w:tcPr>
            <w:tcW w:w="992" w:type="dxa"/>
          </w:tcPr>
          <w:p w:rsidR="007C1322" w:rsidRPr="00180EED" w:rsidRDefault="007C1322" w:rsidP="00CD62E6">
            <w:pPr>
              <w:tabs>
                <w:tab w:val="decimal" w:pos="743"/>
                <w:tab w:val="decimal" w:pos="882"/>
              </w:tabs>
              <w:spacing w:after="240"/>
              <w:rPr>
                <w:sz w:val="20"/>
              </w:rPr>
            </w:pPr>
          </w:p>
        </w:tc>
        <w:tc>
          <w:tcPr>
            <w:tcW w:w="992" w:type="dxa"/>
          </w:tcPr>
          <w:p w:rsidR="007C1322" w:rsidRPr="00180EED" w:rsidRDefault="007C1322" w:rsidP="00CD62E6">
            <w:pPr>
              <w:tabs>
                <w:tab w:val="decimal" w:pos="742"/>
              </w:tabs>
              <w:spacing w:after="240"/>
              <w:rPr>
                <w:sz w:val="20"/>
              </w:rPr>
            </w:pPr>
          </w:p>
        </w:tc>
      </w:tr>
      <w:tr w:rsidR="007C1322" w:rsidTr="00CD62E6">
        <w:trPr>
          <w:trHeight w:hRule="exact" w:val="300"/>
        </w:trPr>
        <w:tc>
          <w:tcPr>
            <w:tcW w:w="817" w:type="dxa"/>
          </w:tcPr>
          <w:p w:rsidR="007C1322" w:rsidRPr="00BF677D" w:rsidRDefault="007C1322" w:rsidP="00273AF9">
            <w:pPr>
              <w:tabs>
                <w:tab w:val="left" w:pos="284"/>
              </w:tabs>
              <w:spacing w:after="240"/>
              <w:jc w:val="center"/>
              <w:rPr>
                <w:sz w:val="20"/>
                <w:highlight w:val="yellow"/>
              </w:rPr>
            </w:pPr>
          </w:p>
        </w:tc>
        <w:tc>
          <w:tcPr>
            <w:tcW w:w="4961" w:type="dxa"/>
          </w:tcPr>
          <w:p w:rsidR="007C1322" w:rsidRPr="00705BD6" w:rsidRDefault="007C1322" w:rsidP="00CD62E6">
            <w:pPr>
              <w:tabs>
                <w:tab w:val="left" w:pos="284"/>
              </w:tabs>
              <w:spacing w:after="240"/>
              <w:rPr>
                <w:sz w:val="20"/>
                <w:u w:val="single"/>
              </w:rPr>
            </w:pPr>
            <w:r w:rsidRPr="00705BD6">
              <w:rPr>
                <w:sz w:val="20"/>
                <w:u w:val="single"/>
              </w:rPr>
              <w:t>Financing activities</w:t>
            </w:r>
          </w:p>
        </w:tc>
        <w:tc>
          <w:tcPr>
            <w:tcW w:w="993" w:type="dxa"/>
          </w:tcPr>
          <w:p w:rsidR="007C1322" w:rsidRPr="00ED5DAA" w:rsidRDefault="007C1322" w:rsidP="00CD62E6">
            <w:pPr>
              <w:tabs>
                <w:tab w:val="decimal" w:pos="743"/>
              </w:tabs>
              <w:spacing w:after="240"/>
              <w:rPr>
                <w:sz w:val="20"/>
                <w:highlight w:val="yellow"/>
              </w:rPr>
            </w:pPr>
          </w:p>
        </w:tc>
        <w:tc>
          <w:tcPr>
            <w:tcW w:w="992" w:type="dxa"/>
          </w:tcPr>
          <w:p w:rsidR="007C1322" w:rsidRPr="00ED5DAA" w:rsidRDefault="007C1322" w:rsidP="009B7AC9">
            <w:pPr>
              <w:pStyle w:val="CommentText"/>
              <w:tabs>
                <w:tab w:val="decimal" w:pos="743"/>
              </w:tabs>
              <w:spacing w:after="240"/>
              <w:rPr>
                <w:highlight w:val="yellow"/>
              </w:rPr>
            </w:pPr>
          </w:p>
        </w:tc>
        <w:tc>
          <w:tcPr>
            <w:tcW w:w="992" w:type="dxa"/>
          </w:tcPr>
          <w:p w:rsidR="007C1322" w:rsidRPr="00180EED" w:rsidRDefault="007C1322" w:rsidP="00CD62E6">
            <w:pPr>
              <w:tabs>
                <w:tab w:val="decimal" w:pos="743"/>
              </w:tabs>
              <w:spacing w:after="240"/>
              <w:rPr>
                <w:sz w:val="20"/>
              </w:rPr>
            </w:pPr>
          </w:p>
        </w:tc>
        <w:tc>
          <w:tcPr>
            <w:tcW w:w="992" w:type="dxa"/>
          </w:tcPr>
          <w:p w:rsidR="007C1322" w:rsidRPr="00180EED" w:rsidRDefault="007C1322" w:rsidP="00CD62E6">
            <w:pPr>
              <w:tabs>
                <w:tab w:val="decimal" w:pos="742"/>
              </w:tabs>
              <w:spacing w:after="240"/>
              <w:rPr>
                <w:sz w:val="20"/>
              </w:rPr>
            </w:pPr>
          </w:p>
        </w:tc>
      </w:tr>
      <w:tr w:rsidR="00BF677D" w:rsidTr="00296A09">
        <w:trPr>
          <w:trHeight w:hRule="exact" w:val="684"/>
        </w:trPr>
        <w:tc>
          <w:tcPr>
            <w:tcW w:w="817" w:type="dxa"/>
          </w:tcPr>
          <w:p w:rsidR="00BF677D" w:rsidRPr="00BF677D" w:rsidRDefault="00BF677D" w:rsidP="00273AF9">
            <w:pPr>
              <w:pStyle w:val="Footer"/>
              <w:tabs>
                <w:tab w:val="clear" w:pos="4153"/>
                <w:tab w:val="clear" w:pos="8306"/>
                <w:tab w:val="left" w:pos="284"/>
              </w:tabs>
              <w:spacing w:after="240"/>
              <w:jc w:val="center"/>
              <w:rPr>
                <w:sz w:val="20"/>
                <w:highlight w:val="yellow"/>
              </w:rPr>
            </w:pPr>
          </w:p>
        </w:tc>
        <w:tc>
          <w:tcPr>
            <w:tcW w:w="4961" w:type="dxa"/>
          </w:tcPr>
          <w:p w:rsidR="00BF677D" w:rsidRPr="007B7AE6" w:rsidRDefault="00BF677D" w:rsidP="00CD62E6">
            <w:pPr>
              <w:pStyle w:val="Footer"/>
              <w:tabs>
                <w:tab w:val="clear" w:pos="4153"/>
                <w:tab w:val="clear" w:pos="8306"/>
                <w:tab w:val="left" w:pos="284"/>
              </w:tabs>
              <w:spacing w:after="240"/>
              <w:ind w:left="284"/>
              <w:rPr>
                <w:sz w:val="20"/>
              </w:rPr>
            </w:pPr>
            <w:r w:rsidRPr="007B7AE6">
              <w:rPr>
                <w:sz w:val="20"/>
              </w:rPr>
              <w:t>Cash payments for the reduction of the outstanding liabilities relating to finance leases and on-balance sheet PFI contracts</w:t>
            </w:r>
          </w:p>
        </w:tc>
        <w:tc>
          <w:tcPr>
            <w:tcW w:w="993" w:type="dxa"/>
            <w:vAlign w:val="bottom"/>
          </w:tcPr>
          <w:p w:rsidR="00BF677D" w:rsidRDefault="00BF677D" w:rsidP="004F4293">
            <w:pPr>
              <w:pStyle w:val="CommentText"/>
              <w:tabs>
                <w:tab w:val="decimal" w:pos="743"/>
              </w:tabs>
              <w:spacing w:after="240"/>
              <w:jc w:val="right"/>
            </w:pPr>
          </w:p>
          <w:p w:rsidR="00F35C91" w:rsidRPr="006A4449" w:rsidRDefault="00F35C91" w:rsidP="004F4293">
            <w:pPr>
              <w:pStyle w:val="CommentText"/>
              <w:tabs>
                <w:tab w:val="decimal" w:pos="743"/>
              </w:tabs>
              <w:spacing w:after="240"/>
              <w:jc w:val="right"/>
            </w:pPr>
            <w:r>
              <w:t>(335)</w:t>
            </w:r>
          </w:p>
        </w:tc>
        <w:tc>
          <w:tcPr>
            <w:tcW w:w="992" w:type="dxa"/>
          </w:tcPr>
          <w:p w:rsidR="00BF677D" w:rsidRPr="00ED5DAA" w:rsidRDefault="00BF677D" w:rsidP="009B7AC9">
            <w:pPr>
              <w:pStyle w:val="CommentText"/>
              <w:tabs>
                <w:tab w:val="decimal" w:pos="743"/>
              </w:tabs>
              <w:spacing w:after="240"/>
              <w:rPr>
                <w:highlight w:val="yellow"/>
              </w:rPr>
            </w:pPr>
          </w:p>
        </w:tc>
        <w:tc>
          <w:tcPr>
            <w:tcW w:w="992" w:type="dxa"/>
            <w:vAlign w:val="bottom"/>
          </w:tcPr>
          <w:p w:rsidR="00BF677D" w:rsidRDefault="00BF677D" w:rsidP="00296A09">
            <w:pPr>
              <w:pStyle w:val="CommentText"/>
              <w:tabs>
                <w:tab w:val="decimal" w:pos="743"/>
              </w:tabs>
              <w:spacing w:after="240"/>
              <w:jc w:val="right"/>
            </w:pPr>
          </w:p>
          <w:p w:rsidR="00BF677D" w:rsidRPr="006A4449" w:rsidRDefault="00BF677D" w:rsidP="00296A09">
            <w:pPr>
              <w:pStyle w:val="CommentText"/>
              <w:tabs>
                <w:tab w:val="decimal" w:pos="743"/>
              </w:tabs>
              <w:spacing w:after="240"/>
              <w:jc w:val="right"/>
            </w:pPr>
            <w:r>
              <w:t>(308)</w:t>
            </w:r>
          </w:p>
        </w:tc>
        <w:tc>
          <w:tcPr>
            <w:tcW w:w="992" w:type="dxa"/>
          </w:tcPr>
          <w:p w:rsidR="00BF677D" w:rsidRPr="00ED5DAA" w:rsidRDefault="00BF677D" w:rsidP="00296A09">
            <w:pPr>
              <w:pStyle w:val="CommentText"/>
              <w:tabs>
                <w:tab w:val="decimal" w:pos="743"/>
              </w:tabs>
              <w:spacing w:after="240"/>
              <w:rPr>
                <w:highlight w:val="yellow"/>
              </w:rPr>
            </w:pPr>
          </w:p>
        </w:tc>
      </w:tr>
      <w:tr w:rsidR="00BF677D" w:rsidTr="003E7DD0">
        <w:trPr>
          <w:trHeight w:hRule="exact" w:val="300"/>
        </w:trPr>
        <w:tc>
          <w:tcPr>
            <w:tcW w:w="817" w:type="dxa"/>
          </w:tcPr>
          <w:p w:rsidR="00BF677D" w:rsidRPr="00BF677D" w:rsidRDefault="00BF677D" w:rsidP="00273AF9">
            <w:pPr>
              <w:pStyle w:val="Footer"/>
              <w:tabs>
                <w:tab w:val="clear" w:pos="4153"/>
                <w:tab w:val="clear" w:pos="8306"/>
                <w:tab w:val="left" w:pos="284"/>
              </w:tabs>
              <w:spacing w:after="240"/>
              <w:jc w:val="center"/>
              <w:rPr>
                <w:sz w:val="20"/>
                <w:highlight w:val="yellow"/>
              </w:rPr>
            </w:pPr>
          </w:p>
        </w:tc>
        <w:tc>
          <w:tcPr>
            <w:tcW w:w="4961" w:type="dxa"/>
          </w:tcPr>
          <w:p w:rsidR="00BF677D" w:rsidRPr="00705BD6" w:rsidRDefault="00BF677D" w:rsidP="00CD62E6">
            <w:pPr>
              <w:pStyle w:val="Footer"/>
              <w:tabs>
                <w:tab w:val="clear" w:pos="4153"/>
                <w:tab w:val="clear" w:pos="8306"/>
                <w:tab w:val="left" w:pos="284"/>
              </w:tabs>
              <w:spacing w:after="240"/>
              <w:ind w:left="284"/>
              <w:rPr>
                <w:sz w:val="20"/>
              </w:rPr>
            </w:pPr>
            <w:r w:rsidRPr="00705BD6">
              <w:rPr>
                <w:sz w:val="20"/>
              </w:rPr>
              <w:t>Repayment of long term borrowing</w:t>
            </w:r>
          </w:p>
        </w:tc>
        <w:tc>
          <w:tcPr>
            <w:tcW w:w="993" w:type="dxa"/>
          </w:tcPr>
          <w:p w:rsidR="00BF677D" w:rsidRPr="006A4449" w:rsidRDefault="00F35C91" w:rsidP="00DD6895">
            <w:pPr>
              <w:pStyle w:val="CommentText"/>
              <w:tabs>
                <w:tab w:val="decimal" w:pos="743"/>
              </w:tabs>
              <w:spacing w:after="240"/>
            </w:pPr>
            <w:r>
              <w:t>(3,514)</w:t>
            </w:r>
          </w:p>
        </w:tc>
        <w:tc>
          <w:tcPr>
            <w:tcW w:w="992" w:type="dxa"/>
          </w:tcPr>
          <w:p w:rsidR="00BF677D" w:rsidRPr="00ED5DAA" w:rsidRDefault="00BF677D" w:rsidP="009B7AC9">
            <w:pPr>
              <w:pStyle w:val="CommentText"/>
              <w:tabs>
                <w:tab w:val="decimal" w:pos="743"/>
              </w:tabs>
              <w:spacing w:after="240"/>
              <w:rPr>
                <w:highlight w:val="yellow"/>
              </w:rPr>
            </w:pPr>
          </w:p>
        </w:tc>
        <w:tc>
          <w:tcPr>
            <w:tcW w:w="992" w:type="dxa"/>
          </w:tcPr>
          <w:p w:rsidR="00BF677D" w:rsidRPr="006A4449" w:rsidRDefault="00BF677D" w:rsidP="00296A09">
            <w:pPr>
              <w:pStyle w:val="CommentText"/>
              <w:tabs>
                <w:tab w:val="decimal" w:pos="743"/>
              </w:tabs>
              <w:spacing w:after="240"/>
            </w:pPr>
            <w:r>
              <w:t>(250)</w:t>
            </w:r>
          </w:p>
        </w:tc>
        <w:tc>
          <w:tcPr>
            <w:tcW w:w="992" w:type="dxa"/>
          </w:tcPr>
          <w:p w:rsidR="00BF677D" w:rsidRPr="00ED5DAA" w:rsidRDefault="00BF677D" w:rsidP="00296A09">
            <w:pPr>
              <w:pStyle w:val="CommentText"/>
              <w:tabs>
                <w:tab w:val="decimal" w:pos="743"/>
              </w:tabs>
              <w:spacing w:after="240"/>
              <w:rPr>
                <w:highlight w:val="yellow"/>
              </w:rPr>
            </w:pPr>
          </w:p>
        </w:tc>
      </w:tr>
      <w:tr w:rsidR="00BF677D" w:rsidTr="003E7DD0">
        <w:trPr>
          <w:trHeight w:hRule="exact" w:val="374"/>
        </w:trPr>
        <w:tc>
          <w:tcPr>
            <w:tcW w:w="817" w:type="dxa"/>
          </w:tcPr>
          <w:p w:rsidR="00BF677D" w:rsidRPr="00BF677D" w:rsidRDefault="00BF677D" w:rsidP="00C03D3C">
            <w:pPr>
              <w:tabs>
                <w:tab w:val="left" w:pos="284"/>
              </w:tabs>
              <w:jc w:val="center"/>
              <w:rPr>
                <w:sz w:val="20"/>
                <w:highlight w:val="yellow"/>
              </w:rPr>
            </w:pPr>
            <w:r w:rsidRPr="00C03D3C">
              <w:rPr>
                <w:sz w:val="20"/>
              </w:rPr>
              <w:t>2</w:t>
            </w:r>
            <w:r w:rsidR="00C03D3C" w:rsidRPr="00C03D3C">
              <w:rPr>
                <w:sz w:val="20"/>
              </w:rPr>
              <w:t>4</w:t>
            </w:r>
          </w:p>
        </w:tc>
        <w:tc>
          <w:tcPr>
            <w:tcW w:w="4961" w:type="dxa"/>
          </w:tcPr>
          <w:p w:rsidR="00BF677D" w:rsidRDefault="00BF677D" w:rsidP="00227670">
            <w:pPr>
              <w:pStyle w:val="Footer"/>
              <w:tabs>
                <w:tab w:val="clear" w:pos="4153"/>
                <w:tab w:val="clear" w:pos="8306"/>
                <w:tab w:val="left" w:pos="284"/>
              </w:tabs>
              <w:spacing w:after="240"/>
              <w:ind w:left="284"/>
              <w:rPr>
                <w:sz w:val="20"/>
              </w:rPr>
            </w:pPr>
            <w:r>
              <w:rPr>
                <w:sz w:val="20"/>
              </w:rPr>
              <w:t>Payments for financing activities</w:t>
            </w:r>
          </w:p>
        </w:tc>
        <w:tc>
          <w:tcPr>
            <w:tcW w:w="993" w:type="dxa"/>
          </w:tcPr>
          <w:p w:rsidR="00BF677D" w:rsidRPr="006A4449" w:rsidRDefault="00F35C91" w:rsidP="006A4449">
            <w:pPr>
              <w:pStyle w:val="CommentText"/>
              <w:tabs>
                <w:tab w:val="decimal" w:pos="743"/>
              </w:tabs>
              <w:spacing w:after="240"/>
            </w:pPr>
            <w:r>
              <w:t>(1,553)</w:t>
            </w:r>
          </w:p>
        </w:tc>
        <w:tc>
          <w:tcPr>
            <w:tcW w:w="992" w:type="dxa"/>
          </w:tcPr>
          <w:p w:rsidR="00BF677D" w:rsidRPr="00ED5DAA" w:rsidRDefault="00BF677D" w:rsidP="00DD6895">
            <w:pPr>
              <w:pStyle w:val="CommentText"/>
              <w:tabs>
                <w:tab w:val="decimal" w:pos="743"/>
              </w:tabs>
              <w:spacing w:after="240"/>
              <w:rPr>
                <w:highlight w:val="yellow"/>
              </w:rPr>
            </w:pPr>
          </w:p>
        </w:tc>
        <w:tc>
          <w:tcPr>
            <w:tcW w:w="992" w:type="dxa"/>
          </w:tcPr>
          <w:p w:rsidR="00BF677D" w:rsidRPr="006A4449" w:rsidRDefault="00BF677D" w:rsidP="00296A09">
            <w:pPr>
              <w:pStyle w:val="CommentText"/>
              <w:tabs>
                <w:tab w:val="decimal" w:pos="743"/>
              </w:tabs>
              <w:spacing w:after="240"/>
            </w:pPr>
            <w:r>
              <w:t>(1,612)</w:t>
            </w:r>
          </w:p>
        </w:tc>
        <w:tc>
          <w:tcPr>
            <w:tcW w:w="992" w:type="dxa"/>
          </w:tcPr>
          <w:p w:rsidR="00BF677D" w:rsidRPr="00ED5DAA" w:rsidRDefault="00BF677D" w:rsidP="00296A09">
            <w:pPr>
              <w:pStyle w:val="CommentText"/>
              <w:tabs>
                <w:tab w:val="decimal" w:pos="743"/>
              </w:tabs>
              <w:spacing w:after="240"/>
              <w:rPr>
                <w:highlight w:val="yellow"/>
              </w:rPr>
            </w:pPr>
          </w:p>
        </w:tc>
      </w:tr>
      <w:tr w:rsidR="00BF677D" w:rsidTr="009B7AC9">
        <w:trPr>
          <w:trHeight w:hRule="exact" w:val="374"/>
        </w:trPr>
        <w:tc>
          <w:tcPr>
            <w:tcW w:w="817" w:type="dxa"/>
          </w:tcPr>
          <w:p w:rsidR="00BF677D" w:rsidRPr="00BF677D" w:rsidRDefault="00BF677D" w:rsidP="00273AF9">
            <w:pPr>
              <w:tabs>
                <w:tab w:val="left" w:pos="284"/>
              </w:tabs>
              <w:jc w:val="center"/>
              <w:rPr>
                <w:sz w:val="20"/>
                <w:highlight w:val="yellow"/>
              </w:rPr>
            </w:pPr>
          </w:p>
        </w:tc>
        <w:tc>
          <w:tcPr>
            <w:tcW w:w="4961" w:type="dxa"/>
          </w:tcPr>
          <w:p w:rsidR="00BF677D" w:rsidRPr="00FB1DA8" w:rsidRDefault="00BF677D" w:rsidP="00CD62E6">
            <w:pPr>
              <w:tabs>
                <w:tab w:val="left" w:pos="284"/>
              </w:tabs>
              <w:rPr>
                <w:sz w:val="20"/>
                <w:highlight w:val="yellow"/>
              </w:rPr>
            </w:pPr>
            <w:r>
              <w:rPr>
                <w:sz w:val="20"/>
              </w:rPr>
              <w:t>Net cash flows from financing activities</w:t>
            </w:r>
          </w:p>
        </w:tc>
        <w:tc>
          <w:tcPr>
            <w:tcW w:w="993" w:type="dxa"/>
            <w:tcBorders>
              <w:top w:val="single" w:sz="4" w:space="0" w:color="auto"/>
            </w:tcBorders>
          </w:tcPr>
          <w:p w:rsidR="00BF677D" w:rsidRPr="00ED5DAA" w:rsidRDefault="00BF677D" w:rsidP="00CD62E6">
            <w:pPr>
              <w:tabs>
                <w:tab w:val="left" w:pos="284"/>
                <w:tab w:val="decimal" w:pos="743"/>
              </w:tabs>
              <w:rPr>
                <w:sz w:val="20"/>
                <w:highlight w:val="yellow"/>
              </w:rPr>
            </w:pPr>
          </w:p>
        </w:tc>
        <w:tc>
          <w:tcPr>
            <w:tcW w:w="992" w:type="dxa"/>
          </w:tcPr>
          <w:p w:rsidR="00BF677D" w:rsidRPr="006A4449" w:rsidRDefault="00F35C91" w:rsidP="006A4449">
            <w:pPr>
              <w:pStyle w:val="CommentText"/>
              <w:tabs>
                <w:tab w:val="decimal" w:pos="743"/>
              </w:tabs>
              <w:spacing w:after="240"/>
            </w:pPr>
            <w:r>
              <w:t>(5,402)</w:t>
            </w:r>
          </w:p>
        </w:tc>
        <w:tc>
          <w:tcPr>
            <w:tcW w:w="992" w:type="dxa"/>
            <w:tcBorders>
              <w:top w:val="single" w:sz="4" w:space="0" w:color="auto"/>
            </w:tcBorders>
          </w:tcPr>
          <w:p w:rsidR="00BF677D" w:rsidRPr="00ED5DAA" w:rsidRDefault="00BF677D" w:rsidP="00296A09">
            <w:pPr>
              <w:tabs>
                <w:tab w:val="left" w:pos="284"/>
                <w:tab w:val="decimal" w:pos="743"/>
              </w:tabs>
              <w:rPr>
                <w:sz w:val="20"/>
                <w:highlight w:val="yellow"/>
              </w:rPr>
            </w:pPr>
          </w:p>
        </w:tc>
        <w:tc>
          <w:tcPr>
            <w:tcW w:w="992" w:type="dxa"/>
          </w:tcPr>
          <w:p w:rsidR="00BF677D" w:rsidRPr="006A4449" w:rsidRDefault="00BF677D" w:rsidP="00296A09">
            <w:pPr>
              <w:pStyle w:val="CommentText"/>
              <w:tabs>
                <w:tab w:val="decimal" w:pos="743"/>
              </w:tabs>
              <w:spacing w:after="240"/>
            </w:pPr>
            <w:r>
              <w:t>(2,170)</w:t>
            </w:r>
          </w:p>
        </w:tc>
      </w:tr>
      <w:tr w:rsidR="00BF677D" w:rsidTr="00CD62E6">
        <w:trPr>
          <w:trHeight w:val="323"/>
        </w:trPr>
        <w:tc>
          <w:tcPr>
            <w:tcW w:w="817" w:type="dxa"/>
          </w:tcPr>
          <w:p w:rsidR="00BF677D" w:rsidRPr="00BF677D" w:rsidRDefault="00BF677D" w:rsidP="00273AF9">
            <w:pPr>
              <w:pStyle w:val="Footer"/>
              <w:tabs>
                <w:tab w:val="clear" w:pos="4153"/>
                <w:tab w:val="clear" w:pos="8306"/>
                <w:tab w:val="left" w:pos="284"/>
              </w:tabs>
              <w:spacing w:after="120"/>
              <w:jc w:val="center"/>
              <w:rPr>
                <w:b/>
                <w:sz w:val="20"/>
                <w:highlight w:val="yellow"/>
              </w:rPr>
            </w:pPr>
          </w:p>
        </w:tc>
        <w:tc>
          <w:tcPr>
            <w:tcW w:w="4961" w:type="dxa"/>
          </w:tcPr>
          <w:p w:rsidR="00BF677D" w:rsidRPr="00705BD6" w:rsidRDefault="00BF677D" w:rsidP="00CD62E6">
            <w:pPr>
              <w:pStyle w:val="Footer"/>
              <w:tabs>
                <w:tab w:val="clear" w:pos="4153"/>
                <w:tab w:val="clear" w:pos="8306"/>
                <w:tab w:val="left" w:pos="284"/>
              </w:tabs>
              <w:spacing w:after="120"/>
              <w:rPr>
                <w:sz w:val="20"/>
              </w:rPr>
            </w:pPr>
            <w:r w:rsidRPr="00705BD6">
              <w:rPr>
                <w:b/>
                <w:sz w:val="20"/>
              </w:rPr>
              <w:t>Net increase/(decrease) in cash and cash equivalents</w:t>
            </w:r>
          </w:p>
        </w:tc>
        <w:tc>
          <w:tcPr>
            <w:tcW w:w="993" w:type="dxa"/>
          </w:tcPr>
          <w:p w:rsidR="00BF677D" w:rsidRPr="00ED5DAA" w:rsidRDefault="00BF677D" w:rsidP="00CD62E6">
            <w:pPr>
              <w:tabs>
                <w:tab w:val="decimal" w:pos="743"/>
                <w:tab w:val="decimal" w:pos="882"/>
              </w:tabs>
              <w:spacing w:after="120"/>
              <w:rPr>
                <w:sz w:val="20"/>
                <w:highlight w:val="yellow"/>
              </w:rPr>
            </w:pPr>
          </w:p>
        </w:tc>
        <w:tc>
          <w:tcPr>
            <w:tcW w:w="992" w:type="dxa"/>
          </w:tcPr>
          <w:p w:rsidR="00BF677D" w:rsidRPr="006A4449" w:rsidRDefault="00F35C91" w:rsidP="00CA025A">
            <w:pPr>
              <w:tabs>
                <w:tab w:val="decimal" w:pos="742"/>
              </w:tabs>
              <w:spacing w:after="120"/>
              <w:rPr>
                <w:b/>
                <w:sz w:val="20"/>
              </w:rPr>
            </w:pPr>
            <w:r>
              <w:rPr>
                <w:b/>
                <w:sz w:val="20"/>
              </w:rPr>
              <w:t>(</w:t>
            </w:r>
            <w:r w:rsidR="00BE3C39">
              <w:rPr>
                <w:b/>
                <w:sz w:val="20"/>
              </w:rPr>
              <w:t>578</w:t>
            </w:r>
            <w:r>
              <w:rPr>
                <w:b/>
                <w:sz w:val="20"/>
              </w:rPr>
              <w:t>)</w:t>
            </w:r>
          </w:p>
        </w:tc>
        <w:tc>
          <w:tcPr>
            <w:tcW w:w="992" w:type="dxa"/>
          </w:tcPr>
          <w:p w:rsidR="00BF677D" w:rsidRPr="00ED5DAA" w:rsidRDefault="00BF677D" w:rsidP="00296A09">
            <w:pPr>
              <w:tabs>
                <w:tab w:val="decimal" w:pos="743"/>
                <w:tab w:val="decimal" w:pos="882"/>
              </w:tabs>
              <w:spacing w:after="120"/>
              <w:rPr>
                <w:sz w:val="20"/>
                <w:highlight w:val="yellow"/>
              </w:rPr>
            </w:pPr>
          </w:p>
        </w:tc>
        <w:tc>
          <w:tcPr>
            <w:tcW w:w="992" w:type="dxa"/>
          </w:tcPr>
          <w:p w:rsidR="00BF677D" w:rsidRPr="006A4449" w:rsidRDefault="00BE3C39" w:rsidP="00296A09">
            <w:pPr>
              <w:tabs>
                <w:tab w:val="decimal" w:pos="742"/>
              </w:tabs>
              <w:spacing w:after="120"/>
              <w:rPr>
                <w:b/>
                <w:sz w:val="20"/>
              </w:rPr>
            </w:pPr>
            <w:r>
              <w:rPr>
                <w:b/>
                <w:sz w:val="20"/>
              </w:rPr>
              <w:t>363</w:t>
            </w:r>
          </w:p>
        </w:tc>
      </w:tr>
      <w:tr w:rsidR="007E5ACF" w:rsidTr="00CD62E6">
        <w:trPr>
          <w:trHeight w:hRule="exact" w:val="256"/>
        </w:trPr>
        <w:tc>
          <w:tcPr>
            <w:tcW w:w="817" w:type="dxa"/>
          </w:tcPr>
          <w:p w:rsidR="007E5ACF" w:rsidRPr="00BF677D" w:rsidRDefault="007E5ACF" w:rsidP="00CD62E6">
            <w:pPr>
              <w:tabs>
                <w:tab w:val="left" w:pos="284"/>
              </w:tabs>
              <w:rPr>
                <w:sz w:val="20"/>
                <w:highlight w:val="yellow"/>
              </w:rPr>
            </w:pPr>
          </w:p>
        </w:tc>
        <w:tc>
          <w:tcPr>
            <w:tcW w:w="4961" w:type="dxa"/>
          </w:tcPr>
          <w:p w:rsidR="007E5ACF" w:rsidRPr="00FB1DA8" w:rsidRDefault="007E5ACF" w:rsidP="00CD62E6">
            <w:pPr>
              <w:tabs>
                <w:tab w:val="left" w:pos="284"/>
              </w:tabs>
              <w:rPr>
                <w:sz w:val="20"/>
                <w:highlight w:val="yellow"/>
              </w:rPr>
            </w:pPr>
          </w:p>
        </w:tc>
        <w:tc>
          <w:tcPr>
            <w:tcW w:w="993" w:type="dxa"/>
          </w:tcPr>
          <w:p w:rsidR="007E5ACF" w:rsidRPr="00ED5DAA" w:rsidRDefault="007E5ACF" w:rsidP="00CD62E6">
            <w:pPr>
              <w:tabs>
                <w:tab w:val="decimal" w:pos="743"/>
                <w:tab w:val="decimal" w:pos="882"/>
              </w:tabs>
              <w:rPr>
                <w:sz w:val="20"/>
                <w:highlight w:val="yellow"/>
              </w:rPr>
            </w:pPr>
          </w:p>
        </w:tc>
        <w:tc>
          <w:tcPr>
            <w:tcW w:w="992" w:type="dxa"/>
          </w:tcPr>
          <w:p w:rsidR="007E5ACF" w:rsidRPr="00ED5DAA" w:rsidRDefault="007E5ACF" w:rsidP="00CD62E6">
            <w:pPr>
              <w:tabs>
                <w:tab w:val="decimal" w:pos="742"/>
              </w:tabs>
              <w:rPr>
                <w:sz w:val="20"/>
                <w:highlight w:val="yellow"/>
              </w:rPr>
            </w:pPr>
          </w:p>
        </w:tc>
        <w:tc>
          <w:tcPr>
            <w:tcW w:w="992" w:type="dxa"/>
          </w:tcPr>
          <w:p w:rsidR="007E5ACF" w:rsidRPr="00ED5DAA" w:rsidRDefault="007E5ACF" w:rsidP="00246B48">
            <w:pPr>
              <w:tabs>
                <w:tab w:val="decimal" w:pos="743"/>
                <w:tab w:val="decimal" w:pos="882"/>
              </w:tabs>
              <w:rPr>
                <w:sz w:val="20"/>
                <w:highlight w:val="yellow"/>
              </w:rPr>
            </w:pPr>
          </w:p>
        </w:tc>
        <w:tc>
          <w:tcPr>
            <w:tcW w:w="992" w:type="dxa"/>
          </w:tcPr>
          <w:p w:rsidR="007E5ACF" w:rsidRPr="00ED5DAA" w:rsidRDefault="007E5ACF" w:rsidP="005B35AC">
            <w:pPr>
              <w:tabs>
                <w:tab w:val="decimal" w:pos="742"/>
              </w:tabs>
              <w:rPr>
                <w:sz w:val="20"/>
                <w:highlight w:val="yellow"/>
              </w:rPr>
            </w:pPr>
          </w:p>
        </w:tc>
      </w:tr>
      <w:tr w:rsidR="00BF677D" w:rsidTr="00CD62E6">
        <w:trPr>
          <w:trHeight w:hRule="exact" w:val="575"/>
        </w:trPr>
        <w:tc>
          <w:tcPr>
            <w:tcW w:w="817" w:type="dxa"/>
          </w:tcPr>
          <w:p w:rsidR="00BF677D" w:rsidRPr="00C03D3C" w:rsidRDefault="00BF677D" w:rsidP="00C03D3C">
            <w:pPr>
              <w:tabs>
                <w:tab w:val="left" w:pos="284"/>
              </w:tabs>
              <w:spacing w:after="240"/>
              <w:jc w:val="center"/>
              <w:rPr>
                <w:sz w:val="20"/>
              </w:rPr>
            </w:pPr>
            <w:r w:rsidRPr="00C03D3C">
              <w:rPr>
                <w:sz w:val="20"/>
              </w:rPr>
              <w:t>1</w:t>
            </w:r>
            <w:r w:rsidR="00C03D3C" w:rsidRPr="00C03D3C">
              <w:rPr>
                <w:sz w:val="20"/>
              </w:rPr>
              <w:t>0</w:t>
            </w:r>
          </w:p>
        </w:tc>
        <w:tc>
          <w:tcPr>
            <w:tcW w:w="4961" w:type="dxa"/>
          </w:tcPr>
          <w:p w:rsidR="00BF677D" w:rsidRPr="00705BD6" w:rsidRDefault="00BF677D" w:rsidP="00CD62E6">
            <w:pPr>
              <w:pStyle w:val="CommentText"/>
              <w:tabs>
                <w:tab w:val="left" w:pos="284"/>
              </w:tabs>
              <w:spacing w:after="240"/>
            </w:pPr>
            <w:r w:rsidRPr="00705BD6">
              <w:t>Cash and cash equivalents at the beginning of the reporting period</w:t>
            </w:r>
          </w:p>
        </w:tc>
        <w:tc>
          <w:tcPr>
            <w:tcW w:w="993" w:type="dxa"/>
          </w:tcPr>
          <w:p w:rsidR="00BF677D" w:rsidRPr="00ED5DAA" w:rsidRDefault="00BF677D" w:rsidP="00CD62E6">
            <w:pPr>
              <w:pStyle w:val="CommentText"/>
              <w:tabs>
                <w:tab w:val="decimal" w:pos="743"/>
              </w:tabs>
              <w:spacing w:after="240"/>
              <w:rPr>
                <w:highlight w:val="yellow"/>
              </w:rPr>
            </w:pPr>
          </w:p>
        </w:tc>
        <w:tc>
          <w:tcPr>
            <w:tcW w:w="992" w:type="dxa"/>
          </w:tcPr>
          <w:p w:rsidR="00BF677D" w:rsidRPr="006A4449" w:rsidRDefault="00BF677D" w:rsidP="00CA025A">
            <w:pPr>
              <w:pStyle w:val="CommentText"/>
              <w:tabs>
                <w:tab w:val="decimal" w:pos="743"/>
              </w:tabs>
              <w:spacing w:after="240"/>
            </w:pPr>
            <w:r>
              <w:t>29,</w:t>
            </w:r>
            <w:r w:rsidR="00BE3C39">
              <w:t>347</w:t>
            </w:r>
          </w:p>
        </w:tc>
        <w:tc>
          <w:tcPr>
            <w:tcW w:w="992" w:type="dxa"/>
          </w:tcPr>
          <w:p w:rsidR="00BF677D" w:rsidRPr="00ED5DAA" w:rsidRDefault="00BF677D" w:rsidP="00246B48">
            <w:pPr>
              <w:pStyle w:val="CommentText"/>
              <w:tabs>
                <w:tab w:val="decimal" w:pos="743"/>
              </w:tabs>
              <w:spacing w:after="240"/>
              <w:rPr>
                <w:highlight w:val="yellow"/>
              </w:rPr>
            </w:pPr>
          </w:p>
        </w:tc>
        <w:tc>
          <w:tcPr>
            <w:tcW w:w="992" w:type="dxa"/>
          </w:tcPr>
          <w:p w:rsidR="00BF677D" w:rsidRPr="006A4449" w:rsidRDefault="00BF677D" w:rsidP="00CA025A">
            <w:pPr>
              <w:pStyle w:val="CommentText"/>
              <w:tabs>
                <w:tab w:val="decimal" w:pos="743"/>
              </w:tabs>
              <w:spacing w:after="240"/>
            </w:pPr>
            <w:r>
              <w:t>28,</w:t>
            </w:r>
            <w:r w:rsidR="00BE3C39">
              <w:t>984</w:t>
            </w:r>
          </w:p>
        </w:tc>
      </w:tr>
      <w:tr w:rsidR="00BF677D" w:rsidTr="00CD62E6">
        <w:trPr>
          <w:trHeight w:hRule="exact" w:val="300"/>
        </w:trPr>
        <w:tc>
          <w:tcPr>
            <w:tcW w:w="817" w:type="dxa"/>
          </w:tcPr>
          <w:p w:rsidR="00BF677D" w:rsidRPr="00C03D3C" w:rsidRDefault="00BF677D" w:rsidP="00CD62E6">
            <w:pPr>
              <w:tabs>
                <w:tab w:val="left" w:pos="284"/>
              </w:tabs>
              <w:spacing w:after="240"/>
              <w:rPr>
                <w:b/>
                <w:sz w:val="20"/>
              </w:rPr>
            </w:pPr>
          </w:p>
        </w:tc>
        <w:tc>
          <w:tcPr>
            <w:tcW w:w="4961" w:type="dxa"/>
          </w:tcPr>
          <w:p w:rsidR="00BF677D" w:rsidRPr="00FB1DA8" w:rsidRDefault="00BF677D" w:rsidP="00CD62E6">
            <w:pPr>
              <w:tabs>
                <w:tab w:val="left" w:pos="284"/>
              </w:tabs>
              <w:spacing w:after="240"/>
              <w:rPr>
                <w:b/>
                <w:sz w:val="20"/>
                <w:highlight w:val="yellow"/>
              </w:rPr>
            </w:pPr>
          </w:p>
        </w:tc>
        <w:tc>
          <w:tcPr>
            <w:tcW w:w="993" w:type="dxa"/>
          </w:tcPr>
          <w:p w:rsidR="00BF677D" w:rsidRPr="00ED5DAA" w:rsidRDefault="00BF677D" w:rsidP="00CD62E6">
            <w:pPr>
              <w:tabs>
                <w:tab w:val="decimal" w:pos="743"/>
                <w:tab w:val="decimal" w:pos="882"/>
              </w:tabs>
              <w:spacing w:after="240"/>
              <w:rPr>
                <w:sz w:val="20"/>
                <w:highlight w:val="yellow"/>
              </w:rPr>
            </w:pPr>
          </w:p>
        </w:tc>
        <w:tc>
          <w:tcPr>
            <w:tcW w:w="992" w:type="dxa"/>
          </w:tcPr>
          <w:p w:rsidR="00BF677D" w:rsidRPr="00ED5DAA" w:rsidRDefault="00BF677D" w:rsidP="00AA780E">
            <w:pPr>
              <w:tabs>
                <w:tab w:val="decimal" w:pos="742"/>
              </w:tabs>
              <w:spacing w:after="240"/>
              <w:rPr>
                <w:sz w:val="20"/>
                <w:highlight w:val="yellow"/>
              </w:rPr>
            </w:pPr>
          </w:p>
        </w:tc>
        <w:tc>
          <w:tcPr>
            <w:tcW w:w="992" w:type="dxa"/>
          </w:tcPr>
          <w:p w:rsidR="00BF677D" w:rsidRPr="00ED5DAA" w:rsidRDefault="00BF677D" w:rsidP="00246B48">
            <w:pPr>
              <w:tabs>
                <w:tab w:val="decimal" w:pos="743"/>
                <w:tab w:val="decimal" w:pos="882"/>
              </w:tabs>
              <w:spacing w:after="240"/>
              <w:rPr>
                <w:sz w:val="20"/>
                <w:highlight w:val="yellow"/>
              </w:rPr>
            </w:pPr>
          </w:p>
        </w:tc>
        <w:tc>
          <w:tcPr>
            <w:tcW w:w="992" w:type="dxa"/>
          </w:tcPr>
          <w:p w:rsidR="00BF677D" w:rsidRPr="00ED5DAA" w:rsidRDefault="00BF677D" w:rsidP="00296A09">
            <w:pPr>
              <w:tabs>
                <w:tab w:val="decimal" w:pos="742"/>
              </w:tabs>
              <w:spacing w:after="240"/>
              <w:rPr>
                <w:sz w:val="20"/>
                <w:highlight w:val="yellow"/>
              </w:rPr>
            </w:pPr>
          </w:p>
        </w:tc>
      </w:tr>
      <w:tr w:rsidR="00BF677D" w:rsidTr="00CD62E6">
        <w:tc>
          <w:tcPr>
            <w:tcW w:w="817" w:type="dxa"/>
          </w:tcPr>
          <w:p w:rsidR="00BF677D" w:rsidRPr="00C03D3C" w:rsidRDefault="00BF677D" w:rsidP="00C03D3C">
            <w:pPr>
              <w:tabs>
                <w:tab w:val="left" w:pos="284"/>
              </w:tabs>
              <w:ind w:left="547" w:hanging="547"/>
              <w:jc w:val="center"/>
              <w:rPr>
                <w:sz w:val="20"/>
              </w:rPr>
            </w:pPr>
            <w:r w:rsidRPr="00C03D3C">
              <w:rPr>
                <w:sz w:val="20"/>
              </w:rPr>
              <w:t>1</w:t>
            </w:r>
            <w:r w:rsidR="00C03D3C" w:rsidRPr="00C03D3C">
              <w:rPr>
                <w:sz w:val="20"/>
              </w:rPr>
              <w:t>0</w:t>
            </w:r>
          </w:p>
        </w:tc>
        <w:tc>
          <w:tcPr>
            <w:tcW w:w="4961" w:type="dxa"/>
          </w:tcPr>
          <w:p w:rsidR="00BF677D" w:rsidRPr="00103AC3" w:rsidRDefault="00BF677D" w:rsidP="00CD62E6">
            <w:pPr>
              <w:pStyle w:val="CommentText"/>
              <w:tabs>
                <w:tab w:val="left" w:pos="284"/>
              </w:tabs>
              <w:spacing w:after="240"/>
              <w:rPr>
                <w:b/>
              </w:rPr>
            </w:pPr>
            <w:r w:rsidRPr="00103AC3">
              <w:rPr>
                <w:b/>
              </w:rPr>
              <w:t xml:space="preserve">Cash and cash equivalents at the </w:t>
            </w:r>
            <w:r>
              <w:rPr>
                <w:b/>
              </w:rPr>
              <w:t>end</w:t>
            </w:r>
            <w:r w:rsidRPr="00103AC3">
              <w:rPr>
                <w:b/>
              </w:rPr>
              <w:t xml:space="preserve"> of the reporting period</w:t>
            </w:r>
          </w:p>
        </w:tc>
        <w:tc>
          <w:tcPr>
            <w:tcW w:w="993" w:type="dxa"/>
          </w:tcPr>
          <w:p w:rsidR="00BF677D" w:rsidRPr="00ED5DAA" w:rsidRDefault="00BF677D" w:rsidP="00CD62E6">
            <w:pPr>
              <w:pStyle w:val="Footer"/>
              <w:tabs>
                <w:tab w:val="clear" w:pos="4153"/>
                <w:tab w:val="clear" w:pos="8306"/>
                <w:tab w:val="decimal" w:pos="743"/>
                <w:tab w:val="decimal" w:pos="882"/>
              </w:tabs>
              <w:spacing w:after="120"/>
              <w:rPr>
                <w:b/>
                <w:sz w:val="20"/>
                <w:highlight w:val="yellow"/>
              </w:rPr>
            </w:pPr>
          </w:p>
        </w:tc>
        <w:tc>
          <w:tcPr>
            <w:tcW w:w="992" w:type="dxa"/>
          </w:tcPr>
          <w:p w:rsidR="00BF677D" w:rsidRPr="006A4449" w:rsidRDefault="00F35C91" w:rsidP="00CA025A">
            <w:pPr>
              <w:pStyle w:val="Footer"/>
              <w:tabs>
                <w:tab w:val="clear" w:pos="4153"/>
                <w:tab w:val="clear" w:pos="8306"/>
                <w:tab w:val="decimal" w:pos="742"/>
              </w:tabs>
              <w:spacing w:after="120"/>
              <w:rPr>
                <w:b/>
                <w:sz w:val="20"/>
              </w:rPr>
            </w:pPr>
            <w:r>
              <w:rPr>
                <w:b/>
                <w:sz w:val="20"/>
              </w:rPr>
              <w:t>28,</w:t>
            </w:r>
            <w:r w:rsidR="00BE3C39">
              <w:rPr>
                <w:b/>
                <w:sz w:val="20"/>
              </w:rPr>
              <w:t>769</w:t>
            </w:r>
          </w:p>
        </w:tc>
        <w:tc>
          <w:tcPr>
            <w:tcW w:w="992" w:type="dxa"/>
          </w:tcPr>
          <w:p w:rsidR="00BF677D" w:rsidRPr="00ED5DAA" w:rsidRDefault="00BF677D" w:rsidP="00246B48">
            <w:pPr>
              <w:pStyle w:val="Footer"/>
              <w:tabs>
                <w:tab w:val="clear" w:pos="4153"/>
                <w:tab w:val="clear" w:pos="8306"/>
                <w:tab w:val="decimal" w:pos="743"/>
                <w:tab w:val="decimal" w:pos="882"/>
              </w:tabs>
              <w:spacing w:after="120"/>
              <w:rPr>
                <w:b/>
                <w:sz w:val="20"/>
                <w:highlight w:val="yellow"/>
              </w:rPr>
            </w:pPr>
          </w:p>
        </w:tc>
        <w:tc>
          <w:tcPr>
            <w:tcW w:w="992" w:type="dxa"/>
          </w:tcPr>
          <w:p w:rsidR="00BF677D" w:rsidRPr="006A4449" w:rsidRDefault="00BF677D" w:rsidP="00CA025A">
            <w:pPr>
              <w:pStyle w:val="Footer"/>
              <w:tabs>
                <w:tab w:val="clear" w:pos="4153"/>
                <w:tab w:val="clear" w:pos="8306"/>
                <w:tab w:val="decimal" w:pos="742"/>
              </w:tabs>
              <w:spacing w:after="120"/>
              <w:rPr>
                <w:b/>
                <w:sz w:val="20"/>
              </w:rPr>
            </w:pPr>
            <w:r>
              <w:rPr>
                <w:b/>
                <w:sz w:val="20"/>
              </w:rPr>
              <w:t>29,</w:t>
            </w:r>
            <w:r w:rsidR="00BE3C39">
              <w:rPr>
                <w:b/>
                <w:sz w:val="20"/>
              </w:rPr>
              <w:t>347</w:t>
            </w:r>
          </w:p>
        </w:tc>
      </w:tr>
    </w:tbl>
    <w:p w:rsidR="00D90216" w:rsidRDefault="00D90216" w:rsidP="00D90216">
      <w:pPr>
        <w:pStyle w:val="Caption"/>
        <w:jc w:val="left"/>
        <w:rPr>
          <w:sz w:val="22"/>
        </w:rPr>
      </w:pPr>
    </w:p>
    <w:p w:rsidR="003001DB" w:rsidRPr="001D3FF0" w:rsidRDefault="00EF4270" w:rsidP="001D3FF0">
      <w:pPr>
        <w:rPr>
          <w:sz w:val="22"/>
          <w:szCs w:val="22"/>
        </w:rPr>
        <w:sectPr w:rsidR="003001DB" w:rsidRPr="001D3FF0" w:rsidSect="00E536BB">
          <w:headerReference w:type="even" r:id="rId21"/>
          <w:headerReference w:type="default" r:id="rId22"/>
          <w:footerReference w:type="default" r:id="rId23"/>
          <w:headerReference w:type="first" r:id="rId24"/>
          <w:pgSz w:w="11907" w:h="16840" w:code="9"/>
          <w:pgMar w:top="720" w:right="720" w:bottom="720" w:left="720" w:header="720" w:footer="340" w:gutter="0"/>
          <w:cols w:space="720"/>
          <w:docGrid w:linePitch="326"/>
        </w:sectPr>
      </w:pPr>
      <w:r>
        <w:rPr>
          <w:sz w:val="22"/>
          <w:szCs w:val="22"/>
        </w:rPr>
        <w:t xml:space="preserve">* </w:t>
      </w:r>
      <w:r w:rsidR="00A250F7" w:rsidRPr="001D3FF0">
        <w:rPr>
          <w:sz w:val="22"/>
          <w:szCs w:val="22"/>
        </w:rPr>
        <w:t xml:space="preserve">The 2016/17 balances have been restated to include the </w:t>
      </w:r>
      <w:r w:rsidR="00CF7F0B" w:rsidRPr="001D3FF0">
        <w:rPr>
          <w:sz w:val="22"/>
          <w:szCs w:val="22"/>
        </w:rPr>
        <w:t>Authority’s</w:t>
      </w:r>
      <w:r w:rsidR="00A250F7" w:rsidRPr="001D3FF0">
        <w:rPr>
          <w:sz w:val="22"/>
          <w:szCs w:val="22"/>
        </w:rPr>
        <w:t xml:space="preserve"> 25% share of North West </w:t>
      </w:r>
      <w:proofErr w:type="spellStart"/>
      <w:r w:rsidR="00A250F7" w:rsidRPr="001D3FF0">
        <w:rPr>
          <w:sz w:val="22"/>
          <w:szCs w:val="22"/>
        </w:rPr>
        <w:t>FireControl</w:t>
      </w:r>
      <w:proofErr w:type="spellEnd"/>
      <w:r w:rsidR="00A250F7" w:rsidRPr="001D3FF0">
        <w:rPr>
          <w:sz w:val="22"/>
          <w:szCs w:val="22"/>
        </w:rPr>
        <w:t xml:space="preserve"> Limited.</w:t>
      </w:r>
    </w:p>
    <w:p w:rsidR="00D90216" w:rsidRPr="00183C3C" w:rsidRDefault="00D90216" w:rsidP="009C7F10">
      <w:pPr>
        <w:jc w:val="center"/>
        <w:rPr>
          <w:b/>
          <w:sz w:val="22"/>
          <w:szCs w:val="22"/>
        </w:rPr>
      </w:pPr>
      <w:r w:rsidRPr="00183C3C">
        <w:rPr>
          <w:b/>
          <w:sz w:val="22"/>
          <w:szCs w:val="22"/>
        </w:rPr>
        <w:lastRenderedPageBreak/>
        <w:t>NOTES TO THE CORE FINANCIAL STATEMENTS</w:t>
      </w:r>
    </w:p>
    <w:p w:rsidR="00D90216" w:rsidRPr="00183C3C" w:rsidRDefault="00D90216" w:rsidP="00D90216">
      <w:pPr>
        <w:tabs>
          <w:tab w:val="right" w:pos="7020"/>
          <w:tab w:val="right" w:pos="8460"/>
        </w:tabs>
        <w:rPr>
          <w:sz w:val="18"/>
          <w:szCs w:val="18"/>
        </w:rPr>
      </w:pPr>
    </w:p>
    <w:p w:rsidR="009B6F2A" w:rsidRDefault="009B6F2A" w:rsidP="00882E25">
      <w:pPr>
        <w:numPr>
          <w:ilvl w:val="0"/>
          <w:numId w:val="5"/>
        </w:numPr>
        <w:ind w:hanging="720"/>
        <w:rPr>
          <w:b/>
          <w:sz w:val="22"/>
        </w:rPr>
      </w:pPr>
      <w:r>
        <w:rPr>
          <w:b/>
          <w:sz w:val="22"/>
        </w:rPr>
        <w:t>Expenditure and Funding Analysis</w:t>
      </w:r>
    </w:p>
    <w:p w:rsidR="005722FC" w:rsidRPr="00C975EA" w:rsidRDefault="00E87D43" w:rsidP="009B6F2A">
      <w:pPr>
        <w:rPr>
          <w:sz w:val="22"/>
          <w:szCs w:val="22"/>
          <w:highlight w:val="yellow"/>
        </w:rPr>
      </w:pPr>
      <w:r w:rsidRPr="004F2F53">
        <w:rPr>
          <w:b/>
          <w:sz w:val="22"/>
        </w:rPr>
        <w:tab/>
      </w:r>
      <w:r w:rsidR="00BE48DC" w:rsidRPr="00812378">
        <w:rPr>
          <w:sz w:val="22"/>
          <w:szCs w:val="22"/>
          <w:highlight w:val="yellow"/>
        </w:rPr>
        <w:t xml:space="preserve"> </w:t>
      </w:r>
    </w:p>
    <w:p w:rsidR="00A50011" w:rsidRDefault="00C975EA" w:rsidP="001E612D">
      <w:pPr>
        <w:ind w:left="720"/>
        <w:jc w:val="both"/>
        <w:rPr>
          <w:sz w:val="22"/>
        </w:rPr>
      </w:pPr>
      <w:r w:rsidRPr="00C975EA">
        <w:rPr>
          <w:sz w:val="22"/>
        </w:rPr>
        <w:t xml:space="preserve">The objective of the Expenditure and </w:t>
      </w:r>
      <w:r>
        <w:rPr>
          <w:sz w:val="22"/>
        </w:rPr>
        <w:t>Funding Analysis is to demonstrate to council tax payers how the funding available to the Authority (</w:t>
      </w:r>
      <w:proofErr w:type="spellStart"/>
      <w:r>
        <w:rPr>
          <w:sz w:val="22"/>
        </w:rPr>
        <w:t>ie</w:t>
      </w:r>
      <w:proofErr w:type="spellEnd"/>
      <w:r>
        <w:rPr>
          <w:sz w:val="22"/>
        </w:rPr>
        <w:t xml:space="preserve"> Government grants,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 purposes between the Authority’s directorates.  Income and expenditure accounted for under generally accepted accounting practices</w:t>
      </w:r>
      <w:r w:rsidRPr="00C975EA">
        <w:rPr>
          <w:sz w:val="22"/>
        </w:rPr>
        <w:t xml:space="preserve"> </w:t>
      </w:r>
      <w:r w:rsidR="00A50011">
        <w:rPr>
          <w:sz w:val="22"/>
        </w:rPr>
        <w:t>is presented more fully in the Comprehensive Income and Expenditure Statement.</w:t>
      </w:r>
    </w:p>
    <w:p w:rsidR="00296A09" w:rsidRDefault="00296A09" w:rsidP="001E612D">
      <w:pPr>
        <w:ind w:left="720"/>
        <w:jc w:val="both"/>
        <w:rPr>
          <w:sz w:val="22"/>
        </w:rPr>
      </w:pPr>
    </w:p>
    <w:tbl>
      <w:tblPr>
        <w:tblStyle w:val="TableGrid"/>
        <w:tblW w:w="146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1559"/>
        <w:gridCol w:w="2552"/>
        <w:gridCol w:w="1701"/>
        <w:gridCol w:w="2551"/>
        <w:gridCol w:w="2694"/>
      </w:tblGrid>
      <w:tr w:rsidR="000D5389" w:rsidTr="00DB69E3">
        <w:tc>
          <w:tcPr>
            <w:tcW w:w="3641" w:type="dxa"/>
          </w:tcPr>
          <w:p w:rsidR="000D5389" w:rsidRPr="00EB122C" w:rsidRDefault="000D5389" w:rsidP="00296A09">
            <w:pPr>
              <w:jc w:val="both"/>
              <w:rPr>
                <w:b/>
                <w:sz w:val="20"/>
              </w:rPr>
            </w:pPr>
            <w:r>
              <w:rPr>
                <w:sz w:val="22"/>
              </w:rPr>
              <w:br w:type="page"/>
            </w:r>
            <w:r w:rsidRPr="00EB122C">
              <w:rPr>
                <w:b/>
                <w:sz w:val="20"/>
              </w:rPr>
              <w:t>201</w:t>
            </w:r>
            <w:r w:rsidR="00296A09">
              <w:rPr>
                <w:b/>
                <w:sz w:val="20"/>
              </w:rPr>
              <w:t>7</w:t>
            </w:r>
            <w:r w:rsidRPr="00EB122C">
              <w:rPr>
                <w:b/>
                <w:sz w:val="20"/>
              </w:rPr>
              <w:t>/</w:t>
            </w:r>
            <w:r w:rsidR="00296A09">
              <w:rPr>
                <w:b/>
                <w:sz w:val="20"/>
              </w:rPr>
              <w:t>18</w:t>
            </w:r>
          </w:p>
        </w:tc>
        <w:tc>
          <w:tcPr>
            <w:tcW w:w="1559" w:type="dxa"/>
          </w:tcPr>
          <w:p w:rsidR="000D5389" w:rsidRPr="00EB122C" w:rsidRDefault="000D5389" w:rsidP="003E72EB">
            <w:pPr>
              <w:jc w:val="center"/>
              <w:rPr>
                <w:sz w:val="20"/>
              </w:rPr>
            </w:pPr>
            <w:r w:rsidRPr="00EB122C">
              <w:rPr>
                <w:sz w:val="20"/>
              </w:rPr>
              <w:t>As reported for resource management</w:t>
            </w:r>
          </w:p>
        </w:tc>
        <w:tc>
          <w:tcPr>
            <w:tcW w:w="2552" w:type="dxa"/>
          </w:tcPr>
          <w:p w:rsidR="000D5389" w:rsidRPr="00EB122C" w:rsidRDefault="000D5389" w:rsidP="003E72EB">
            <w:pPr>
              <w:jc w:val="center"/>
              <w:rPr>
                <w:sz w:val="20"/>
              </w:rPr>
            </w:pPr>
            <w:r>
              <w:rPr>
                <w:sz w:val="20"/>
              </w:rPr>
              <w:t xml:space="preserve">Adjustment to arrive at the amount chargeable to the General Fund (note </w:t>
            </w:r>
            <w:r w:rsidR="00CF7F0B">
              <w:rPr>
                <w:sz w:val="20"/>
              </w:rPr>
              <w:t>1</w:t>
            </w:r>
            <w:r>
              <w:rPr>
                <w:sz w:val="20"/>
              </w:rPr>
              <w:t>a)</w:t>
            </w:r>
          </w:p>
        </w:tc>
        <w:tc>
          <w:tcPr>
            <w:tcW w:w="1701" w:type="dxa"/>
          </w:tcPr>
          <w:p w:rsidR="000D5389" w:rsidRPr="00EB122C" w:rsidRDefault="000D5389" w:rsidP="003E72EB">
            <w:pPr>
              <w:jc w:val="center"/>
              <w:rPr>
                <w:sz w:val="20"/>
              </w:rPr>
            </w:pPr>
            <w:r>
              <w:rPr>
                <w:sz w:val="20"/>
              </w:rPr>
              <w:t xml:space="preserve">Net </w:t>
            </w:r>
            <w:r w:rsidRPr="00EB122C">
              <w:rPr>
                <w:sz w:val="20"/>
              </w:rPr>
              <w:t>chargeable to the General Fund</w:t>
            </w:r>
          </w:p>
        </w:tc>
        <w:tc>
          <w:tcPr>
            <w:tcW w:w="2551" w:type="dxa"/>
          </w:tcPr>
          <w:p w:rsidR="000D5389" w:rsidRPr="00EB122C" w:rsidRDefault="000D5389" w:rsidP="003E72EB">
            <w:pPr>
              <w:jc w:val="center"/>
              <w:rPr>
                <w:sz w:val="20"/>
              </w:rPr>
            </w:pPr>
            <w:r w:rsidRPr="00EB122C">
              <w:rPr>
                <w:sz w:val="20"/>
              </w:rPr>
              <w:t xml:space="preserve">Adjustments between the Funding and Accounting basis (note </w:t>
            </w:r>
            <w:r w:rsidR="00CF7F0B">
              <w:rPr>
                <w:sz w:val="20"/>
              </w:rPr>
              <w:t>1</w:t>
            </w:r>
            <w:r w:rsidRPr="00EB122C">
              <w:rPr>
                <w:sz w:val="20"/>
              </w:rPr>
              <w:t>a)</w:t>
            </w:r>
          </w:p>
        </w:tc>
        <w:tc>
          <w:tcPr>
            <w:tcW w:w="2694" w:type="dxa"/>
          </w:tcPr>
          <w:p w:rsidR="000D5389" w:rsidRPr="00EB122C" w:rsidRDefault="000D5389" w:rsidP="001E612D">
            <w:pPr>
              <w:jc w:val="both"/>
              <w:rPr>
                <w:sz w:val="20"/>
              </w:rPr>
            </w:pPr>
            <w:r w:rsidRPr="00EB122C">
              <w:rPr>
                <w:sz w:val="20"/>
              </w:rPr>
              <w:t>Net Expenditure in the Comprehensive Income and Expenditure Statement</w:t>
            </w:r>
          </w:p>
        </w:tc>
      </w:tr>
      <w:tr w:rsidR="000D5389" w:rsidTr="00DB69E3">
        <w:tc>
          <w:tcPr>
            <w:tcW w:w="3641" w:type="dxa"/>
          </w:tcPr>
          <w:p w:rsidR="000D5389" w:rsidRPr="00EB122C" w:rsidRDefault="000D5389" w:rsidP="001E612D">
            <w:pPr>
              <w:jc w:val="both"/>
              <w:rPr>
                <w:sz w:val="20"/>
              </w:rPr>
            </w:pPr>
          </w:p>
        </w:tc>
        <w:tc>
          <w:tcPr>
            <w:tcW w:w="1559" w:type="dxa"/>
          </w:tcPr>
          <w:p w:rsidR="000D5389" w:rsidRDefault="000D5389" w:rsidP="000D5389">
            <w:pPr>
              <w:jc w:val="center"/>
            </w:pPr>
            <w:r w:rsidRPr="0008100C">
              <w:rPr>
                <w:sz w:val="20"/>
              </w:rPr>
              <w:t>£000</w:t>
            </w:r>
          </w:p>
        </w:tc>
        <w:tc>
          <w:tcPr>
            <w:tcW w:w="2552" w:type="dxa"/>
          </w:tcPr>
          <w:p w:rsidR="000D5389" w:rsidRDefault="000D5389" w:rsidP="000D5389">
            <w:pPr>
              <w:jc w:val="center"/>
            </w:pPr>
            <w:r w:rsidRPr="0008100C">
              <w:rPr>
                <w:sz w:val="20"/>
              </w:rPr>
              <w:t>£000</w:t>
            </w:r>
          </w:p>
        </w:tc>
        <w:tc>
          <w:tcPr>
            <w:tcW w:w="1701" w:type="dxa"/>
          </w:tcPr>
          <w:p w:rsidR="000D5389" w:rsidRPr="00EB122C" w:rsidRDefault="000D5389" w:rsidP="00EB122C">
            <w:pPr>
              <w:jc w:val="center"/>
              <w:rPr>
                <w:sz w:val="20"/>
              </w:rPr>
            </w:pPr>
            <w:r w:rsidRPr="00EB122C">
              <w:rPr>
                <w:sz w:val="20"/>
              </w:rPr>
              <w:t>£000</w:t>
            </w:r>
          </w:p>
        </w:tc>
        <w:tc>
          <w:tcPr>
            <w:tcW w:w="2551" w:type="dxa"/>
          </w:tcPr>
          <w:p w:rsidR="000D5389" w:rsidRPr="00EB122C" w:rsidRDefault="000D5389" w:rsidP="00EB122C">
            <w:pPr>
              <w:jc w:val="center"/>
              <w:rPr>
                <w:sz w:val="20"/>
              </w:rPr>
            </w:pPr>
            <w:r w:rsidRPr="00EB122C">
              <w:rPr>
                <w:sz w:val="20"/>
              </w:rPr>
              <w:t>£000</w:t>
            </w:r>
          </w:p>
        </w:tc>
        <w:tc>
          <w:tcPr>
            <w:tcW w:w="2694" w:type="dxa"/>
          </w:tcPr>
          <w:p w:rsidR="000D5389" w:rsidRPr="00EB122C" w:rsidRDefault="000D5389" w:rsidP="00EB122C">
            <w:pPr>
              <w:jc w:val="center"/>
              <w:rPr>
                <w:sz w:val="20"/>
              </w:rPr>
            </w:pPr>
            <w:r w:rsidRPr="00EB122C">
              <w:rPr>
                <w:sz w:val="20"/>
              </w:rPr>
              <w:t>£000</w:t>
            </w:r>
          </w:p>
        </w:tc>
      </w:tr>
      <w:tr w:rsidR="00356B83" w:rsidTr="00DB69E3">
        <w:tc>
          <w:tcPr>
            <w:tcW w:w="3641" w:type="dxa"/>
          </w:tcPr>
          <w:p w:rsidR="00356B83" w:rsidRPr="00EB122C" w:rsidRDefault="00356B83" w:rsidP="001E612D">
            <w:pPr>
              <w:jc w:val="both"/>
              <w:rPr>
                <w:sz w:val="20"/>
              </w:rPr>
            </w:pPr>
            <w:r w:rsidRPr="00EB122C">
              <w:rPr>
                <w:sz w:val="20"/>
              </w:rPr>
              <w:t>Service Delivery</w:t>
            </w:r>
          </w:p>
        </w:tc>
        <w:tc>
          <w:tcPr>
            <w:tcW w:w="1559" w:type="dxa"/>
          </w:tcPr>
          <w:p w:rsidR="00356B83" w:rsidRPr="00EB122C" w:rsidRDefault="00356B83" w:rsidP="00322BDC">
            <w:pPr>
              <w:ind w:right="136"/>
              <w:jc w:val="right"/>
              <w:rPr>
                <w:sz w:val="20"/>
              </w:rPr>
            </w:pPr>
            <w:r>
              <w:rPr>
                <w:sz w:val="20"/>
              </w:rPr>
              <w:t>35,236</w:t>
            </w:r>
          </w:p>
        </w:tc>
        <w:tc>
          <w:tcPr>
            <w:tcW w:w="2552" w:type="dxa"/>
          </w:tcPr>
          <w:p w:rsidR="00356B83" w:rsidRPr="00EB122C" w:rsidRDefault="00356B83" w:rsidP="00322BDC">
            <w:pPr>
              <w:ind w:right="136"/>
              <w:jc w:val="right"/>
              <w:rPr>
                <w:sz w:val="20"/>
              </w:rPr>
            </w:pPr>
            <w:r>
              <w:rPr>
                <w:sz w:val="20"/>
              </w:rPr>
              <w:t>-</w:t>
            </w:r>
          </w:p>
        </w:tc>
        <w:tc>
          <w:tcPr>
            <w:tcW w:w="1701" w:type="dxa"/>
          </w:tcPr>
          <w:p w:rsidR="00356B83" w:rsidRPr="00EB122C" w:rsidRDefault="00356B83" w:rsidP="00BC7918">
            <w:pPr>
              <w:ind w:right="136"/>
              <w:jc w:val="right"/>
              <w:rPr>
                <w:sz w:val="20"/>
              </w:rPr>
            </w:pPr>
            <w:r>
              <w:rPr>
                <w:sz w:val="20"/>
              </w:rPr>
              <w:t>35,236</w:t>
            </w:r>
          </w:p>
        </w:tc>
        <w:tc>
          <w:tcPr>
            <w:tcW w:w="2551" w:type="dxa"/>
          </w:tcPr>
          <w:p w:rsidR="00356B83" w:rsidRPr="00F87596" w:rsidRDefault="00BC7918" w:rsidP="00F87596">
            <w:pPr>
              <w:jc w:val="right"/>
              <w:rPr>
                <w:sz w:val="20"/>
              </w:rPr>
            </w:pPr>
            <w:r w:rsidRPr="00F87596">
              <w:rPr>
                <w:sz w:val="20"/>
              </w:rPr>
              <w:t>(</w:t>
            </w:r>
            <w:r w:rsidR="00F87596" w:rsidRPr="00F87596">
              <w:rPr>
                <w:sz w:val="20"/>
              </w:rPr>
              <w:t>7</w:t>
            </w:r>
            <w:r w:rsidRPr="00F87596">
              <w:rPr>
                <w:sz w:val="20"/>
              </w:rPr>
              <w:t>,</w:t>
            </w:r>
            <w:r w:rsidR="00F87596" w:rsidRPr="00F87596">
              <w:rPr>
                <w:sz w:val="20"/>
              </w:rPr>
              <w:t>828</w:t>
            </w:r>
            <w:r w:rsidRPr="00F87596">
              <w:rPr>
                <w:sz w:val="20"/>
              </w:rPr>
              <w:t>)</w:t>
            </w:r>
          </w:p>
        </w:tc>
        <w:tc>
          <w:tcPr>
            <w:tcW w:w="2694" w:type="dxa"/>
          </w:tcPr>
          <w:p w:rsidR="00356B83" w:rsidRPr="00F87596" w:rsidRDefault="00BC7918" w:rsidP="00F87596">
            <w:pPr>
              <w:jc w:val="right"/>
              <w:rPr>
                <w:sz w:val="20"/>
              </w:rPr>
            </w:pPr>
            <w:r w:rsidRPr="00F87596">
              <w:rPr>
                <w:sz w:val="20"/>
              </w:rPr>
              <w:t>27,</w:t>
            </w:r>
            <w:r w:rsidR="00F87596" w:rsidRPr="00F87596">
              <w:rPr>
                <w:sz w:val="20"/>
              </w:rPr>
              <w:t>408</w:t>
            </w:r>
          </w:p>
        </w:tc>
      </w:tr>
      <w:tr w:rsidR="00356B83" w:rsidTr="00DB69E3">
        <w:tc>
          <w:tcPr>
            <w:tcW w:w="3641" w:type="dxa"/>
          </w:tcPr>
          <w:p w:rsidR="00356B83" w:rsidRPr="00EB122C" w:rsidRDefault="00356B83" w:rsidP="001E612D">
            <w:pPr>
              <w:jc w:val="both"/>
              <w:rPr>
                <w:sz w:val="20"/>
              </w:rPr>
            </w:pPr>
            <w:r w:rsidRPr="00EB122C">
              <w:rPr>
                <w:sz w:val="20"/>
              </w:rPr>
              <w:t>Strategy and Planning</w:t>
            </w:r>
          </w:p>
        </w:tc>
        <w:tc>
          <w:tcPr>
            <w:tcW w:w="1559" w:type="dxa"/>
          </w:tcPr>
          <w:p w:rsidR="00356B83" w:rsidRPr="00EB122C" w:rsidRDefault="00356B83" w:rsidP="00322BDC">
            <w:pPr>
              <w:ind w:right="136"/>
              <w:jc w:val="right"/>
              <w:rPr>
                <w:sz w:val="20"/>
              </w:rPr>
            </w:pPr>
            <w:r>
              <w:rPr>
                <w:sz w:val="20"/>
              </w:rPr>
              <w:t>8,382</w:t>
            </w:r>
          </w:p>
        </w:tc>
        <w:tc>
          <w:tcPr>
            <w:tcW w:w="2552" w:type="dxa"/>
          </w:tcPr>
          <w:p w:rsidR="00356B83" w:rsidRPr="00EB122C" w:rsidRDefault="00356B83" w:rsidP="00322BDC">
            <w:pPr>
              <w:ind w:right="136"/>
              <w:jc w:val="right"/>
              <w:rPr>
                <w:sz w:val="20"/>
              </w:rPr>
            </w:pPr>
            <w:r>
              <w:rPr>
                <w:sz w:val="20"/>
              </w:rPr>
              <w:t>-</w:t>
            </w:r>
          </w:p>
        </w:tc>
        <w:tc>
          <w:tcPr>
            <w:tcW w:w="1701" w:type="dxa"/>
          </w:tcPr>
          <w:p w:rsidR="00356B83" w:rsidRPr="00EB122C" w:rsidRDefault="00356B83" w:rsidP="00BC7918">
            <w:pPr>
              <w:ind w:right="136"/>
              <w:jc w:val="right"/>
              <w:rPr>
                <w:sz w:val="20"/>
              </w:rPr>
            </w:pPr>
            <w:r>
              <w:rPr>
                <w:sz w:val="20"/>
              </w:rPr>
              <w:t>8,382</w:t>
            </w:r>
          </w:p>
        </w:tc>
        <w:tc>
          <w:tcPr>
            <w:tcW w:w="2551" w:type="dxa"/>
          </w:tcPr>
          <w:p w:rsidR="00356B83" w:rsidRPr="00F87596" w:rsidRDefault="00BC7918" w:rsidP="00322BDC">
            <w:pPr>
              <w:jc w:val="right"/>
              <w:rPr>
                <w:sz w:val="20"/>
              </w:rPr>
            </w:pPr>
            <w:r w:rsidRPr="00F87596">
              <w:rPr>
                <w:sz w:val="20"/>
              </w:rPr>
              <w:t>(916)</w:t>
            </w:r>
          </w:p>
        </w:tc>
        <w:tc>
          <w:tcPr>
            <w:tcW w:w="2694" w:type="dxa"/>
          </w:tcPr>
          <w:p w:rsidR="00356B83" w:rsidRPr="00F87596" w:rsidRDefault="00BC7918" w:rsidP="00322BDC">
            <w:pPr>
              <w:jc w:val="right"/>
              <w:rPr>
                <w:sz w:val="20"/>
              </w:rPr>
            </w:pPr>
            <w:r w:rsidRPr="00F87596">
              <w:rPr>
                <w:sz w:val="20"/>
              </w:rPr>
              <w:t>7,466</w:t>
            </w:r>
          </w:p>
        </w:tc>
      </w:tr>
      <w:tr w:rsidR="00356B83" w:rsidTr="00DB69E3">
        <w:tc>
          <w:tcPr>
            <w:tcW w:w="3641" w:type="dxa"/>
          </w:tcPr>
          <w:p w:rsidR="00356B83" w:rsidRPr="00EB122C" w:rsidRDefault="00356B83" w:rsidP="001E612D">
            <w:pPr>
              <w:jc w:val="both"/>
              <w:rPr>
                <w:sz w:val="20"/>
              </w:rPr>
            </w:pPr>
            <w:r w:rsidRPr="00EB122C">
              <w:rPr>
                <w:sz w:val="20"/>
              </w:rPr>
              <w:t>People and Development</w:t>
            </w:r>
          </w:p>
        </w:tc>
        <w:tc>
          <w:tcPr>
            <w:tcW w:w="1559" w:type="dxa"/>
          </w:tcPr>
          <w:p w:rsidR="00356B83" w:rsidRPr="00EB122C" w:rsidRDefault="00356B83" w:rsidP="00322BDC">
            <w:pPr>
              <w:ind w:right="136"/>
              <w:jc w:val="right"/>
              <w:rPr>
                <w:sz w:val="20"/>
              </w:rPr>
            </w:pPr>
            <w:r>
              <w:rPr>
                <w:sz w:val="20"/>
              </w:rPr>
              <w:t>1,166</w:t>
            </w:r>
          </w:p>
        </w:tc>
        <w:tc>
          <w:tcPr>
            <w:tcW w:w="2552" w:type="dxa"/>
          </w:tcPr>
          <w:p w:rsidR="00356B83" w:rsidRPr="00EB122C" w:rsidRDefault="00356B83" w:rsidP="00322BDC">
            <w:pPr>
              <w:ind w:right="136"/>
              <w:jc w:val="right"/>
              <w:rPr>
                <w:sz w:val="20"/>
              </w:rPr>
            </w:pPr>
            <w:r>
              <w:rPr>
                <w:sz w:val="20"/>
              </w:rPr>
              <w:t>-</w:t>
            </w:r>
          </w:p>
        </w:tc>
        <w:tc>
          <w:tcPr>
            <w:tcW w:w="1701" w:type="dxa"/>
          </w:tcPr>
          <w:p w:rsidR="00356B83" w:rsidRPr="00EB122C" w:rsidRDefault="00356B83" w:rsidP="00BC7918">
            <w:pPr>
              <w:ind w:right="136"/>
              <w:jc w:val="right"/>
              <w:rPr>
                <w:sz w:val="20"/>
              </w:rPr>
            </w:pPr>
            <w:r>
              <w:rPr>
                <w:sz w:val="20"/>
              </w:rPr>
              <w:t>1,166</w:t>
            </w:r>
          </w:p>
        </w:tc>
        <w:tc>
          <w:tcPr>
            <w:tcW w:w="2551" w:type="dxa"/>
          </w:tcPr>
          <w:p w:rsidR="00356B83" w:rsidRPr="00F87596" w:rsidRDefault="00BC7918" w:rsidP="00322BDC">
            <w:pPr>
              <w:jc w:val="right"/>
              <w:rPr>
                <w:sz w:val="20"/>
              </w:rPr>
            </w:pPr>
            <w:r w:rsidRPr="00F87596">
              <w:rPr>
                <w:sz w:val="20"/>
              </w:rPr>
              <w:t>137</w:t>
            </w:r>
          </w:p>
        </w:tc>
        <w:tc>
          <w:tcPr>
            <w:tcW w:w="2694" w:type="dxa"/>
          </w:tcPr>
          <w:p w:rsidR="00356B83" w:rsidRPr="00F87596" w:rsidRDefault="00BC7918" w:rsidP="00322BDC">
            <w:pPr>
              <w:jc w:val="right"/>
              <w:rPr>
                <w:sz w:val="20"/>
              </w:rPr>
            </w:pPr>
            <w:r w:rsidRPr="00F87596">
              <w:rPr>
                <w:sz w:val="20"/>
              </w:rPr>
              <w:t>1,303</w:t>
            </w:r>
          </w:p>
        </w:tc>
      </w:tr>
      <w:tr w:rsidR="00356B83" w:rsidTr="00DB69E3">
        <w:tc>
          <w:tcPr>
            <w:tcW w:w="3641" w:type="dxa"/>
          </w:tcPr>
          <w:p w:rsidR="00356B83" w:rsidRPr="00EB122C" w:rsidRDefault="00356B83" w:rsidP="001E612D">
            <w:pPr>
              <w:jc w:val="both"/>
              <w:rPr>
                <w:sz w:val="20"/>
              </w:rPr>
            </w:pPr>
            <w:r w:rsidRPr="00EB122C">
              <w:rPr>
                <w:sz w:val="20"/>
              </w:rPr>
              <w:t>Corporate Services</w:t>
            </w:r>
          </w:p>
        </w:tc>
        <w:tc>
          <w:tcPr>
            <w:tcW w:w="1559" w:type="dxa"/>
          </w:tcPr>
          <w:p w:rsidR="00356B83" w:rsidRPr="00EB122C" w:rsidRDefault="00356B83" w:rsidP="00322BDC">
            <w:pPr>
              <w:ind w:right="136"/>
              <w:jc w:val="right"/>
              <w:rPr>
                <w:sz w:val="20"/>
              </w:rPr>
            </w:pPr>
            <w:r>
              <w:rPr>
                <w:sz w:val="20"/>
              </w:rPr>
              <w:t>4,111</w:t>
            </w:r>
          </w:p>
        </w:tc>
        <w:tc>
          <w:tcPr>
            <w:tcW w:w="2552" w:type="dxa"/>
          </w:tcPr>
          <w:p w:rsidR="00356B83" w:rsidRPr="00EB122C" w:rsidRDefault="00356B83" w:rsidP="00322BDC">
            <w:pPr>
              <w:ind w:right="136"/>
              <w:jc w:val="right"/>
              <w:rPr>
                <w:sz w:val="20"/>
              </w:rPr>
            </w:pPr>
            <w:r>
              <w:rPr>
                <w:sz w:val="20"/>
              </w:rPr>
              <w:t>-</w:t>
            </w:r>
          </w:p>
        </w:tc>
        <w:tc>
          <w:tcPr>
            <w:tcW w:w="1701" w:type="dxa"/>
          </w:tcPr>
          <w:p w:rsidR="00356B83" w:rsidRPr="00EB122C" w:rsidRDefault="00356B83" w:rsidP="00BC7918">
            <w:pPr>
              <w:ind w:right="136"/>
              <w:jc w:val="right"/>
              <w:rPr>
                <w:sz w:val="20"/>
              </w:rPr>
            </w:pPr>
            <w:r>
              <w:rPr>
                <w:sz w:val="20"/>
              </w:rPr>
              <w:t>4,111</w:t>
            </w:r>
          </w:p>
        </w:tc>
        <w:tc>
          <w:tcPr>
            <w:tcW w:w="2551" w:type="dxa"/>
          </w:tcPr>
          <w:p w:rsidR="00356B83" w:rsidRPr="00F87596" w:rsidRDefault="00BC7918" w:rsidP="00322BDC">
            <w:pPr>
              <w:jc w:val="right"/>
              <w:rPr>
                <w:sz w:val="20"/>
              </w:rPr>
            </w:pPr>
            <w:r w:rsidRPr="00F87596">
              <w:rPr>
                <w:sz w:val="20"/>
              </w:rPr>
              <w:t>55</w:t>
            </w:r>
          </w:p>
        </w:tc>
        <w:tc>
          <w:tcPr>
            <w:tcW w:w="2694" w:type="dxa"/>
          </w:tcPr>
          <w:p w:rsidR="00356B83" w:rsidRPr="00F87596" w:rsidRDefault="00BC7918" w:rsidP="00F87596">
            <w:pPr>
              <w:jc w:val="right"/>
              <w:rPr>
                <w:sz w:val="20"/>
              </w:rPr>
            </w:pPr>
            <w:r w:rsidRPr="00F87596">
              <w:rPr>
                <w:sz w:val="20"/>
              </w:rPr>
              <w:t>4,</w:t>
            </w:r>
            <w:r w:rsidR="00F87596" w:rsidRPr="00F87596">
              <w:rPr>
                <w:sz w:val="20"/>
              </w:rPr>
              <w:t>16</w:t>
            </w:r>
            <w:r w:rsidR="00F87596">
              <w:rPr>
                <w:sz w:val="20"/>
              </w:rPr>
              <w:t>5</w:t>
            </w:r>
          </w:p>
        </w:tc>
      </w:tr>
      <w:tr w:rsidR="00356B83" w:rsidTr="00DB69E3">
        <w:tc>
          <w:tcPr>
            <w:tcW w:w="3641" w:type="dxa"/>
          </w:tcPr>
          <w:p w:rsidR="00356B83" w:rsidRPr="00EB122C" w:rsidRDefault="00356B83" w:rsidP="001E612D">
            <w:pPr>
              <w:jc w:val="both"/>
              <w:rPr>
                <w:sz w:val="20"/>
              </w:rPr>
            </w:pPr>
            <w:r w:rsidRPr="00EB122C">
              <w:rPr>
                <w:sz w:val="20"/>
              </w:rPr>
              <w:t>Firefighters Pensions</w:t>
            </w:r>
          </w:p>
        </w:tc>
        <w:tc>
          <w:tcPr>
            <w:tcW w:w="1559" w:type="dxa"/>
          </w:tcPr>
          <w:p w:rsidR="00356B83" w:rsidRPr="00EB122C" w:rsidRDefault="00356B83" w:rsidP="00322BDC">
            <w:pPr>
              <w:ind w:right="136"/>
              <w:jc w:val="right"/>
              <w:rPr>
                <w:sz w:val="20"/>
              </w:rPr>
            </w:pPr>
            <w:r>
              <w:rPr>
                <w:sz w:val="20"/>
              </w:rPr>
              <w:t>1,138</w:t>
            </w:r>
          </w:p>
        </w:tc>
        <w:tc>
          <w:tcPr>
            <w:tcW w:w="2552" w:type="dxa"/>
          </w:tcPr>
          <w:p w:rsidR="00356B83" w:rsidRPr="00EB122C" w:rsidRDefault="00356B83" w:rsidP="00322BDC">
            <w:pPr>
              <w:ind w:right="136"/>
              <w:jc w:val="right"/>
              <w:rPr>
                <w:sz w:val="20"/>
              </w:rPr>
            </w:pPr>
            <w:r>
              <w:rPr>
                <w:sz w:val="20"/>
              </w:rPr>
              <w:t>-</w:t>
            </w:r>
          </w:p>
        </w:tc>
        <w:tc>
          <w:tcPr>
            <w:tcW w:w="1701" w:type="dxa"/>
          </w:tcPr>
          <w:p w:rsidR="00356B83" w:rsidRPr="00EB122C" w:rsidRDefault="00356B83" w:rsidP="00BC7918">
            <w:pPr>
              <w:ind w:right="136"/>
              <w:jc w:val="right"/>
              <w:rPr>
                <w:sz w:val="20"/>
              </w:rPr>
            </w:pPr>
            <w:r>
              <w:rPr>
                <w:sz w:val="20"/>
              </w:rPr>
              <w:t>1,138</w:t>
            </w:r>
          </w:p>
        </w:tc>
        <w:tc>
          <w:tcPr>
            <w:tcW w:w="2551" w:type="dxa"/>
          </w:tcPr>
          <w:p w:rsidR="00356B83" w:rsidRPr="00F87596" w:rsidRDefault="00BC7918" w:rsidP="00322BDC">
            <w:pPr>
              <w:jc w:val="right"/>
              <w:rPr>
                <w:sz w:val="20"/>
              </w:rPr>
            </w:pPr>
            <w:r w:rsidRPr="00F87596">
              <w:rPr>
                <w:sz w:val="20"/>
              </w:rPr>
              <w:t>-</w:t>
            </w:r>
          </w:p>
        </w:tc>
        <w:tc>
          <w:tcPr>
            <w:tcW w:w="2694" w:type="dxa"/>
          </w:tcPr>
          <w:p w:rsidR="00356B83" w:rsidRPr="00F87596" w:rsidRDefault="00BC7918" w:rsidP="00322BDC">
            <w:pPr>
              <w:jc w:val="right"/>
              <w:rPr>
                <w:sz w:val="20"/>
              </w:rPr>
            </w:pPr>
            <w:r w:rsidRPr="00F87596">
              <w:rPr>
                <w:sz w:val="20"/>
              </w:rPr>
              <w:t>1,138</w:t>
            </w:r>
          </w:p>
        </w:tc>
      </w:tr>
      <w:tr w:rsidR="000D5389" w:rsidTr="00DB69E3">
        <w:tc>
          <w:tcPr>
            <w:tcW w:w="3641" w:type="dxa"/>
          </w:tcPr>
          <w:p w:rsidR="000D5389" w:rsidRPr="00EB122C" w:rsidRDefault="000D5389" w:rsidP="001E612D">
            <w:pPr>
              <w:jc w:val="both"/>
              <w:rPr>
                <w:sz w:val="20"/>
              </w:rPr>
            </w:pPr>
            <w:r w:rsidRPr="00EB122C">
              <w:rPr>
                <w:sz w:val="20"/>
              </w:rPr>
              <w:t>Overheads</w:t>
            </w:r>
          </w:p>
        </w:tc>
        <w:tc>
          <w:tcPr>
            <w:tcW w:w="1559" w:type="dxa"/>
          </w:tcPr>
          <w:p w:rsidR="000D5389" w:rsidRPr="00EB122C" w:rsidRDefault="00356B83" w:rsidP="00322BDC">
            <w:pPr>
              <w:ind w:right="136"/>
              <w:jc w:val="right"/>
              <w:rPr>
                <w:sz w:val="20"/>
              </w:rPr>
            </w:pPr>
            <w:r>
              <w:rPr>
                <w:sz w:val="20"/>
              </w:rPr>
              <w:t>3,942</w:t>
            </w:r>
          </w:p>
        </w:tc>
        <w:tc>
          <w:tcPr>
            <w:tcW w:w="2552" w:type="dxa"/>
          </w:tcPr>
          <w:p w:rsidR="000D5389" w:rsidRPr="00EB122C" w:rsidRDefault="00356B83" w:rsidP="00322BDC">
            <w:pPr>
              <w:ind w:right="136"/>
              <w:jc w:val="right"/>
              <w:rPr>
                <w:sz w:val="20"/>
              </w:rPr>
            </w:pPr>
            <w:r>
              <w:rPr>
                <w:sz w:val="20"/>
              </w:rPr>
              <w:t>(17)</w:t>
            </w:r>
          </w:p>
        </w:tc>
        <w:tc>
          <w:tcPr>
            <w:tcW w:w="1701" w:type="dxa"/>
          </w:tcPr>
          <w:p w:rsidR="000D5389" w:rsidRPr="00EB122C" w:rsidRDefault="00356B83" w:rsidP="00322BDC">
            <w:pPr>
              <w:ind w:right="136"/>
              <w:jc w:val="right"/>
              <w:rPr>
                <w:sz w:val="20"/>
              </w:rPr>
            </w:pPr>
            <w:r>
              <w:rPr>
                <w:sz w:val="20"/>
              </w:rPr>
              <w:t>3,925</w:t>
            </w:r>
          </w:p>
        </w:tc>
        <w:tc>
          <w:tcPr>
            <w:tcW w:w="2551" w:type="dxa"/>
          </w:tcPr>
          <w:p w:rsidR="000D5389" w:rsidRPr="00F87596" w:rsidRDefault="00BC7918" w:rsidP="00322BDC">
            <w:pPr>
              <w:jc w:val="right"/>
              <w:rPr>
                <w:sz w:val="20"/>
              </w:rPr>
            </w:pPr>
            <w:r w:rsidRPr="00F87596">
              <w:rPr>
                <w:sz w:val="20"/>
              </w:rPr>
              <w:t>720</w:t>
            </w:r>
          </w:p>
        </w:tc>
        <w:tc>
          <w:tcPr>
            <w:tcW w:w="2694" w:type="dxa"/>
          </w:tcPr>
          <w:p w:rsidR="000D5389" w:rsidRPr="00F87596" w:rsidRDefault="00BC7918" w:rsidP="00F87596">
            <w:pPr>
              <w:jc w:val="right"/>
              <w:rPr>
                <w:sz w:val="20"/>
              </w:rPr>
            </w:pPr>
            <w:r w:rsidRPr="00F87596">
              <w:rPr>
                <w:sz w:val="20"/>
              </w:rPr>
              <w:t>4,</w:t>
            </w:r>
            <w:r w:rsidR="00F87596" w:rsidRPr="00F87596">
              <w:rPr>
                <w:sz w:val="20"/>
              </w:rPr>
              <w:t>64</w:t>
            </w:r>
            <w:r w:rsidR="00F87596">
              <w:rPr>
                <w:sz w:val="20"/>
              </w:rPr>
              <w:t>6</w:t>
            </w:r>
          </w:p>
        </w:tc>
      </w:tr>
      <w:tr w:rsidR="000D5389" w:rsidTr="00DB69E3">
        <w:tc>
          <w:tcPr>
            <w:tcW w:w="3641" w:type="dxa"/>
          </w:tcPr>
          <w:p w:rsidR="000D5389" w:rsidRPr="00EB122C" w:rsidRDefault="000D5389" w:rsidP="001E612D">
            <w:pPr>
              <w:jc w:val="both"/>
              <w:rPr>
                <w:b/>
                <w:sz w:val="20"/>
              </w:rPr>
            </w:pP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EB122C" w:rsidRDefault="000D5389" w:rsidP="00322BDC">
            <w:pPr>
              <w:ind w:right="136"/>
              <w:jc w:val="right"/>
              <w:rPr>
                <w:sz w:val="20"/>
              </w:rPr>
            </w:pPr>
          </w:p>
        </w:tc>
        <w:tc>
          <w:tcPr>
            <w:tcW w:w="2551" w:type="dxa"/>
          </w:tcPr>
          <w:p w:rsidR="000D5389" w:rsidRPr="00F87596" w:rsidRDefault="000D5389" w:rsidP="00322BDC">
            <w:pPr>
              <w:jc w:val="right"/>
              <w:rPr>
                <w:b/>
                <w:sz w:val="20"/>
              </w:rPr>
            </w:pPr>
          </w:p>
        </w:tc>
        <w:tc>
          <w:tcPr>
            <w:tcW w:w="2694" w:type="dxa"/>
          </w:tcPr>
          <w:p w:rsidR="000D5389" w:rsidRPr="00F87596" w:rsidRDefault="000D5389" w:rsidP="00322BDC">
            <w:pPr>
              <w:jc w:val="right"/>
              <w:rPr>
                <w:b/>
                <w:sz w:val="20"/>
              </w:rPr>
            </w:pPr>
          </w:p>
        </w:tc>
      </w:tr>
      <w:tr w:rsidR="000D5389" w:rsidTr="00DB69E3">
        <w:tc>
          <w:tcPr>
            <w:tcW w:w="3641" w:type="dxa"/>
          </w:tcPr>
          <w:p w:rsidR="000D5389" w:rsidRPr="00EB122C" w:rsidRDefault="000D5389" w:rsidP="001E612D">
            <w:pPr>
              <w:jc w:val="both"/>
              <w:rPr>
                <w:b/>
                <w:sz w:val="20"/>
              </w:rPr>
            </w:pPr>
            <w:r w:rsidRPr="00EB122C">
              <w:rPr>
                <w:b/>
                <w:sz w:val="20"/>
              </w:rPr>
              <w:t>Net cost of Services</w:t>
            </w:r>
          </w:p>
        </w:tc>
        <w:tc>
          <w:tcPr>
            <w:tcW w:w="1559" w:type="dxa"/>
          </w:tcPr>
          <w:p w:rsidR="000D5389" w:rsidRPr="00EB122C" w:rsidRDefault="00356B83" w:rsidP="00322BDC">
            <w:pPr>
              <w:ind w:right="136"/>
              <w:jc w:val="right"/>
              <w:rPr>
                <w:sz w:val="20"/>
              </w:rPr>
            </w:pPr>
            <w:r>
              <w:rPr>
                <w:sz w:val="20"/>
              </w:rPr>
              <w:t>53,975</w:t>
            </w:r>
          </w:p>
        </w:tc>
        <w:tc>
          <w:tcPr>
            <w:tcW w:w="2552" w:type="dxa"/>
          </w:tcPr>
          <w:p w:rsidR="000D5389" w:rsidRPr="00EB122C" w:rsidRDefault="00356B83" w:rsidP="00322BDC">
            <w:pPr>
              <w:ind w:right="136"/>
              <w:jc w:val="right"/>
              <w:rPr>
                <w:sz w:val="20"/>
              </w:rPr>
            </w:pPr>
            <w:r>
              <w:rPr>
                <w:sz w:val="20"/>
              </w:rPr>
              <w:t>(17)</w:t>
            </w:r>
          </w:p>
        </w:tc>
        <w:tc>
          <w:tcPr>
            <w:tcW w:w="1701" w:type="dxa"/>
          </w:tcPr>
          <w:p w:rsidR="000D5389" w:rsidRPr="00EB122C" w:rsidRDefault="00356B83" w:rsidP="00322BDC">
            <w:pPr>
              <w:ind w:right="136"/>
              <w:jc w:val="right"/>
              <w:rPr>
                <w:sz w:val="20"/>
              </w:rPr>
            </w:pPr>
            <w:r>
              <w:rPr>
                <w:sz w:val="20"/>
              </w:rPr>
              <w:t>53,958</w:t>
            </w:r>
          </w:p>
        </w:tc>
        <w:tc>
          <w:tcPr>
            <w:tcW w:w="2551" w:type="dxa"/>
          </w:tcPr>
          <w:p w:rsidR="000D5389" w:rsidRPr="00F87596" w:rsidRDefault="00BC7918" w:rsidP="00F87596">
            <w:pPr>
              <w:jc w:val="right"/>
              <w:rPr>
                <w:b/>
                <w:sz w:val="20"/>
              </w:rPr>
            </w:pPr>
            <w:r w:rsidRPr="00F87596">
              <w:rPr>
                <w:b/>
                <w:sz w:val="20"/>
              </w:rPr>
              <w:t>(</w:t>
            </w:r>
            <w:r w:rsidR="00F87596">
              <w:rPr>
                <w:b/>
                <w:sz w:val="20"/>
              </w:rPr>
              <w:t>7,832</w:t>
            </w:r>
            <w:r w:rsidRPr="00F87596">
              <w:rPr>
                <w:b/>
                <w:sz w:val="20"/>
              </w:rPr>
              <w:t>)</w:t>
            </w:r>
          </w:p>
        </w:tc>
        <w:tc>
          <w:tcPr>
            <w:tcW w:w="2694" w:type="dxa"/>
          </w:tcPr>
          <w:p w:rsidR="000D5389" w:rsidRPr="00F87596" w:rsidRDefault="00F87596" w:rsidP="00322BDC">
            <w:pPr>
              <w:jc w:val="right"/>
              <w:rPr>
                <w:b/>
                <w:sz w:val="20"/>
              </w:rPr>
            </w:pPr>
            <w:r>
              <w:rPr>
                <w:b/>
                <w:sz w:val="20"/>
              </w:rPr>
              <w:t>46,126</w:t>
            </w:r>
          </w:p>
        </w:tc>
      </w:tr>
      <w:tr w:rsidR="000D5389" w:rsidTr="00DB69E3">
        <w:tc>
          <w:tcPr>
            <w:tcW w:w="3641" w:type="dxa"/>
          </w:tcPr>
          <w:p w:rsidR="000D5389" w:rsidRPr="00EB122C" w:rsidRDefault="000D5389" w:rsidP="001E612D">
            <w:pPr>
              <w:jc w:val="both"/>
              <w:rPr>
                <w:sz w:val="20"/>
              </w:rPr>
            </w:pP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EB122C" w:rsidRDefault="000D5389" w:rsidP="00322BDC">
            <w:pPr>
              <w:ind w:right="136"/>
              <w:jc w:val="right"/>
              <w:rPr>
                <w:sz w:val="20"/>
              </w:rPr>
            </w:pPr>
          </w:p>
        </w:tc>
        <w:tc>
          <w:tcPr>
            <w:tcW w:w="2551" w:type="dxa"/>
          </w:tcPr>
          <w:p w:rsidR="000D5389" w:rsidRPr="00F87596" w:rsidRDefault="000D5389" w:rsidP="00322BDC">
            <w:pPr>
              <w:jc w:val="right"/>
              <w:rPr>
                <w:sz w:val="20"/>
              </w:rPr>
            </w:pPr>
          </w:p>
        </w:tc>
        <w:tc>
          <w:tcPr>
            <w:tcW w:w="2694" w:type="dxa"/>
          </w:tcPr>
          <w:p w:rsidR="000D5389" w:rsidRPr="00F87596" w:rsidRDefault="000D5389" w:rsidP="00322BDC">
            <w:pPr>
              <w:jc w:val="right"/>
              <w:rPr>
                <w:sz w:val="20"/>
              </w:rPr>
            </w:pPr>
          </w:p>
        </w:tc>
      </w:tr>
      <w:tr w:rsidR="000D5389" w:rsidTr="00DB69E3">
        <w:tc>
          <w:tcPr>
            <w:tcW w:w="3641" w:type="dxa"/>
          </w:tcPr>
          <w:p w:rsidR="000D5389" w:rsidRPr="00EB122C" w:rsidRDefault="000D5389" w:rsidP="001E612D">
            <w:pPr>
              <w:jc w:val="both"/>
              <w:rPr>
                <w:sz w:val="20"/>
              </w:rPr>
            </w:pPr>
            <w:r w:rsidRPr="00EB122C">
              <w:rPr>
                <w:sz w:val="20"/>
              </w:rPr>
              <w:t>Other income and expenditure</w:t>
            </w:r>
          </w:p>
        </w:tc>
        <w:tc>
          <w:tcPr>
            <w:tcW w:w="1559" w:type="dxa"/>
          </w:tcPr>
          <w:p w:rsidR="000D5389" w:rsidRPr="00EB122C" w:rsidRDefault="00356B83" w:rsidP="00322BDC">
            <w:pPr>
              <w:ind w:right="136"/>
              <w:jc w:val="right"/>
              <w:rPr>
                <w:sz w:val="20"/>
              </w:rPr>
            </w:pPr>
            <w:r>
              <w:rPr>
                <w:sz w:val="20"/>
              </w:rPr>
              <w:t>(53,968)</w:t>
            </w:r>
          </w:p>
        </w:tc>
        <w:tc>
          <w:tcPr>
            <w:tcW w:w="2552" w:type="dxa"/>
          </w:tcPr>
          <w:p w:rsidR="000D5389" w:rsidRPr="00EB122C" w:rsidRDefault="00356B83" w:rsidP="00322BDC">
            <w:pPr>
              <w:ind w:right="136"/>
              <w:jc w:val="right"/>
              <w:rPr>
                <w:sz w:val="20"/>
              </w:rPr>
            </w:pPr>
            <w:r>
              <w:rPr>
                <w:sz w:val="20"/>
              </w:rPr>
              <w:t>-</w:t>
            </w:r>
          </w:p>
        </w:tc>
        <w:tc>
          <w:tcPr>
            <w:tcW w:w="1701" w:type="dxa"/>
          </w:tcPr>
          <w:p w:rsidR="000D5389" w:rsidRPr="00EB122C" w:rsidRDefault="00356B83" w:rsidP="00322BDC">
            <w:pPr>
              <w:ind w:right="136"/>
              <w:jc w:val="right"/>
              <w:rPr>
                <w:sz w:val="20"/>
              </w:rPr>
            </w:pPr>
            <w:r>
              <w:rPr>
                <w:sz w:val="20"/>
              </w:rPr>
              <w:t>(53,968)</w:t>
            </w:r>
          </w:p>
        </w:tc>
        <w:tc>
          <w:tcPr>
            <w:tcW w:w="2551" w:type="dxa"/>
          </w:tcPr>
          <w:p w:rsidR="000D5389" w:rsidRPr="00F87596" w:rsidRDefault="00BC7918" w:rsidP="00F87596">
            <w:pPr>
              <w:jc w:val="right"/>
              <w:rPr>
                <w:sz w:val="20"/>
              </w:rPr>
            </w:pPr>
            <w:r w:rsidRPr="00F87596">
              <w:rPr>
                <w:sz w:val="20"/>
              </w:rPr>
              <w:t>22,</w:t>
            </w:r>
            <w:r w:rsidR="00F87596">
              <w:rPr>
                <w:sz w:val="20"/>
              </w:rPr>
              <w:t>263</w:t>
            </w:r>
          </w:p>
        </w:tc>
        <w:tc>
          <w:tcPr>
            <w:tcW w:w="2694" w:type="dxa"/>
          </w:tcPr>
          <w:p w:rsidR="000D5389" w:rsidRPr="00F87596" w:rsidRDefault="00BC7918" w:rsidP="00F87596">
            <w:pPr>
              <w:jc w:val="right"/>
              <w:rPr>
                <w:sz w:val="20"/>
              </w:rPr>
            </w:pPr>
            <w:r w:rsidRPr="00F87596">
              <w:rPr>
                <w:sz w:val="20"/>
              </w:rPr>
              <w:t>(31,</w:t>
            </w:r>
            <w:r w:rsidR="00F87596">
              <w:rPr>
                <w:sz w:val="20"/>
              </w:rPr>
              <w:t>706</w:t>
            </w:r>
            <w:r w:rsidRPr="00F87596">
              <w:rPr>
                <w:sz w:val="20"/>
              </w:rPr>
              <w:t>)</w:t>
            </w:r>
          </w:p>
        </w:tc>
      </w:tr>
      <w:tr w:rsidR="000D5389" w:rsidTr="00DB69E3">
        <w:tc>
          <w:tcPr>
            <w:tcW w:w="3641" w:type="dxa"/>
          </w:tcPr>
          <w:p w:rsidR="000D5389" w:rsidRPr="00EB122C" w:rsidRDefault="000D5389" w:rsidP="001E612D">
            <w:pPr>
              <w:jc w:val="both"/>
              <w:rPr>
                <w:b/>
                <w:sz w:val="20"/>
              </w:rPr>
            </w:pP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EB122C" w:rsidRDefault="000D5389" w:rsidP="00322BDC">
            <w:pPr>
              <w:ind w:right="136"/>
              <w:jc w:val="right"/>
              <w:rPr>
                <w:sz w:val="20"/>
              </w:rPr>
            </w:pPr>
          </w:p>
        </w:tc>
        <w:tc>
          <w:tcPr>
            <w:tcW w:w="2551" w:type="dxa"/>
          </w:tcPr>
          <w:p w:rsidR="000D5389" w:rsidRPr="00F87596" w:rsidRDefault="000D5389" w:rsidP="00322BDC">
            <w:pPr>
              <w:jc w:val="right"/>
              <w:rPr>
                <w:b/>
                <w:sz w:val="20"/>
              </w:rPr>
            </w:pPr>
          </w:p>
        </w:tc>
        <w:tc>
          <w:tcPr>
            <w:tcW w:w="2694" w:type="dxa"/>
          </w:tcPr>
          <w:p w:rsidR="000D5389" w:rsidRPr="00F87596" w:rsidRDefault="000D5389" w:rsidP="00322BDC">
            <w:pPr>
              <w:jc w:val="right"/>
              <w:rPr>
                <w:b/>
                <w:sz w:val="20"/>
              </w:rPr>
            </w:pPr>
          </w:p>
        </w:tc>
      </w:tr>
      <w:tr w:rsidR="000D5389" w:rsidTr="00DB69E3">
        <w:tc>
          <w:tcPr>
            <w:tcW w:w="3641" w:type="dxa"/>
          </w:tcPr>
          <w:p w:rsidR="000D5389" w:rsidRPr="00EB122C" w:rsidRDefault="009A5B31" w:rsidP="001E612D">
            <w:pPr>
              <w:jc w:val="both"/>
              <w:rPr>
                <w:b/>
                <w:sz w:val="20"/>
              </w:rPr>
            </w:pPr>
            <w:r>
              <w:rPr>
                <w:b/>
                <w:sz w:val="20"/>
              </w:rPr>
              <w:t>Surplus</w:t>
            </w:r>
            <w:r w:rsidR="000D5389" w:rsidRPr="00EB122C">
              <w:rPr>
                <w:b/>
                <w:sz w:val="20"/>
              </w:rPr>
              <w:t xml:space="preserve"> on provision of services</w:t>
            </w:r>
          </w:p>
        </w:tc>
        <w:tc>
          <w:tcPr>
            <w:tcW w:w="1559" w:type="dxa"/>
          </w:tcPr>
          <w:p w:rsidR="000D5389" w:rsidRPr="00EB122C" w:rsidRDefault="00356B83" w:rsidP="00322BDC">
            <w:pPr>
              <w:ind w:right="136"/>
              <w:jc w:val="right"/>
              <w:rPr>
                <w:sz w:val="20"/>
              </w:rPr>
            </w:pPr>
            <w:r>
              <w:rPr>
                <w:sz w:val="20"/>
              </w:rPr>
              <w:t>7</w:t>
            </w:r>
          </w:p>
        </w:tc>
        <w:tc>
          <w:tcPr>
            <w:tcW w:w="2552" w:type="dxa"/>
          </w:tcPr>
          <w:p w:rsidR="000D5389" w:rsidRPr="00EB122C" w:rsidRDefault="00356B83" w:rsidP="00322BDC">
            <w:pPr>
              <w:ind w:right="136"/>
              <w:jc w:val="right"/>
              <w:rPr>
                <w:sz w:val="20"/>
              </w:rPr>
            </w:pPr>
            <w:r>
              <w:rPr>
                <w:sz w:val="20"/>
              </w:rPr>
              <w:t>(17)</w:t>
            </w:r>
          </w:p>
        </w:tc>
        <w:tc>
          <w:tcPr>
            <w:tcW w:w="1701" w:type="dxa"/>
          </w:tcPr>
          <w:p w:rsidR="000D5389" w:rsidRPr="00EB122C" w:rsidRDefault="00356B83" w:rsidP="00322BDC">
            <w:pPr>
              <w:ind w:right="136"/>
              <w:jc w:val="right"/>
              <w:rPr>
                <w:sz w:val="20"/>
              </w:rPr>
            </w:pPr>
            <w:r>
              <w:rPr>
                <w:sz w:val="20"/>
              </w:rPr>
              <w:t>(10)</w:t>
            </w:r>
          </w:p>
        </w:tc>
        <w:tc>
          <w:tcPr>
            <w:tcW w:w="2551" w:type="dxa"/>
          </w:tcPr>
          <w:p w:rsidR="000D5389" w:rsidRPr="00F87596" w:rsidRDefault="00BC7918" w:rsidP="00F87596">
            <w:pPr>
              <w:jc w:val="right"/>
              <w:rPr>
                <w:b/>
                <w:sz w:val="20"/>
              </w:rPr>
            </w:pPr>
            <w:r w:rsidRPr="00F87596">
              <w:rPr>
                <w:b/>
                <w:sz w:val="20"/>
              </w:rPr>
              <w:t>14,</w:t>
            </w:r>
            <w:r w:rsidR="00F87596">
              <w:rPr>
                <w:b/>
                <w:sz w:val="20"/>
              </w:rPr>
              <w:t>430</w:t>
            </w:r>
          </w:p>
        </w:tc>
        <w:tc>
          <w:tcPr>
            <w:tcW w:w="2694" w:type="dxa"/>
          </w:tcPr>
          <w:p w:rsidR="000D5389" w:rsidRPr="00F87596" w:rsidRDefault="00F87596" w:rsidP="00F87596">
            <w:pPr>
              <w:jc w:val="right"/>
              <w:rPr>
                <w:b/>
                <w:sz w:val="20"/>
              </w:rPr>
            </w:pPr>
            <w:r>
              <w:rPr>
                <w:b/>
                <w:sz w:val="20"/>
              </w:rPr>
              <w:t>14</w:t>
            </w:r>
            <w:r w:rsidR="00127504" w:rsidRPr="00F87596">
              <w:rPr>
                <w:b/>
                <w:sz w:val="20"/>
              </w:rPr>
              <w:t>,</w:t>
            </w:r>
            <w:r>
              <w:rPr>
                <w:b/>
                <w:sz w:val="20"/>
              </w:rPr>
              <w:t>420</w:t>
            </w:r>
          </w:p>
        </w:tc>
      </w:tr>
      <w:tr w:rsidR="000D5389" w:rsidTr="00DB69E3">
        <w:tc>
          <w:tcPr>
            <w:tcW w:w="3641" w:type="dxa"/>
          </w:tcPr>
          <w:p w:rsidR="000D5389" w:rsidRPr="00EB122C" w:rsidRDefault="000D5389" w:rsidP="001E612D">
            <w:pPr>
              <w:jc w:val="both"/>
              <w:rPr>
                <w:sz w:val="20"/>
              </w:rPr>
            </w:pP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EB122C" w:rsidRDefault="000D5389" w:rsidP="00322BDC">
            <w:pPr>
              <w:ind w:right="136"/>
              <w:jc w:val="right"/>
              <w:rPr>
                <w:sz w:val="20"/>
              </w:rPr>
            </w:pPr>
          </w:p>
        </w:tc>
        <w:tc>
          <w:tcPr>
            <w:tcW w:w="2551" w:type="dxa"/>
          </w:tcPr>
          <w:p w:rsidR="000D5389" w:rsidRPr="00EB122C" w:rsidRDefault="000D5389" w:rsidP="00322BDC">
            <w:pPr>
              <w:jc w:val="right"/>
              <w:rPr>
                <w:sz w:val="20"/>
              </w:rPr>
            </w:pPr>
          </w:p>
        </w:tc>
        <w:tc>
          <w:tcPr>
            <w:tcW w:w="2694" w:type="dxa"/>
          </w:tcPr>
          <w:p w:rsidR="000D5389" w:rsidRPr="00EB122C" w:rsidRDefault="000D5389" w:rsidP="00322BDC">
            <w:pPr>
              <w:jc w:val="right"/>
              <w:rPr>
                <w:sz w:val="20"/>
              </w:rPr>
            </w:pPr>
          </w:p>
        </w:tc>
      </w:tr>
      <w:tr w:rsidR="000D5389" w:rsidTr="00356B83">
        <w:tc>
          <w:tcPr>
            <w:tcW w:w="3641" w:type="dxa"/>
          </w:tcPr>
          <w:p w:rsidR="000D5389" w:rsidRPr="00EB122C" w:rsidRDefault="000D5389" w:rsidP="001E612D">
            <w:pPr>
              <w:jc w:val="both"/>
              <w:rPr>
                <w:sz w:val="20"/>
              </w:rPr>
            </w:pPr>
            <w:r w:rsidRPr="00EB122C">
              <w:rPr>
                <w:sz w:val="20"/>
              </w:rPr>
              <w:t>Opening General Fund balance</w:t>
            </w: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F87596" w:rsidRDefault="00356B83" w:rsidP="00AE6636">
            <w:pPr>
              <w:ind w:right="136"/>
              <w:jc w:val="right"/>
              <w:rPr>
                <w:sz w:val="20"/>
              </w:rPr>
            </w:pPr>
            <w:r w:rsidRPr="00F87596">
              <w:rPr>
                <w:sz w:val="20"/>
              </w:rPr>
              <w:t>(10,</w:t>
            </w:r>
            <w:r w:rsidR="00AE6636">
              <w:rPr>
                <w:sz w:val="20"/>
              </w:rPr>
              <w:t>512</w:t>
            </w:r>
            <w:r w:rsidRPr="00F87596">
              <w:rPr>
                <w:sz w:val="20"/>
              </w:rPr>
              <w:t>)</w:t>
            </w:r>
          </w:p>
        </w:tc>
        <w:tc>
          <w:tcPr>
            <w:tcW w:w="2551" w:type="dxa"/>
          </w:tcPr>
          <w:p w:rsidR="000D5389" w:rsidRPr="00EB122C" w:rsidRDefault="000D5389" w:rsidP="00322BDC">
            <w:pPr>
              <w:jc w:val="right"/>
              <w:rPr>
                <w:sz w:val="20"/>
              </w:rPr>
            </w:pPr>
          </w:p>
        </w:tc>
        <w:tc>
          <w:tcPr>
            <w:tcW w:w="2694" w:type="dxa"/>
          </w:tcPr>
          <w:p w:rsidR="000D5389" w:rsidRPr="00EB122C" w:rsidRDefault="000D5389" w:rsidP="00322BDC">
            <w:pPr>
              <w:jc w:val="right"/>
              <w:rPr>
                <w:sz w:val="20"/>
              </w:rPr>
            </w:pPr>
          </w:p>
        </w:tc>
      </w:tr>
      <w:tr w:rsidR="00356B83" w:rsidTr="00AE6636">
        <w:tc>
          <w:tcPr>
            <w:tcW w:w="3641" w:type="dxa"/>
          </w:tcPr>
          <w:p w:rsidR="00356B83" w:rsidRPr="00EB122C" w:rsidRDefault="00356B83" w:rsidP="001E612D">
            <w:pPr>
              <w:jc w:val="both"/>
              <w:rPr>
                <w:sz w:val="20"/>
              </w:rPr>
            </w:pPr>
            <w:r>
              <w:rPr>
                <w:sz w:val="20"/>
              </w:rPr>
              <w:t>Less transfers to capital/earmarked reserves</w:t>
            </w:r>
          </w:p>
        </w:tc>
        <w:tc>
          <w:tcPr>
            <w:tcW w:w="1559" w:type="dxa"/>
          </w:tcPr>
          <w:p w:rsidR="00356B83" w:rsidRPr="00EB122C" w:rsidRDefault="00356B83" w:rsidP="00322BDC">
            <w:pPr>
              <w:ind w:right="136"/>
              <w:jc w:val="right"/>
              <w:rPr>
                <w:sz w:val="20"/>
              </w:rPr>
            </w:pPr>
          </w:p>
        </w:tc>
        <w:tc>
          <w:tcPr>
            <w:tcW w:w="2552" w:type="dxa"/>
          </w:tcPr>
          <w:p w:rsidR="00356B83" w:rsidRPr="00EB122C" w:rsidRDefault="00356B83" w:rsidP="00322BDC">
            <w:pPr>
              <w:ind w:right="136"/>
              <w:jc w:val="right"/>
              <w:rPr>
                <w:sz w:val="20"/>
              </w:rPr>
            </w:pPr>
          </w:p>
        </w:tc>
        <w:tc>
          <w:tcPr>
            <w:tcW w:w="1701" w:type="dxa"/>
          </w:tcPr>
          <w:p w:rsidR="00356B83" w:rsidRPr="00F87596" w:rsidRDefault="00356B83" w:rsidP="00322BDC">
            <w:pPr>
              <w:ind w:right="136"/>
              <w:jc w:val="right"/>
              <w:rPr>
                <w:sz w:val="20"/>
              </w:rPr>
            </w:pPr>
          </w:p>
          <w:p w:rsidR="00356B83" w:rsidRPr="00F87596" w:rsidRDefault="00356B83" w:rsidP="00322BDC">
            <w:pPr>
              <w:ind w:right="136"/>
              <w:jc w:val="right"/>
              <w:rPr>
                <w:sz w:val="20"/>
              </w:rPr>
            </w:pPr>
            <w:r w:rsidRPr="00F87596">
              <w:rPr>
                <w:sz w:val="20"/>
              </w:rPr>
              <w:t>2,628</w:t>
            </w:r>
          </w:p>
        </w:tc>
        <w:tc>
          <w:tcPr>
            <w:tcW w:w="2551" w:type="dxa"/>
          </w:tcPr>
          <w:p w:rsidR="00356B83" w:rsidRPr="00EB122C" w:rsidRDefault="00356B83" w:rsidP="00322BDC">
            <w:pPr>
              <w:jc w:val="right"/>
              <w:rPr>
                <w:sz w:val="20"/>
              </w:rPr>
            </w:pPr>
          </w:p>
        </w:tc>
        <w:tc>
          <w:tcPr>
            <w:tcW w:w="2694" w:type="dxa"/>
          </w:tcPr>
          <w:p w:rsidR="00356B83" w:rsidRPr="00EB122C" w:rsidRDefault="00356B83" w:rsidP="00322BDC">
            <w:pPr>
              <w:jc w:val="right"/>
              <w:rPr>
                <w:sz w:val="20"/>
              </w:rPr>
            </w:pPr>
          </w:p>
        </w:tc>
      </w:tr>
      <w:tr w:rsidR="000D5389" w:rsidTr="00AE6636">
        <w:tc>
          <w:tcPr>
            <w:tcW w:w="3641" w:type="dxa"/>
          </w:tcPr>
          <w:p w:rsidR="000D5389" w:rsidRPr="00EB122C" w:rsidRDefault="00356B83" w:rsidP="001E612D">
            <w:pPr>
              <w:jc w:val="both"/>
              <w:rPr>
                <w:sz w:val="20"/>
              </w:rPr>
            </w:pPr>
            <w:r>
              <w:rPr>
                <w:sz w:val="20"/>
              </w:rPr>
              <w:t>Surplus</w:t>
            </w:r>
            <w:r w:rsidR="000D5389" w:rsidRPr="00EB122C">
              <w:rPr>
                <w:sz w:val="20"/>
              </w:rPr>
              <w:t xml:space="preserve"> on provision of services</w:t>
            </w: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Pr>
          <w:p w:rsidR="000D5389" w:rsidRPr="00F87596" w:rsidRDefault="00356B83" w:rsidP="00322BDC">
            <w:pPr>
              <w:ind w:right="136"/>
              <w:jc w:val="right"/>
              <w:rPr>
                <w:sz w:val="20"/>
              </w:rPr>
            </w:pPr>
            <w:r w:rsidRPr="00F87596">
              <w:rPr>
                <w:sz w:val="20"/>
              </w:rPr>
              <w:t>(10)</w:t>
            </w:r>
          </w:p>
        </w:tc>
        <w:tc>
          <w:tcPr>
            <w:tcW w:w="2551" w:type="dxa"/>
          </w:tcPr>
          <w:p w:rsidR="000D5389" w:rsidRPr="00EB122C" w:rsidRDefault="000D5389" w:rsidP="00322BDC">
            <w:pPr>
              <w:jc w:val="right"/>
              <w:rPr>
                <w:sz w:val="20"/>
              </w:rPr>
            </w:pPr>
          </w:p>
        </w:tc>
        <w:tc>
          <w:tcPr>
            <w:tcW w:w="2694" w:type="dxa"/>
          </w:tcPr>
          <w:p w:rsidR="000D5389" w:rsidRPr="00EB122C" w:rsidRDefault="000D5389" w:rsidP="00322BDC">
            <w:pPr>
              <w:jc w:val="right"/>
              <w:rPr>
                <w:sz w:val="20"/>
              </w:rPr>
            </w:pPr>
          </w:p>
        </w:tc>
      </w:tr>
      <w:tr w:rsidR="00AE6636" w:rsidTr="00AE6636">
        <w:tc>
          <w:tcPr>
            <w:tcW w:w="3641" w:type="dxa"/>
          </w:tcPr>
          <w:p w:rsidR="00AE6636" w:rsidRDefault="00AE6636" w:rsidP="001E612D">
            <w:pPr>
              <w:jc w:val="both"/>
              <w:rPr>
                <w:sz w:val="20"/>
              </w:rPr>
            </w:pPr>
            <w:r>
              <w:rPr>
                <w:sz w:val="20"/>
              </w:rPr>
              <w:t>NWFC recognise 25% surplus on provision of services</w:t>
            </w:r>
          </w:p>
        </w:tc>
        <w:tc>
          <w:tcPr>
            <w:tcW w:w="1559" w:type="dxa"/>
          </w:tcPr>
          <w:p w:rsidR="00AE6636" w:rsidRPr="00EB122C" w:rsidRDefault="00AE6636" w:rsidP="00322BDC">
            <w:pPr>
              <w:ind w:right="136"/>
              <w:jc w:val="right"/>
              <w:rPr>
                <w:sz w:val="20"/>
              </w:rPr>
            </w:pPr>
          </w:p>
        </w:tc>
        <w:tc>
          <w:tcPr>
            <w:tcW w:w="2552" w:type="dxa"/>
          </w:tcPr>
          <w:p w:rsidR="00AE6636" w:rsidRPr="00EB122C" w:rsidRDefault="00AE6636" w:rsidP="00322BDC">
            <w:pPr>
              <w:ind w:right="136"/>
              <w:jc w:val="right"/>
              <w:rPr>
                <w:sz w:val="20"/>
              </w:rPr>
            </w:pPr>
          </w:p>
        </w:tc>
        <w:tc>
          <w:tcPr>
            <w:tcW w:w="1701" w:type="dxa"/>
            <w:tcBorders>
              <w:bottom w:val="single" w:sz="4" w:space="0" w:color="auto"/>
            </w:tcBorders>
            <w:vAlign w:val="center"/>
          </w:tcPr>
          <w:p w:rsidR="00AE6636" w:rsidRPr="00F87596" w:rsidRDefault="00AE6636" w:rsidP="00AE6636">
            <w:pPr>
              <w:ind w:right="136"/>
              <w:jc w:val="right"/>
              <w:rPr>
                <w:sz w:val="20"/>
              </w:rPr>
            </w:pPr>
            <w:r>
              <w:rPr>
                <w:sz w:val="20"/>
              </w:rPr>
              <w:t>(5)</w:t>
            </w:r>
          </w:p>
        </w:tc>
        <w:tc>
          <w:tcPr>
            <w:tcW w:w="2551" w:type="dxa"/>
          </w:tcPr>
          <w:p w:rsidR="00AE6636" w:rsidRPr="00EB122C" w:rsidRDefault="00AE6636" w:rsidP="00322BDC">
            <w:pPr>
              <w:jc w:val="right"/>
              <w:rPr>
                <w:sz w:val="20"/>
              </w:rPr>
            </w:pPr>
          </w:p>
        </w:tc>
        <w:tc>
          <w:tcPr>
            <w:tcW w:w="2694" w:type="dxa"/>
          </w:tcPr>
          <w:p w:rsidR="00AE6636" w:rsidRPr="00EB122C" w:rsidRDefault="00AE6636" w:rsidP="00322BDC">
            <w:pPr>
              <w:jc w:val="right"/>
              <w:rPr>
                <w:sz w:val="20"/>
              </w:rPr>
            </w:pPr>
          </w:p>
        </w:tc>
      </w:tr>
      <w:tr w:rsidR="000D5389" w:rsidTr="00DB69E3">
        <w:tc>
          <w:tcPr>
            <w:tcW w:w="3641" w:type="dxa"/>
          </w:tcPr>
          <w:p w:rsidR="000D5389" w:rsidRPr="00EB122C" w:rsidRDefault="000D5389" w:rsidP="001E612D">
            <w:pPr>
              <w:jc w:val="both"/>
              <w:rPr>
                <w:sz w:val="20"/>
              </w:rPr>
            </w:pPr>
            <w:r w:rsidRPr="00EB122C">
              <w:rPr>
                <w:sz w:val="20"/>
              </w:rPr>
              <w:t>Closing General Fund balance</w:t>
            </w:r>
          </w:p>
        </w:tc>
        <w:tc>
          <w:tcPr>
            <w:tcW w:w="1559" w:type="dxa"/>
          </w:tcPr>
          <w:p w:rsidR="000D5389" w:rsidRPr="00EB122C" w:rsidRDefault="000D5389" w:rsidP="00322BDC">
            <w:pPr>
              <w:ind w:right="136"/>
              <w:jc w:val="right"/>
              <w:rPr>
                <w:sz w:val="20"/>
              </w:rPr>
            </w:pPr>
          </w:p>
        </w:tc>
        <w:tc>
          <w:tcPr>
            <w:tcW w:w="2552" w:type="dxa"/>
          </w:tcPr>
          <w:p w:rsidR="000D5389" w:rsidRPr="00EB122C" w:rsidRDefault="000D5389" w:rsidP="00322BDC">
            <w:pPr>
              <w:ind w:right="136"/>
              <w:jc w:val="right"/>
              <w:rPr>
                <w:sz w:val="20"/>
              </w:rPr>
            </w:pPr>
          </w:p>
        </w:tc>
        <w:tc>
          <w:tcPr>
            <w:tcW w:w="1701" w:type="dxa"/>
            <w:tcBorders>
              <w:top w:val="single" w:sz="4" w:space="0" w:color="auto"/>
              <w:bottom w:val="double" w:sz="4" w:space="0" w:color="auto"/>
            </w:tcBorders>
          </w:tcPr>
          <w:p w:rsidR="000D5389" w:rsidRPr="00F87596" w:rsidRDefault="00356B83" w:rsidP="00AE6636">
            <w:pPr>
              <w:ind w:right="136"/>
              <w:jc w:val="right"/>
              <w:rPr>
                <w:sz w:val="20"/>
              </w:rPr>
            </w:pPr>
            <w:r w:rsidRPr="00F87596">
              <w:rPr>
                <w:sz w:val="20"/>
              </w:rPr>
              <w:t>(7,</w:t>
            </w:r>
            <w:r w:rsidR="00AE6636">
              <w:rPr>
                <w:sz w:val="20"/>
              </w:rPr>
              <w:t>899</w:t>
            </w:r>
            <w:r w:rsidRPr="00F87596">
              <w:rPr>
                <w:sz w:val="20"/>
              </w:rPr>
              <w:t>)</w:t>
            </w:r>
          </w:p>
        </w:tc>
        <w:tc>
          <w:tcPr>
            <w:tcW w:w="2551" w:type="dxa"/>
          </w:tcPr>
          <w:p w:rsidR="000D5389" w:rsidRPr="00EB122C" w:rsidRDefault="000D5389" w:rsidP="00322BDC">
            <w:pPr>
              <w:jc w:val="right"/>
              <w:rPr>
                <w:sz w:val="20"/>
              </w:rPr>
            </w:pPr>
          </w:p>
        </w:tc>
        <w:tc>
          <w:tcPr>
            <w:tcW w:w="2694" w:type="dxa"/>
          </w:tcPr>
          <w:p w:rsidR="000D5389" w:rsidRPr="00EB122C" w:rsidRDefault="000D5389" w:rsidP="00322BDC">
            <w:pPr>
              <w:jc w:val="right"/>
              <w:rPr>
                <w:sz w:val="20"/>
              </w:rPr>
            </w:pPr>
          </w:p>
        </w:tc>
      </w:tr>
    </w:tbl>
    <w:p w:rsidR="00296A09" w:rsidRDefault="00296A09" w:rsidP="001E612D">
      <w:pPr>
        <w:ind w:left="720"/>
        <w:jc w:val="both"/>
        <w:rPr>
          <w:sz w:val="22"/>
        </w:rPr>
      </w:pPr>
    </w:p>
    <w:p w:rsidR="00296A09" w:rsidRDefault="00296A09">
      <w:pPr>
        <w:rPr>
          <w:sz w:val="22"/>
        </w:rPr>
      </w:pPr>
      <w:r>
        <w:rPr>
          <w:sz w:val="22"/>
        </w:rPr>
        <w:br w:type="page"/>
      </w:r>
    </w:p>
    <w:p w:rsidR="00EB122C" w:rsidRDefault="00EB122C" w:rsidP="001E612D">
      <w:pPr>
        <w:ind w:left="720"/>
        <w:jc w:val="both"/>
        <w:rPr>
          <w:sz w:val="22"/>
        </w:rPr>
      </w:pPr>
    </w:p>
    <w:tbl>
      <w:tblPr>
        <w:tblStyle w:val="TableGrid"/>
        <w:tblW w:w="146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1559"/>
        <w:gridCol w:w="2552"/>
        <w:gridCol w:w="1701"/>
        <w:gridCol w:w="2551"/>
        <w:gridCol w:w="2694"/>
      </w:tblGrid>
      <w:tr w:rsidR="00296A09" w:rsidTr="00296A09">
        <w:tc>
          <w:tcPr>
            <w:tcW w:w="3641" w:type="dxa"/>
          </w:tcPr>
          <w:p w:rsidR="00296A09" w:rsidRPr="00EB122C" w:rsidRDefault="00296A09" w:rsidP="00296A09">
            <w:pPr>
              <w:jc w:val="both"/>
              <w:rPr>
                <w:b/>
                <w:sz w:val="20"/>
              </w:rPr>
            </w:pPr>
            <w:r>
              <w:rPr>
                <w:sz w:val="22"/>
              </w:rPr>
              <w:br w:type="page"/>
            </w:r>
            <w:r w:rsidRPr="00EB122C">
              <w:rPr>
                <w:b/>
                <w:sz w:val="20"/>
              </w:rPr>
              <w:t>2016/17</w:t>
            </w:r>
            <w:r w:rsidR="001C04F3">
              <w:rPr>
                <w:b/>
                <w:sz w:val="20"/>
              </w:rPr>
              <w:t xml:space="preserve"> – restated *</w:t>
            </w:r>
          </w:p>
        </w:tc>
        <w:tc>
          <w:tcPr>
            <w:tcW w:w="1559" w:type="dxa"/>
          </w:tcPr>
          <w:p w:rsidR="00296A09" w:rsidRPr="00EB122C" w:rsidRDefault="00296A09" w:rsidP="00296A09">
            <w:pPr>
              <w:jc w:val="center"/>
              <w:rPr>
                <w:sz w:val="20"/>
              </w:rPr>
            </w:pPr>
            <w:r w:rsidRPr="00EB122C">
              <w:rPr>
                <w:sz w:val="20"/>
              </w:rPr>
              <w:t>As reported for resource management</w:t>
            </w:r>
          </w:p>
        </w:tc>
        <w:tc>
          <w:tcPr>
            <w:tcW w:w="2552" w:type="dxa"/>
          </w:tcPr>
          <w:p w:rsidR="00296A09" w:rsidRPr="00EB122C" w:rsidRDefault="00296A09" w:rsidP="00296A09">
            <w:pPr>
              <w:jc w:val="center"/>
              <w:rPr>
                <w:sz w:val="20"/>
              </w:rPr>
            </w:pPr>
            <w:r>
              <w:rPr>
                <w:sz w:val="20"/>
              </w:rPr>
              <w:t xml:space="preserve">Adjustment to arrive at the amount chargeable to the General Fund (note </w:t>
            </w:r>
            <w:r w:rsidR="00CF7F0B">
              <w:rPr>
                <w:sz w:val="20"/>
              </w:rPr>
              <w:t>1</w:t>
            </w:r>
            <w:r>
              <w:rPr>
                <w:sz w:val="20"/>
              </w:rPr>
              <w:t>a)</w:t>
            </w:r>
          </w:p>
        </w:tc>
        <w:tc>
          <w:tcPr>
            <w:tcW w:w="1701" w:type="dxa"/>
          </w:tcPr>
          <w:p w:rsidR="00296A09" w:rsidRPr="00EB122C" w:rsidRDefault="00296A09" w:rsidP="00296A09">
            <w:pPr>
              <w:jc w:val="center"/>
              <w:rPr>
                <w:sz w:val="20"/>
              </w:rPr>
            </w:pPr>
            <w:r>
              <w:rPr>
                <w:sz w:val="20"/>
              </w:rPr>
              <w:t xml:space="preserve">Net </w:t>
            </w:r>
            <w:r w:rsidRPr="00EB122C">
              <w:rPr>
                <w:sz w:val="20"/>
              </w:rPr>
              <w:t>chargeable to the General Fund</w:t>
            </w:r>
          </w:p>
        </w:tc>
        <w:tc>
          <w:tcPr>
            <w:tcW w:w="2551" w:type="dxa"/>
          </w:tcPr>
          <w:p w:rsidR="00296A09" w:rsidRPr="00EB122C" w:rsidRDefault="00296A09" w:rsidP="00296A09">
            <w:pPr>
              <w:jc w:val="center"/>
              <w:rPr>
                <w:sz w:val="20"/>
              </w:rPr>
            </w:pPr>
            <w:r w:rsidRPr="00EB122C">
              <w:rPr>
                <w:sz w:val="20"/>
              </w:rPr>
              <w:t xml:space="preserve">Adjustments between the Funding and Accounting basis (note </w:t>
            </w:r>
            <w:r w:rsidR="00CF7F0B">
              <w:rPr>
                <w:sz w:val="20"/>
              </w:rPr>
              <w:t>1</w:t>
            </w:r>
            <w:r w:rsidRPr="00EB122C">
              <w:rPr>
                <w:sz w:val="20"/>
              </w:rPr>
              <w:t>a)</w:t>
            </w:r>
          </w:p>
        </w:tc>
        <w:tc>
          <w:tcPr>
            <w:tcW w:w="2694" w:type="dxa"/>
          </w:tcPr>
          <w:p w:rsidR="00296A09" w:rsidRPr="00EB122C" w:rsidRDefault="00296A09" w:rsidP="00296A09">
            <w:pPr>
              <w:jc w:val="both"/>
              <w:rPr>
                <w:sz w:val="20"/>
              </w:rPr>
            </w:pPr>
            <w:r w:rsidRPr="00EB122C">
              <w:rPr>
                <w:sz w:val="20"/>
              </w:rPr>
              <w:t>Net Expenditure in the Comprehensive Income and Expenditure Statement</w:t>
            </w:r>
          </w:p>
        </w:tc>
      </w:tr>
      <w:tr w:rsidR="00296A09" w:rsidTr="00296A09">
        <w:tc>
          <w:tcPr>
            <w:tcW w:w="3641" w:type="dxa"/>
          </w:tcPr>
          <w:p w:rsidR="00296A09" w:rsidRPr="00EB122C" w:rsidRDefault="00296A09" w:rsidP="00296A09">
            <w:pPr>
              <w:jc w:val="both"/>
              <w:rPr>
                <w:sz w:val="20"/>
              </w:rPr>
            </w:pPr>
          </w:p>
        </w:tc>
        <w:tc>
          <w:tcPr>
            <w:tcW w:w="1559" w:type="dxa"/>
          </w:tcPr>
          <w:p w:rsidR="00296A09" w:rsidRDefault="00296A09" w:rsidP="00296A09">
            <w:pPr>
              <w:jc w:val="center"/>
            </w:pPr>
            <w:r w:rsidRPr="0008100C">
              <w:rPr>
                <w:sz w:val="20"/>
              </w:rPr>
              <w:t>£000</w:t>
            </w:r>
          </w:p>
        </w:tc>
        <w:tc>
          <w:tcPr>
            <w:tcW w:w="2552" w:type="dxa"/>
          </w:tcPr>
          <w:p w:rsidR="00296A09" w:rsidRDefault="00296A09" w:rsidP="00296A09">
            <w:pPr>
              <w:jc w:val="center"/>
            </w:pPr>
            <w:r w:rsidRPr="0008100C">
              <w:rPr>
                <w:sz w:val="20"/>
              </w:rPr>
              <w:t>£000</w:t>
            </w:r>
          </w:p>
        </w:tc>
        <w:tc>
          <w:tcPr>
            <w:tcW w:w="1701" w:type="dxa"/>
          </w:tcPr>
          <w:p w:rsidR="00296A09" w:rsidRPr="00EB122C" w:rsidRDefault="00296A09" w:rsidP="00296A09">
            <w:pPr>
              <w:jc w:val="center"/>
              <w:rPr>
                <w:sz w:val="20"/>
              </w:rPr>
            </w:pPr>
            <w:r w:rsidRPr="00EB122C">
              <w:rPr>
                <w:sz w:val="20"/>
              </w:rPr>
              <w:t>£000</w:t>
            </w:r>
          </w:p>
        </w:tc>
        <w:tc>
          <w:tcPr>
            <w:tcW w:w="2551" w:type="dxa"/>
          </w:tcPr>
          <w:p w:rsidR="00296A09" w:rsidRPr="00EB122C" w:rsidRDefault="00296A09" w:rsidP="00296A09">
            <w:pPr>
              <w:jc w:val="center"/>
              <w:rPr>
                <w:sz w:val="20"/>
              </w:rPr>
            </w:pPr>
            <w:r w:rsidRPr="00EB122C">
              <w:rPr>
                <w:sz w:val="20"/>
              </w:rPr>
              <w:t>£000</w:t>
            </w:r>
          </w:p>
        </w:tc>
        <w:tc>
          <w:tcPr>
            <w:tcW w:w="2694" w:type="dxa"/>
          </w:tcPr>
          <w:p w:rsidR="00296A09" w:rsidRPr="00EB122C" w:rsidRDefault="00296A09" w:rsidP="00296A09">
            <w:pPr>
              <w:jc w:val="center"/>
              <w:rPr>
                <w:sz w:val="20"/>
              </w:rPr>
            </w:pPr>
            <w:r w:rsidRPr="00EB122C">
              <w:rPr>
                <w:sz w:val="20"/>
              </w:rPr>
              <w:t>£000</w:t>
            </w:r>
          </w:p>
        </w:tc>
      </w:tr>
      <w:tr w:rsidR="00296A09" w:rsidTr="00296A09">
        <w:tc>
          <w:tcPr>
            <w:tcW w:w="3641" w:type="dxa"/>
          </w:tcPr>
          <w:p w:rsidR="00296A09" w:rsidRPr="00EB122C" w:rsidRDefault="00296A09" w:rsidP="00296A09">
            <w:pPr>
              <w:jc w:val="both"/>
              <w:rPr>
                <w:sz w:val="20"/>
              </w:rPr>
            </w:pPr>
            <w:r w:rsidRPr="00EB122C">
              <w:rPr>
                <w:sz w:val="20"/>
              </w:rPr>
              <w:t>Service Delivery</w:t>
            </w:r>
          </w:p>
        </w:tc>
        <w:tc>
          <w:tcPr>
            <w:tcW w:w="1559" w:type="dxa"/>
          </w:tcPr>
          <w:p w:rsidR="00296A09" w:rsidRPr="00EB122C" w:rsidRDefault="00296A09" w:rsidP="00296A09">
            <w:pPr>
              <w:ind w:right="136"/>
              <w:jc w:val="right"/>
              <w:rPr>
                <w:sz w:val="20"/>
              </w:rPr>
            </w:pPr>
            <w:r>
              <w:rPr>
                <w:sz w:val="20"/>
              </w:rPr>
              <w:t>34,130</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34,130</w:t>
            </w:r>
          </w:p>
        </w:tc>
        <w:tc>
          <w:tcPr>
            <w:tcW w:w="2551" w:type="dxa"/>
          </w:tcPr>
          <w:p w:rsidR="00296A09" w:rsidRPr="00AE6636" w:rsidRDefault="00296A09" w:rsidP="001C04F3">
            <w:pPr>
              <w:jc w:val="right"/>
              <w:rPr>
                <w:sz w:val="20"/>
              </w:rPr>
            </w:pPr>
            <w:r w:rsidRPr="00AE6636">
              <w:rPr>
                <w:sz w:val="20"/>
              </w:rPr>
              <w:t>(11,</w:t>
            </w:r>
            <w:r w:rsidR="001C04F3">
              <w:rPr>
                <w:sz w:val="20"/>
              </w:rPr>
              <w:t>089</w:t>
            </w:r>
            <w:r w:rsidRPr="00AE6636">
              <w:rPr>
                <w:sz w:val="20"/>
              </w:rPr>
              <w:t>)</w:t>
            </w:r>
          </w:p>
        </w:tc>
        <w:tc>
          <w:tcPr>
            <w:tcW w:w="2694" w:type="dxa"/>
          </w:tcPr>
          <w:p w:rsidR="00296A09" w:rsidRPr="001C04F3" w:rsidRDefault="001C04F3" w:rsidP="001C04F3">
            <w:pPr>
              <w:jc w:val="right"/>
              <w:rPr>
                <w:sz w:val="20"/>
              </w:rPr>
            </w:pPr>
            <w:r w:rsidRPr="001C04F3">
              <w:rPr>
                <w:sz w:val="20"/>
              </w:rPr>
              <w:t>2</w:t>
            </w:r>
            <w:r>
              <w:rPr>
                <w:sz w:val="20"/>
              </w:rPr>
              <w:t>3</w:t>
            </w:r>
            <w:r w:rsidR="00296A09" w:rsidRPr="001C04F3">
              <w:rPr>
                <w:sz w:val="20"/>
              </w:rPr>
              <w:t>,</w:t>
            </w:r>
            <w:r>
              <w:rPr>
                <w:sz w:val="20"/>
              </w:rPr>
              <w:t>040</w:t>
            </w:r>
          </w:p>
        </w:tc>
      </w:tr>
      <w:tr w:rsidR="00296A09" w:rsidTr="00296A09">
        <w:tc>
          <w:tcPr>
            <w:tcW w:w="3641" w:type="dxa"/>
          </w:tcPr>
          <w:p w:rsidR="00296A09" w:rsidRPr="00EB122C" w:rsidRDefault="00296A09" w:rsidP="00296A09">
            <w:pPr>
              <w:jc w:val="both"/>
              <w:rPr>
                <w:sz w:val="20"/>
              </w:rPr>
            </w:pPr>
            <w:r w:rsidRPr="00EB122C">
              <w:rPr>
                <w:sz w:val="20"/>
              </w:rPr>
              <w:t>Strategy and Planning</w:t>
            </w:r>
          </w:p>
        </w:tc>
        <w:tc>
          <w:tcPr>
            <w:tcW w:w="1559" w:type="dxa"/>
          </w:tcPr>
          <w:p w:rsidR="00296A09" w:rsidRPr="00EB122C" w:rsidRDefault="00296A09" w:rsidP="00296A09">
            <w:pPr>
              <w:ind w:right="136"/>
              <w:jc w:val="right"/>
              <w:rPr>
                <w:sz w:val="20"/>
              </w:rPr>
            </w:pPr>
            <w:r>
              <w:rPr>
                <w:sz w:val="20"/>
              </w:rPr>
              <w:t>7,950</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7,950</w:t>
            </w:r>
          </w:p>
        </w:tc>
        <w:tc>
          <w:tcPr>
            <w:tcW w:w="2551" w:type="dxa"/>
          </w:tcPr>
          <w:p w:rsidR="00296A09" w:rsidRPr="00AE6636" w:rsidRDefault="00296A09" w:rsidP="00296A09">
            <w:pPr>
              <w:jc w:val="right"/>
              <w:rPr>
                <w:sz w:val="20"/>
              </w:rPr>
            </w:pPr>
            <w:r w:rsidRPr="00AE6636">
              <w:rPr>
                <w:sz w:val="20"/>
              </w:rPr>
              <w:t>(1,332)</w:t>
            </w:r>
          </w:p>
        </w:tc>
        <w:tc>
          <w:tcPr>
            <w:tcW w:w="2694" w:type="dxa"/>
          </w:tcPr>
          <w:p w:rsidR="00296A09" w:rsidRPr="00AE6636" w:rsidRDefault="00296A09" w:rsidP="00296A09">
            <w:pPr>
              <w:jc w:val="right"/>
              <w:rPr>
                <w:sz w:val="20"/>
              </w:rPr>
            </w:pPr>
            <w:r w:rsidRPr="00AE6636">
              <w:rPr>
                <w:sz w:val="20"/>
              </w:rPr>
              <w:t>6,618</w:t>
            </w:r>
          </w:p>
        </w:tc>
      </w:tr>
      <w:tr w:rsidR="00296A09" w:rsidTr="00296A09">
        <w:tc>
          <w:tcPr>
            <w:tcW w:w="3641" w:type="dxa"/>
          </w:tcPr>
          <w:p w:rsidR="00296A09" w:rsidRPr="00EB122C" w:rsidRDefault="00296A09" w:rsidP="00296A09">
            <w:pPr>
              <w:jc w:val="both"/>
              <w:rPr>
                <w:sz w:val="20"/>
              </w:rPr>
            </w:pPr>
            <w:r w:rsidRPr="00EB122C">
              <w:rPr>
                <w:sz w:val="20"/>
              </w:rPr>
              <w:t>People and Development</w:t>
            </w:r>
          </w:p>
        </w:tc>
        <w:tc>
          <w:tcPr>
            <w:tcW w:w="1559" w:type="dxa"/>
          </w:tcPr>
          <w:p w:rsidR="00296A09" w:rsidRPr="00EB122C" w:rsidRDefault="00296A09" w:rsidP="00296A09">
            <w:pPr>
              <w:ind w:right="136"/>
              <w:jc w:val="right"/>
              <w:rPr>
                <w:sz w:val="20"/>
              </w:rPr>
            </w:pPr>
            <w:r>
              <w:rPr>
                <w:sz w:val="20"/>
              </w:rPr>
              <w:t>1,112</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1,112</w:t>
            </w:r>
          </w:p>
        </w:tc>
        <w:tc>
          <w:tcPr>
            <w:tcW w:w="2551" w:type="dxa"/>
          </w:tcPr>
          <w:p w:rsidR="00296A09" w:rsidRPr="00AE6636" w:rsidRDefault="00296A09" w:rsidP="00296A09">
            <w:pPr>
              <w:jc w:val="right"/>
              <w:rPr>
                <w:sz w:val="20"/>
              </w:rPr>
            </w:pPr>
            <w:r w:rsidRPr="00AE6636">
              <w:rPr>
                <w:sz w:val="20"/>
              </w:rPr>
              <w:t>11</w:t>
            </w:r>
          </w:p>
        </w:tc>
        <w:tc>
          <w:tcPr>
            <w:tcW w:w="2694" w:type="dxa"/>
          </w:tcPr>
          <w:p w:rsidR="00296A09" w:rsidRPr="00AE6636" w:rsidRDefault="00296A09" w:rsidP="00296A09">
            <w:pPr>
              <w:jc w:val="right"/>
              <w:rPr>
                <w:sz w:val="20"/>
              </w:rPr>
            </w:pPr>
            <w:r w:rsidRPr="00AE6636">
              <w:rPr>
                <w:sz w:val="20"/>
              </w:rPr>
              <w:t>1,123</w:t>
            </w:r>
          </w:p>
        </w:tc>
      </w:tr>
      <w:tr w:rsidR="00296A09" w:rsidTr="00296A09">
        <w:tc>
          <w:tcPr>
            <w:tcW w:w="3641" w:type="dxa"/>
          </w:tcPr>
          <w:p w:rsidR="00296A09" w:rsidRPr="00EB122C" w:rsidRDefault="00296A09" w:rsidP="00296A09">
            <w:pPr>
              <w:jc w:val="both"/>
              <w:rPr>
                <w:sz w:val="20"/>
              </w:rPr>
            </w:pPr>
            <w:r w:rsidRPr="00EB122C">
              <w:rPr>
                <w:sz w:val="20"/>
              </w:rPr>
              <w:t>Corporate Services</w:t>
            </w:r>
          </w:p>
        </w:tc>
        <w:tc>
          <w:tcPr>
            <w:tcW w:w="1559" w:type="dxa"/>
          </w:tcPr>
          <w:p w:rsidR="00296A09" w:rsidRPr="00EB122C" w:rsidRDefault="00296A09" w:rsidP="00296A09">
            <w:pPr>
              <w:ind w:right="136"/>
              <w:jc w:val="right"/>
              <w:rPr>
                <w:sz w:val="20"/>
              </w:rPr>
            </w:pPr>
            <w:r>
              <w:rPr>
                <w:sz w:val="20"/>
              </w:rPr>
              <w:t>3,376</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3,376</w:t>
            </w:r>
          </w:p>
        </w:tc>
        <w:tc>
          <w:tcPr>
            <w:tcW w:w="2551" w:type="dxa"/>
          </w:tcPr>
          <w:p w:rsidR="00296A09" w:rsidRPr="00AE6636" w:rsidRDefault="00296A09" w:rsidP="00296A09">
            <w:pPr>
              <w:jc w:val="right"/>
              <w:rPr>
                <w:sz w:val="20"/>
              </w:rPr>
            </w:pPr>
            <w:r w:rsidRPr="00AE6636">
              <w:rPr>
                <w:sz w:val="20"/>
              </w:rPr>
              <w:t>(215)</w:t>
            </w:r>
          </w:p>
        </w:tc>
        <w:tc>
          <w:tcPr>
            <w:tcW w:w="2694" w:type="dxa"/>
          </w:tcPr>
          <w:p w:rsidR="00296A09" w:rsidRPr="00AE6636" w:rsidRDefault="00296A09" w:rsidP="00296A09">
            <w:pPr>
              <w:jc w:val="right"/>
              <w:rPr>
                <w:sz w:val="20"/>
              </w:rPr>
            </w:pPr>
            <w:r w:rsidRPr="00AE6636">
              <w:rPr>
                <w:sz w:val="20"/>
              </w:rPr>
              <w:t>3,162</w:t>
            </w:r>
          </w:p>
        </w:tc>
      </w:tr>
      <w:tr w:rsidR="00296A09" w:rsidTr="00296A09">
        <w:tc>
          <w:tcPr>
            <w:tcW w:w="3641" w:type="dxa"/>
          </w:tcPr>
          <w:p w:rsidR="00296A09" w:rsidRPr="00EB122C" w:rsidRDefault="00296A09" w:rsidP="00296A09">
            <w:pPr>
              <w:jc w:val="both"/>
              <w:rPr>
                <w:sz w:val="20"/>
              </w:rPr>
            </w:pPr>
            <w:r w:rsidRPr="00EB122C">
              <w:rPr>
                <w:sz w:val="20"/>
              </w:rPr>
              <w:t>Firefighters Pensions</w:t>
            </w:r>
          </w:p>
        </w:tc>
        <w:tc>
          <w:tcPr>
            <w:tcW w:w="1559" w:type="dxa"/>
          </w:tcPr>
          <w:p w:rsidR="00296A09" w:rsidRPr="00EB122C" w:rsidRDefault="00296A09" w:rsidP="00296A09">
            <w:pPr>
              <w:ind w:right="136"/>
              <w:jc w:val="right"/>
              <w:rPr>
                <w:sz w:val="20"/>
              </w:rPr>
            </w:pPr>
            <w:r>
              <w:rPr>
                <w:sz w:val="20"/>
              </w:rPr>
              <w:t>1,228</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1,228</w:t>
            </w:r>
          </w:p>
        </w:tc>
        <w:tc>
          <w:tcPr>
            <w:tcW w:w="2551" w:type="dxa"/>
          </w:tcPr>
          <w:p w:rsidR="00296A09" w:rsidRPr="00AE6636" w:rsidRDefault="00296A09" w:rsidP="00296A09">
            <w:pPr>
              <w:jc w:val="right"/>
              <w:rPr>
                <w:sz w:val="20"/>
              </w:rPr>
            </w:pPr>
            <w:r w:rsidRPr="00AE6636">
              <w:rPr>
                <w:sz w:val="20"/>
              </w:rPr>
              <w:t>-</w:t>
            </w:r>
          </w:p>
        </w:tc>
        <w:tc>
          <w:tcPr>
            <w:tcW w:w="2694" w:type="dxa"/>
          </w:tcPr>
          <w:p w:rsidR="00296A09" w:rsidRPr="00AE6636" w:rsidRDefault="00296A09" w:rsidP="00296A09">
            <w:pPr>
              <w:jc w:val="right"/>
              <w:rPr>
                <w:sz w:val="20"/>
              </w:rPr>
            </w:pPr>
            <w:r w:rsidRPr="00AE6636">
              <w:rPr>
                <w:sz w:val="20"/>
              </w:rPr>
              <w:t>1,228</w:t>
            </w:r>
          </w:p>
        </w:tc>
      </w:tr>
      <w:tr w:rsidR="00296A09" w:rsidTr="00296A09">
        <w:tc>
          <w:tcPr>
            <w:tcW w:w="3641" w:type="dxa"/>
          </w:tcPr>
          <w:p w:rsidR="00296A09" w:rsidRPr="00EB122C" w:rsidRDefault="00296A09" w:rsidP="00296A09">
            <w:pPr>
              <w:jc w:val="both"/>
              <w:rPr>
                <w:sz w:val="20"/>
              </w:rPr>
            </w:pPr>
            <w:r w:rsidRPr="00EB122C">
              <w:rPr>
                <w:sz w:val="20"/>
              </w:rPr>
              <w:t>Overheads</w:t>
            </w:r>
          </w:p>
        </w:tc>
        <w:tc>
          <w:tcPr>
            <w:tcW w:w="1559" w:type="dxa"/>
          </w:tcPr>
          <w:p w:rsidR="00296A09" w:rsidRPr="00EB122C" w:rsidRDefault="00296A09" w:rsidP="00296A09">
            <w:pPr>
              <w:ind w:right="136"/>
              <w:jc w:val="right"/>
              <w:rPr>
                <w:sz w:val="20"/>
              </w:rPr>
            </w:pPr>
            <w:r>
              <w:rPr>
                <w:sz w:val="20"/>
              </w:rPr>
              <w:t>7,760</w:t>
            </w:r>
          </w:p>
        </w:tc>
        <w:tc>
          <w:tcPr>
            <w:tcW w:w="2552" w:type="dxa"/>
          </w:tcPr>
          <w:p w:rsidR="00296A09" w:rsidRPr="00EB122C" w:rsidRDefault="00296A09" w:rsidP="00296A09">
            <w:pPr>
              <w:ind w:right="136"/>
              <w:jc w:val="right"/>
              <w:rPr>
                <w:sz w:val="20"/>
              </w:rPr>
            </w:pPr>
            <w:r>
              <w:rPr>
                <w:sz w:val="20"/>
              </w:rPr>
              <w:t>(193)</w:t>
            </w:r>
          </w:p>
        </w:tc>
        <w:tc>
          <w:tcPr>
            <w:tcW w:w="1701" w:type="dxa"/>
          </w:tcPr>
          <w:p w:rsidR="00296A09" w:rsidRPr="00EB122C" w:rsidRDefault="00296A09" w:rsidP="00296A09">
            <w:pPr>
              <w:ind w:right="136"/>
              <w:jc w:val="right"/>
              <w:rPr>
                <w:sz w:val="20"/>
              </w:rPr>
            </w:pPr>
            <w:r>
              <w:rPr>
                <w:sz w:val="20"/>
              </w:rPr>
              <w:t>7,568</w:t>
            </w:r>
          </w:p>
        </w:tc>
        <w:tc>
          <w:tcPr>
            <w:tcW w:w="2551" w:type="dxa"/>
          </w:tcPr>
          <w:p w:rsidR="00296A09" w:rsidRPr="00AE6636" w:rsidRDefault="00296A09" w:rsidP="00296A09">
            <w:pPr>
              <w:jc w:val="right"/>
              <w:rPr>
                <w:sz w:val="20"/>
              </w:rPr>
            </w:pPr>
            <w:r w:rsidRPr="00AE6636">
              <w:rPr>
                <w:sz w:val="20"/>
              </w:rPr>
              <w:t>(615)</w:t>
            </w:r>
          </w:p>
        </w:tc>
        <w:tc>
          <w:tcPr>
            <w:tcW w:w="2694" w:type="dxa"/>
          </w:tcPr>
          <w:p w:rsidR="00296A09" w:rsidRPr="00AE6636" w:rsidRDefault="00296A09" w:rsidP="00296A09">
            <w:pPr>
              <w:jc w:val="right"/>
              <w:rPr>
                <w:sz w:val="20"/>
              </w:rPr>
            </w:pPr>
            <w:r w:rsidRPr="00AE6636">
              <w:rPr>
                <w:sz w:val="20"/>
              </w:rPr>
              <w:t>6,953</w:t>
            </w:r>
          </w:p>
        </w:tc>
      </w:tr>
      <w:tr w:rsidR="00296A09" w:rsidTr="00296A09">
        <w:tc>
          <w:tcPr>
            <w:tcW w:w="3641" w:type="dxa"/>
          </w:tcPr>
          <w:p w:rsidR="00296A09" w:rsidRPr="00EB122C" w:rsidRDefault="00296A09" w:rsidP="00296A09">
            <w:pPr>
              <w:jc w:val="both"/>
              <w:rPr>
                <w:b/>
                <w:sz w:val="20"/>
              </w:rPr>
            </w:pP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EB122C" w:rsidRDefault="00296A09" w:rsidP="00296A09">
            <w:pPr>
              <w:ind w:right="136"/>
              <w:jc w:val="right"/>
              <w:rPr>
                <w:sz w:val="20"/>
              </w:rPr>
            </w:pPr>
          </w:p>
        </w:tc>
        <w:tc>
          <w:tcPr>
            <w:tcW w:w="2551" w:type="dxa"/>
          </w:tcPr>
          <w:p w:rsidR="00296A09" w:rsidRPr="00AE6636" w:rsidRDefault="00296A09" w:rsidP="00296A09">
            <w:pPr>
              <w:jc w:val="right"/>
              <w:rPr>
                <w:b/>
                <w:sz w:val="20"/>
              </w:rPr>
            </w:pPr>
          </w:p>
        </w:tc>
        <w:tc>
          <w:tcPr>
            <w:tcW w:w="2694" w:type="dxa"/>
          </w:tcPr>
          <w:p w:rsidR="00296A09" w:rsidRPr="00AE6636" w:rsidRDefault="00296A09" w:rsidP="00296A09">
            <w:pPr>
              <w:jc w:val="right"/>
              <w:rPr>
                <w:b/>
                <w:sz w:val="20"/>
              </w:rPr>
            </w:pPr>
          </w:p>
        </w:tc>
      </w:tr>
      <w:tr w:rsidR="00296A09" w:rsidTr="00296A09">
        <w:tc>
          <w:tcPr>
            <w:tcW w:w="3641" w:type="dxa"/>
          </w:tcPr>
          <w:p w:rsidR="00296A09" w:rsidRPr="00EB122C" w:rsidRDefault="00296A09" w:rsidP="00296A09">
            <w:pPr>
              <w:jc w:val="both"/>
              <w:rPr>
                <w:b/>
                <w:sz w:val="20"/>
              </w:rPr>
            </w:pPr>
            <w:r w:rsidRPr="00EB122C">
              <w:rPr>
                <w:b/>
                <w:sz w:val="20"/>
              </w:rPr>
              <w:t>Net cost of Services</w:t>
            </w:r>
          </w:p>
        </w:tc>
        <w:tc>
          <w:tcPr>
            <w:tcW w:w="1559" w:type="dxa"/>
          </w:tcPr>
          <w:p w:rsidR="00296A09" w:rsidRPr="00EB122C" w:rsidRDefault="00296A09" w:rsidP="00296A09">
            <w:pPr>
              <w:ind w:right="136"/>
              <w:jc w:val="right"/>
              <w:rPr>
                <w:sz w:val="20"/>
              </w:rPr>
            </w:pPr>
            <w:r>
              <w:rPr>
                <w:sz w:val="20"/>
              </w:rPr>
              <w:t>55,557</w:t>
            </w:r>
          </w:p>
        </w:tc>
        <w:tc>
          <w:tcPr>
            <w:tcW w:w="2552" w:type="dxa"/>
          </w:tcPr>
          <w:p w:rsidR="00296A09" w:rsidRPr="00EB122C" w:rsidRDefault="00296A09" w:rsidP="00296A09">
            <w:pPr>
              <w:ind w:right="136"/>
              <w:jc w:val="right"/>
              <w:rPr>
                <w:sz w:val="20"/>
              </w:rPr>
            </w:pPr>
            <w:r>
              <w:rPr>
                <w:sz w:val="20"/>
              </w:rPr>
              <w:t>(193)</w:t>
            </w:r>
          </w:p>
        </w:tc>
        <w:tc>
          <w:tcPr>
            <w:tcW w:w="1701" w:type="dxa"/>
          </w:tcPr>
          <w:p w:rsidR="00296A09" w:rsidRPr="00EB122C" w:rsidRDefault="00296A09" w:rsidP="00296A09">
            <w:pPr>
              <w:ind w:right="136"/>
              <w:jc w:val="right"/>
              <w:rPr>
                <w:sz w:val="20"/>
              </w:rPr>
            </w:pPr>
            <w:r>
              <w:rPr>
                <w:sz w:val="20"/>
              </w:rPr>
              <w:t>55,364</w:t>
            </w:r>
          </w:p>
        </w:tc>
        <w:tc>
          <w:tcPr>
            <w:tcW w:w="2551" w:type="dxa"/>
          </w:tcPr>
          <w:p w:rsidR="00296A09" w:rsidRPr="00AE6636" w:rsidRDefault="00296A09" w:rsidP="001C04F3">
            <w:pPr>
              <w:jc w:val="right"/>
              <w:rPr>
                <w:b/>
                <w:sz w:val="20"/>
              </w:rPr>
            </w:pPr>
            <w:r w:rsidRPr="00AE6636">
              <w:rPr>
                <w:b/>
                <w:sz w:val="20"/>
              </w:rPr>
              <w:t>(13,</w:t>
            </w:r>
            <w:r w:rsidR="001C04F3">
              <w:rPr>
                <w:b/>
                <w:sz w:val="20"/>
              </w:rPr>
              <w:t>240</w:t>
            </w:r>
            <w:r w:rsidRPr="00AE6636">
              <w:rPr>
                <w:b/>
                <w:sz w:val="20"/>
              </w:rPr>
              <w:t>)</w:t>
            </w:r>
          </w:p>
        </w:tc>
        <w:tc>
          <w:tcPr>
            <w:tcW w:w="2694" w:type="dxa"/>
          </w:tcPr>
          <w:p w:rsidR="00296A09" w:rsidRPr="001C04F3" w:rsidRDefault="001C04F3" w:rsidP="001C04F3">
            <w:pPr>
              <w:jc w:val="right"/>
              <w:rPr>
                <w:b/>
                <w:sz w:val="20"/>
              </w:rPr>
            </w:pPr>
            <w:r w:rsidRPr="001C04F3">
              <w:rPr>
                <w:b/>
                <w:sz w:val="20"/>
              </w:rPr>
              <w:t>4</w:t>
            </w:r>
            <w:r>
              <w:rPr>
                <w:b/>
                <w:sz w:val="20"/>
              </w:rPr>
              <w:t>2</w:t>
            </w:r>
            <w:r w:rsidR="00296A09" w:rsidRPr="001C04F3">
              <w:rPr>
                <w:b/>
                <w:sz w:val="20"/>
              </w:rPr>
              <w:t>,</w:t>
            </w:r>
            <w:r>
              <w:rPr>
                <w:b/>
                <w:sz w:val="20"/>
              </w:rPr>
              <w:t>124</w:t>
            </w:r>
          </w:p>
        </w:tc>
      </w:tr>
      <w:tr w:rsidR="00296A09" w:rsidTr="00296A09">
        <w:tc>
          <w:tcPr>
            <w:tcW w:w="3641" w:type="dxa"/>
          </w:tcPr>
          <w:p w:rsidR="00296A09" w:rsidRPr="00EB122C" w:rsidRDefault="00296A09" w:rsidP="00296A09">
            <w:pPr>
              <w:jc w:val="both"/>
              <w:rPr>
                <w:sz w:val="20"/>
              </w:rPr>
            </w:pP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EB122C" w:rsidRDefault="00296A09" w:rsidP="00296A09">
            <w:pPr>
              <w:ind w:right="136"/>
              <w:jc w:val="right"/>
              <w:rPr>
                <w:sz w:val="20"/>
              </w:rPr>
            </w:pPr>
          </w:p>
        </w:tc>
        <w:tc>
          <w:tcPr>
            <w:tcW w:w="2551" w:type="dxa"/>
          </w:tcPr>
          <w:p w:rsidR="00296A09" w:rsidRPr="00AE6636" w:rsidRDefault="00296A09" w:rsidP="00296A09">
            <w:pPr>
              <w:jc w:val="right"/>
              <w:rPr>
                <w:sz w:val="20"/>
              </w:rPr>
            </w:pPr>
          </w:p>
        </w:tc>
        <w:tc>
          <w:tcPr>
            <w:tcW w:w="2694" w:type="dxa"/>
          </w:tcPr>
          <w:p w:rsidR="00296A09" w:rsidRPr="00AE6636" w:rsidRDefault="00296A09" w:rsidP="00296A09">
            <w:pPr>
              <w:jc w:val="right"/>
              <w:rPr>
                <w:sz w:val="20"/>
              </w:rPr>
            </w:pPr>
          </w:p>
        </w:tc>
      </w:tr>
      <w:tr w:rsidR="00296A09" w:rsidTr="00296A09">
        <w:tc>
          <w:tcPr>
            <w:tcW w:w="3641" w:type="dxa"/>
          </w:tcPr>
          <w:p w:rsidR="00296A09" w:rsidRPr="00EB122C" w:rsidRDefault="00296A09" w:rsidP="00296A09">
            <w:pPr>
              <w:jc w:val="both"/>
              <w:rPr>
                <w:sz w:val="20"/>
              </w:rPr>
            </w:pPr>
            <w:r w:rsidRPr="00EB122C">
              <w:rPr>
                <w:sz w:val="20"/>
              </w:rPr>
              <w:t>Other income and expenditure</w:t>
            </w:r>
          </w:p>
        </w:tc>
        <w:tc>
          <w:tcPr>
            <w:tcW w:w="1559" w:type="dxa"/>
          </w:tcPr>
          <w:p w:rsidR="00296A09" w:rsidRPr="00EB122C" w:rsidRDefault="00296A09" w:rsidP="00296A09">
            <w:pPr>
              <w:ind w:right="136"/>
              <w:jc w:val="right"/>
              <w:rPr>
                <w:sz w:val="20"/>
              </w:rPr>
            </w:pPr>
            <w:r>
              <w:rPr>
                <w:sz w:val="20"/>
              </w:rPr>
              <w:t>(55,623)</w:t>
            </w:r>
          </w:p>
        </w:tc>
        <w:tc>
          <w:tcPr>
            <w:tcW w:w="2552" w:type="dxa"/>
          </w:tcPr>
          <w:p w:rsidR="00296A09" w:rsidRPr="00EB122C" w:rsidRDefault="00296A09" w:rsidP="00296A09">
            <w:pPr>
              <w:ind w:right="136"/>
              <w:jc w:val="right"/>
              <w:rPr>
                <w:sz w:val="20"/>
              </w:rPr>
            </w:pPr>
            <w:r>
              <w:rPr>
                <w:sz w:val="20"/>
              </w:rPr>
              <w:t>-</w:t>
            </w:r>
          </w:p>
        </w:tc>
        <w:tc>
          <w:tcPr>
            <w:tcW w:w="1701" w:type="dxa"/>
          </w:tcPr>
          <w:p w:rsidR="00296A09" w:rsidRPr="00EB122C" w:rsidRDefault="00296A09" w:rsidP="00296A09">
            <w:pPr>
              <w:ind w:right="136"/>
              <w:jc w:val="right"/>
              <w:rPr>
                <w:sz w:val="20"/>
              </w:rPr>
            </w:pPr>
            <w:r>
              <w:rPr>
                <w:sz w:val="20"/>
              </w:rPr>
              <w:t>(55,623)</w:t>
            </w:r>
          </w:p>
        </w:tc>
        <w:tc>
          <w:tcPr>
            <w:tcW w:w="2551" w:type="dxa"/>
          </w:tcPr>
          <w:p w:rsidR="00296A09" w:rsidRPr="00AE6636" w:rsidRDefault="00296A09" w:rsidP="001C04F3">
            <w:pPr>
              <w:jc w:val="right"/>
              <w:rPr>
                <w:sz w:val="20"/>
              </w:rPr>
            </w:pPr>
            <w:r w:rsidRPr="00AE6636">
              <w:rPr>
                <w:sz w:val="20"/>
              </w:rPr>
              <w:t>24,</w:t>
            </w:r>
            <w:r w:rsidR="001C04F3" w:rsidRPr="00AE6636">
              <w:rPr>
                <w:sz w:val="20"/>
              </w:rPr>
              <w:t>0</w:t>
            </w:r>
            <w:r w:rsidR="001C04F3">
              <w:rPr>
                <w:sz w:val="20"/>
              </w:rPr>
              <w:t>5</w:t>
            </w:r>
            <w:r w:rsidR="001C04F3" w:rsidRPr="00AE6636">
              <w:rPr>
                <w:sz w:val="20"/>
              </w:rPr>
              <w:t>6</w:t>
            </w:r>
          </w:p>
        </w:tc>
        <w:tc>
          <w:tcPr>
            <w:tcW w:w="2694" w:type="dxa"/>
          </w:tcPr>
          <w:p w:rsidR="00296A09" w:rsidRPr="001C04F3" w:rsidRDefault="00296A09" w:rsidP="001C04F3">
            <w:pPr>
              <w:jc w:val="right"/>
              <w:rPr>
                <w:sz w:val="20"/>
              </w:rPr>
            </w:pPr>
            <w:r w:rsidRPr="001C04F3">
              <w:rPr>
                <w:sz w:val="20"/>
              </w:rPr>
              <w:t>(31,</w:t>
            </w:r>
            <w:r w:rsidR="001C04F3" w:rsidRPr="001C04F3">
              <w:rPr>
                <w:sz w:val="20"/>
              </w:rPr>
              <w:t>5</w:t>
            </w:r>
            <w:r w:rsidR="001C04F3">
              <w:rPr>
                <w:sz w:val="20"/>
              </w:rPr>
              <w:t>6</w:t>
            </w:r>
            <w:r w:rsidR="001C04F3" w:rsidRPr="001C04F3">
              <w:rPr>
                <w:sz w:val="20"/>
              </w:rPr>
              <w:t>7</w:t>
            </w:r>
            <w:r w:rsidRPr="001C04F3">
              <w:rPr>
                <w:sz w:val="20"/>
              </w:rPr>
              <w:t>)</w:t>
            </w:r>
          </w:p>
        </w:tc>
      </w:tr>
      <w:tr w:rsidR="00296A09" w:rsidTr="00296A09">
        <w:tc>
          <w:tcPr>
            <w:tcW w:w="3641" w:type="dxa"/>
          </w:tcPr>
          <w:p w:rsidR="00296A09" w:rsidRPr="00EB122C" w:rsidRDefault="00296A09" w:rsidP="00296A09">
            <w:pPr>
              <w:jc w:val="both"/>
              <w:rPr>
                <w:b/>
                <w:sz w:val="20"/>
              </w:rPr>
            </w:pP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EB122C" w:rsidRDefault="00296A09" w:rsidP="00296A09">
            <w:pPr>
              <w:ind w:right="136"/>
              <w:jc w:val="right"/>
              <w:rPr>
                <w:sz w:val="20"/>
              </w:rPr>
            </w:pPr>
          </w:p>
        </w:tc>
        <w:tc>
          <w:tcPr>
            <w:tcW w:w="2551" w:type="dxa"/>
          </w:tcPr>
          <w:p w:rsidR="00296A09" w:rsidRPr="00AE6636" w:rsidRDefault="00296A09" w:rsidP="00296A09">
            <w:pPr>
              <w:jc w:val="right"/>
              <w:rPr>
                <w:b/>
                <w:sz w:val="20"/>
                <w:highlight w:val="yellow"/>
              </w:rPr>
            </w:pPr>
          </w:p>
        </w:tc>
        <w:tc>
          <w:tcPr>
            <w:tcW w:w="2694" w:type="dxa"/>
          </w:tcPr>
          <w:p w:rsidR="00296A09" w:rsidRPr="00AE6636" w:rsidRDefault="00296A09" w:rsidP="00296A09">
            <w:pPr>
              <w:jc w:val="right"/>
              <w:rPr>
                <w:b/>
                <w:sz w:val="20"/>
                <w:highlight w:val="yellow"/>
              </w:rPr>
            </w:pPr>
          </w:p>
        </w:tc>
      </w:tr>
      <w:tr w:rsidR="00296A09" w:rsidTr="00296A09">
        <w:tc>
          <w:tcPr>
            <w:tcW w:w="3641" w:type="dxa"/>
          </w:tcPr>
          <w:p w:rsidR="00296A09" w:rsidRPr="00EB122C" w:rsidRDefault="00296A09" w:rsidP="00296A09">
            <w:pPr>
              <w:jc w:val="both"/>
              <w:rPr>
                <w:b/>
                <w:sz w:val="20"/>
              </w:rPr>
            </w:pPr>
            <w:r>
              <w:rPr>
                <w:b/>
                <w:sz w:val="20"/>
              </w:rPr>
              <w:t>Surplus</w:t>
            </w:r>
            <w:r w:rsidRPr="00EB122C">
              <w:rPr>
                <w:b/>
                <w:sz w:val="20"/>
              </w:rPr>
              <w:t xml:space="preserve"> on provision of services</w:t>
            </w:r>
          </w:p>
        </w:tc>
        <w:tc>
          <w:tcPr>
            <w:tcW w:w="1559" w:type="dxa"/>
          </w:tcPr>
          <w:p w:rsidR="00296A09" w:rsidRPr="00EB122C" w:rsidRDefault="00296A09" w:rsidP="00296A09">
            <w:pPr>
              <w:ind w:right="136"/>
              <w:jc w:val="right"/>
              <w:rPr>
                <w:sz w:val="20"/>
              </w:rPr>
            </w:pPr>
            <w:r>
              <w:rPr>
                <w:sz w:val="20"/>
              </w:rPr>
              <w:t>(67)</w:t>
            </w:r>
          </w:p>
        </w:tc>
        <w:tc>
          <w:tcPr>
            <w:tcW w:w="2552" w:type="dxa"/>
          </w:tcPr>
          <w:p w:rsidR="00296A09" w:rsidRPr="00EB122C" w:rsidRDefault="00296A09" w:rsidP="00296A09">
            <w:pPr>
              <w:ind w:right="136"/>
              <w:jc w:val="right"/>
              <w:rPr>
                <w:sz w:val="20"/>
              </w:rPr>
            </w:pPr>
            <w:r>
              <w:rPr>
                <w:sz w:val="20"/>
              </w:rPr>
              <w:t>(193)</w:t>
            </w:r>
          </w:p>
        </w:tc>
        <w:tc>
          <w:tcPr>
            <w:tcW w:w="1701" w:type="dxa"/>
          </w:tcPr>
          <w:p w:rsidR="00296A09" w:rsidRPr="00AE6636" w:rsidRDefault="00296A09" w:rsidP="00296A09">
            <w:pPr>
              <w:ind w:right="136"/>
              <w:jc w:val="right"/>
              <w:rPr>
                <w:sz w:val="20"/>
              </w:rPr>
            </w:pPr>
            <w:r w:rsidRPr="00AE6636">
              <w:rPr>
                <w:sz w:val="20"/>
              </w:rPr>
              <w:t>(260)</w:t>
            </w:r>
          </w:p>
        </w:tc>
        <w:tc>
          <w:tcPr>
            <w:tcW w:w="2551" w:type="dxa"/>
          </w:tcPr>
          <w:p w:rsidR="00296A09" w:rsidRPr="001C04F3" w:rsidRDefault="00296A09" w:rsidP="001C04F3">
            <w:pPr>
              <w:jc w:val="right"/>
              <w:rPr>
                <w:b/>
                <w:sz w:val="20"/>
              </w:rPr>
            </w:pPr>
            <w:r w:rsidRPr="001C04F3">
              <w:rPr>
                <w:b/>
                <w:sz w:val="20"/>
              </w:rPr>
              <w:t>10,</w:t>
            </w:r>
            <w:r w:rsidR="001C04F3">
              <w:rPr>
                <w:b/>
                <w:sz w:val="20"/>
              </w:rPr>
              <w:t>816</w:t>
            </w:r>
          </w:p>
        </w:tc>
        <w:tc>
          <w:tcPr>
            <w:tcW w:w="2694" w:type="dxa"/>
          </w:tcPr>
          <w:p w:rsidR="00296A09" w:rsidRPr="001C04F3" w:rsidRDefault="00296A09" w:rsidP="001C04F3">
            <w:pPr>
              <w:jc w:val="right"/>
              <w:rPr>
                <w:b/>
                <w:sz w:val="20"/>
              </w:rPr>
            </w:pPr>
            <w:r w:rsidRPr="001C04F3">
              <w:rPr>
                <w:b/>
                <w:sz w:val="20"/>
              </w:rPr>
              <w:t>10,</w:t>
            </w:r>
            <w:r w:rsidR="001C04F3">
              <w:rPr>
                <w:b/>
                <w:sz w:val="20"/>
              </w:rPr>
              <w:t>556</w:t>
            </w:r>
          </w:p>
        </w:tc>
      </w:tr>
      <w:tr w:rsidR="00296A09" w:rsidTr="00296A09">
        <w:tc>
          <w:tcPr>
            <w:tcW w:w="3641" w:type="dxa"/>
          </w:tcPr>
          <w:p w:rsidR="00296A09" w:rsidRPr="00EB122C" w:rsidRDefault="00296A09" w:rsidP="00296A09">
            <w:pPr>
              <w:jc w:val="both"/>
              <w:rPr>
                <w:sz w:val="20"/>
              </w:rPr>
            </w:pP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AE6636" w:rsidRDefault="00296A09" w:rsidP="00296A09">
            <w:pPr>
              <w:ind w:right="136"/>
              <w:jc w:val="right"/>
              <w:rPr>
                <w:sz w:val="20"/>
              </w:rPr>
            </w:pPr>
          </w:p>
        </w:tc>
        <w:tc>
          <w:tcPr>
            <w:tcW w:w="2551" w:type="dxa"/>
          </w:tcPr>
          <w:p w:rsidR="00296A09" w:rsidRPr="00AE6636" w:rsidRDefault="00296A09" w:rsidP="00296A09">
            <w:pPr>
              <w:jc w:val="right"/>
              <w:rPr>
                <w:sz w:val="20"/>
              </w:rPr>
            </w:pPr>
          </w:p>
        </w:tc>
        <w:tc>
          <w:tcPr>
            <w:tcW w:w="2694" w:type="dxa"/>
          </w:tcPr>
          <w:p w:rsidR="00296A09" w:rsidRPr="00AE6636" w:rsidRDefault="00296A09" w:rsidP="00296A09">
            <w:pPr>
              <w:jc w:val="right"/>
              <w:rPr>
                <w:sz w:val="20"/>
              </w:rPr>
            </w:pPr>
          </w:p>
        </w:tc>
      </w:tr>
      <w:tr w:rsidR="00296A09" w:rsidTr="001C04F3">
        <w:tc>
          <w:tcPr>
            <w:tcW w:w="3641" w:type="dxa"/>
          </w:tcPr>
          <w:p w:rsidR="00296A09" w:rsidRPr="00EB122C" w:rsidRDefault="00296A09" w:rsidP="00296A09">
            <w:pPr>
              <w:jc w:val="both"/>
              <w:rPr>
                <w:sz w:val="20"/>
              </w:rPr>
            </w:pPr>
            <w:r w:rsidRPr="00EB122C">
              <w:rPr>
                <w:sz w:val="20"/>
              </w:rPr>
              <w:t>Opening General Fund balance</w:t>
            </w:r>
            <w:r w:rsidR="001C04F3">
              <w:rPr>
                <w:sz w:val="20"/>
              </w:rPr>
              <w:t>*</w:t>
            </w: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AE6636" w:rsidRDefault="00296A09" w:rsidP="001C04F3">
            <w:pPr>
              <w:ind w:right="136"/>
              <w:jc w:val="right"/>
              <w:rPr>
                <w:sz w:val="20"/>
              </w:rPr>
            </w:pPr>
            <w:r w:rsidRPr="00AE6636">
              <w:rPr>
                <w:sz w:val="20"/>
              </w:rPr>
              <w:t>(10,</w:t>
            </w:r>
            <w:r w:rsidR="001C04F3">
              <w:rPr>
                <w:sz w:val="20"/>
              </w:rPr>
              <w:t>246</w:t>
            </w:r>
            <w:r w:rsidRPr="00AE6636">
              <w:rPr>
                <w:sz w:val="20"/>
              </w:rPr>
              <w:t>)</w:t>
            </w:r>
          </w:p>
        </w:tc>
        <w:tc>
          <w:tcPr>
            <w:tcW w:w="2551" w:type="dxa"/>
          </w:tcPr>
          <w:p w:rsidR="00296A09" w:rsidRPr="00AE6636" w:rsidRDefault="00296A09" w:rsidP="00296A09">
            <w:pPr>
              <w:jc w:val="right"/>
              <w:rPr>
                <w:sz w:val="20"/>
              </w:rPr>
            </w:pPr>
          </w:p>
        </w:tc>
        <w:tc>
          <w:tcPr>
            <w:tcW w:w="2694" w:type="dxa"/>
          </w:tcPr>
          <w:p w:rsidR="00296A09" w:rsidRPr="001C04F3" w:rsidRDefault="00296A09" w:rsidP="00296A09">
            <w:pPr>
              <w:jc w:val="right"/>
              <w:rPr>
                <w:sz w:val="20"/>
              </w:rPr>
            </w:pPr>
          </w:p>
        </w:tc>
      </w:tr>
      <w:tr w:rsidR="00296A09" w:rsidTr="001C04F3">
        <w:tc>
          <w:tcPr>
            <w:tcW w:w="3641" w:type="dxa"/>
          </w:tcPr>
          <w:p w:rsidR="00296A09" w:rsidRPr="00EB122C" w:rsidRDefault="00127504" w:rsidP="00296A09">
            <w:pPr>
              <w:jc w:val="both"/>
              <w:rPr>
                <w:sz w:val="20"/>
              </w:rPr>
            </w:pPr>
            <w:r>
              <w:rPr>
                <w:sz w:val="20"/>
              </w:rPr>
              <w:t>Surplus</w:t>
            </w:r>
            <w:r w:rsidR="00296A09" w:rsidRPr="00EB122C">
              <w:rPr>
                <w:sz w:val="20"/>
              </w:rPr>
              <w:t xml:space="preserve"> on provision of services</w:t>
            </w: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Pr>
          <w:p w:rsidR="00296A09" w:rsidRPr="00AE6636" w:rsidRDefault="00296A09" w:rsidP="00296A09">
            <w:pPr>
              <w:ind w:right="136"/>
              <w:jc w:val="right"/>
              <w:rPr>
                <w:sz w:val="20"/>
              </w:rPr>
            </w:pPr>
            <w:r w:rsidRPr="00AE6636">
              <w:rPr>
                <w:sz w:val="20"/>
              </w:rPr>
              <w:t>(260)</w:t>
            </w:r>
          </w:p>
        </w:tc>
        <w:tc>
          <w:tcPr>
            <w:tcW w:w="2551" w:type="dxa"/>
          </w:tcPr>
          <w:p w:rsidR="00296A09" w:rsidRPr="001C04F3" w:rsidRDefault="00296A09" w:rsidP="00296A09">
            <w:pPr>
              <w:jc w:val="right"/>
              <w:rPr>
                <w:sz w:val="20"/>
              </w:rPr>
            </w:pPr>
          </w:p>
        </w:tc>
        <w:tc>
          <w:tcPr>
            <w:tcW w:w="2694" w:type="dxa"/>
          </w:tcPr>
          <w:p w:rsidR="00296A09" w:rsidRPr="001C04F3" w:rsidRDefault="00296A09" w:rsidP="00296A09">
            <w:pPr>
              <w:jc w:val="right"/>
              <w:rPr>
                <w:sz w:val="20"/>
              </w:rPr>
            </w:pPr>
          </w:p>
        </w:tc>
      </w:tr>
      <w:tr w:rsidR="001C04F3" w:rsidTr="001C04F3">
        <w:tc>
          <w:tcPr>
            <w:tcW w:w="3641" w:type="dxa"/>
          </w:tcPr>
          <w:p w:rsidR="001C04F3" w:rsidRPr="00EB122C" w:rsidRDefault="001C04F3" w:rsidP="00296A09">
            <w:pPr>
              <w:jc w:val="both"/>
              <w:rPr>
                <w:sz w:val="20"/>
              </w:rPr>
            </w:pPr>
            <w:r>
              <w:rPr>
                <w:sz w:val="20"/>
              </w:rPr>
              <w:t>NWFC recognise 25% surplus on provision of services</w:t>
            </w:r>
          </w:p>
        </w:tc>
        <w:tc>
          <w:tcPr>
            <w:tcW w:w="1559" w:type="dxa"/>
          </w:tcPr>
          <w:p w:rsidR="001C04F3" w:rsidRPr="00EB122C" w:rsidRDefault="001C04F3" w:rsidP="00296A09">
            <w:pPr>
              <w:ind w:right="136"/>
              <w:jc w:val="right"/>
              <w:rPr>
                <w:sz w:val="20"/>
              </w:rPr>
            </w:pPr>
          </w:p>
        </w:tc>
        <w:tc>
          <w:tcPr>
            <w:tcW w:w="2552" w:type="dxa"/>
          </w:tcPr>
          <w:p w:rsidR="001C04F3" w:rsidRPr="00EB122C" w:rsidRDefault="001C04F3" w:rsidP="00296A09">
            <w:pPr>
              <w:ind w:right="136"/>
              <w:jc w:val="right"/>
              <w:rPr>
                <w:sz w:val="20"/>
              </w:rPr>
            </w:pPr>
          </w:p>
        </w:tc>
        <w:tc>
          <w:tcPr>
            <w:tcW w:w="1701" w:type="dxa"/>
            <w:tcBorders>
              <w:bottom w:val="double" w:sz="4" w:space="0" w:color="auto"/>
            </w:tcBorders>
            <w:vAlign w:val="center"/>
          </w:tcPr>
          <w:p w:rsidR="001C04F3" w:rsidRPr="00AE6636" w:rsidRDefault="001C04F3" w:rsidP="001C04F3">
            <w:pPr>
              <w:ind w:right="136"/>
              <w:jc w:val="right"/>
              <w:rPr>
                <w:sz w:val="20"/>
              </w:rPr>
            </w:pPr>
            <w:r>
              <w:rPr>
                <w:sz w:val="20"/>
              </w:rPr>
              <w:t>(6)</w:t>
            </w:r>
          </w:p>
        </w:tc>
        <w:tc>
          <w:tcPr>
            <w:tcW w:w="2551" w:type="dxa"/>
          </w:tcPr>
          <w:p w:rsidR="001C04F3" w:rsidRPr="001C04F3" w:rsidRDefault="001C04F3" w:rsidP="00296A09">
            <w:pPr>
              <w:jc w:val="right"/>
              <w:rPr>
                <w:sz w:val="20"/>
              </w:rPr>
            </w:pPr>
          </w:p>
        </w:tc>
        <w:tc>
          <w:tcPr>
            <w:tcW w:w="2694" w:type="dxa"/>
          </w:tcPr>
          <w:p w:rsidR="001C04F3" w:rsidRPr="001C04F3" w:rsidRDefault="001C04F3" w:rsidP="00296A09">
            <w:pPr>
              <w:jc w:val="right"/>
              <w:rPr>
                <w:sz w:val="20"/>
              </w:rPr>
            </w:pPr>
          </w:p>
        </w:tc>
      </w:tr>
      <w:tr w:rsidR="00296A09" w:rsidTr="00296A09">
        <w:tc>
          <w:tcPr>
            <w:tcW w:w="3641" w:type="dxa"/>
          </w:tcPr>
          <w:p w:rsidR="00296A09" w:rsidRPr="00EB122C" w:rsidRDefault="00296A09" w:rsidP="00296A09">
            <w:pPr>
              <w:jc w:val="both"/>
              <w:rPr>
                <w:sz w:val="20"/>
              </w:rPr>
            </w:pPr>
            <w:r w:rsidRPr="00EB122C">
              <w:rPr>
                <w:sz w:val="20"/>
              </w:rPr>
              <w:t>Closing General Fund balance</w:t>
            </w:r>
          </w:p>
        </w:tc>
        <w:tc>
          <w:tcPr>
            <w:tcW w:w="1559" w:type="dxa"/>
          </w:tcPr>
          <w:p w:rsidR="00296A09" w:rsidRPr="00EB122C" w:rsidRDefault="00296A09" w:rsidP="00296A09">
            <w:pPr>
              <w:ind w:right="136"/>
              <w:jc w:val="right"/>
              <w:rPr>
                <w:sz w:val="20"/>
              </w:rPr>
            </w:pPr>
          </w:p>
        </w:tc>
        <w:tc>
          <w:tcPr>
            <w:tcW w:w="2552" w:type="dxa"/>
          </w:tcPr>
          <w:p w:rsidR="00296A09" w:rsidRPr="00EB122C" w:rsidRDefault="00296A09" w:rsidP="00296A09">
            <w:pPr>
              <w:ind w:right="136"/>
              <w:jc w:val="right"/>
              <w:rPr>
                <w:sz w:val="20"/>
              </w:rPr>
            </w:pPr>
          </w:p>
        </w:tc>
        <w:tc>
          <w:tcPr>
            <w:tcW w:w="1701" w:type="dxa"/>
            <w:tcBorders>
              <w:top w:val="single" w:sz="4" w:space="0" w:color="auto"/>
              <w:bottom w:val="double" w:sz="4" w:space="0" w:color="auto"/>
            </w:tcBorders>
          </w:tcPr>
          <w:p w:rsidR="00296A09" w:rsidRPr="00AE6636" w:rsidRDefault="00296A09" w:rsidP="001C04F3">
            <w:pPr>
              <w:ind w:right="136"/>
              <w:jc w:val="right"/>
              <w:rPr>
                <w:sz w:val="20"/>
              </w:rPr>
            </w:pPr>
            <w:r w:rsidRPr="00AE6636">
              <w:rPr>
                <w:sz w:val="20"/>
              </w:rPr>
              <w:t>(10,</w:t>
            </w:r>
            <w:r w:rsidR="001C04F3">
              <w:rPr>
                <w:sz w:val="20"/>
              </w:rPr>
              <w:t>512</w:t>
            </w:r>
            <w:r w:rsidRPr="00AE6636">
              <w:rPr>
                <w:sz w:val="20"/>
              </w:rPr>
              <w:t>)</w:t>
            </w:r>
          </w:p>
        </w:tc>
        <w:tc>
          <w:tcPr>
            <w:tcW w:w="2551" w:type="dxa"/>
          </w:tcPr>
          <w:p w:rsidR="00296A09" w:rsidRPr="001C04F3" w:rsidRDefault="00296A09" w:rsidP="00296A09">
            <w:pPr>
              <w:jc w:val="right"/>
              <w:rPr>
                <w:sz w:val="20"/>
              </w:rPr>
            </w:pPr>
          </w:p>
        </w:tc>
        <w:tc>
          <w:tcPr>
            <w:tcW w:w="2694" w:type="dxa"/>
          </w:tcPr>
          <w:p w:rsidR="00296A09" w:rsidRPr="00AE6636" w:rsidRDefault="00296A09" w:rsidP="00296A09">
            <w:pPr>
              <w:jc w:val="right"/>
              <w:rPr>
                <w:sz w:val="20"/>
              </w:rPr>
            </w:pPr>
          </w:p>
        </w:tc>
      </w:tr>
    </w:tbl>
    <w:p w:rsidR="00F335C6" w:rsidRPr="001C04F3" w:rsidRDefault="001C04F3" w:rsidP="001C04F3">
      <w:pPr>
        <w:ind w:left="720"/>
        <w:jc w:val="both"/>
        <w:rPr>
          <w:sz w:val="20"/>
        </w:rPr>
      </w:pPr>
      <w:r w:rsidRPr="001C04F3">
        <w:rPr>
          <w:sz w:val="20"/>
        </w:rPr>
        <w:t xml:space="preserve">* The 2016/17 balances have been restated to recognise the Authority’s 25% share in North West </w:t>
      </w:r>
      <w:proofErr w:type="spellStart"/>
      <w:r w:rsidRPr="001C04F3">
        <w:rPr>
          <w:sz w:val="20"/>
        </w:rPr>
        <w:t>FireControl</w:t>
      </w:r>
      <w:proofErr w:type="spellEnd"/>
      <w:r w:rsidRPr="001C04F3">
        <w:rPr>
          <w:sz w:val="20"/>
        </w:rPr>
        <w:t xml:space="preserve"> Limited.</w:t>
      </w:r>
    </w:p>
    <w:p w:rsidR="001C04F3" w:rsidRPr="001C04F3" w:rsidRDefault="001C04F3" w:rsidP="001C04F3">
      <w:pPr>
        <w:ind w:left="720"/>
        <w:jc w:val="both"/>
        <w:rPr>
          <w:b/>
          <w:sz w:val="20"/>
        </w:rPr>
      </w:pPr>
    </w:p>
    <w:p w:rsidR="009469D7" w:rsidRDefault="00296A09" w:rsidP="009469D7">
      <w:pPr>
        <w:jc w:val="both"/>
        <w:rPr>
          <w:b/>
          <w:sz w:val="22"/>
        </w:rPr>
      </w:pPr>
      <w:r>
        <w:rPr>
          <w:b/>
          <w:sz w:val="22"/>
        </w:rPr>
        <w:t>1</w:t>
      </w:r>
      <w:r w:rsidR="009469D7">
        <w:rPr>
          <w:b/>
          <w:sz w:val="22"/>
        </w:rPr>
        <w:t>a</w:t>
      </w:r>
      <w:r w:rsidR="009469D7">
        <w:rPr>
          <w:b/>
          <w:sz w:val="22"/>
        </w:rPr>
        <w:tab/>
        <w:t>Note to the Expenditure and Funding Analysis</w:t>
      </w:r>
    </w:p>
    <w:p w:rsidR="009469D7" w:rsidRPr="00F335C6" w:rsidRDefault="009469D7" w:rsidP="009469D7">
      <w:pPr>
        <w:ind w:left="720"/>
        <w:jc w:val="both"/>
        <w:rPr>
          <w:sz w:val="18"/>
          <w:szCs w:val="18"/>
        </w:rPr>
      </w:pPr>
    </w:p>
    <w:tbl>
      <w:tblPr>
        <w:tblStyle w:val="TableGrid"/>
        <w:tblW w:w="146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1843"/>
        <w:gridCol w:w="2126"/>
        <w:gridCol w:w="1406"/>
        <w:gridCol w:w="1713"/>
        <w:gridCol w:w="1276"/>
        <w:gridCol w:w="2410"/>
      </w:tblGrid>
      <w:tr w:rsidR="00DB69E3" w:rsidTr="006C63D8">
        <w:tc>
          <w:tcPr>
            <w:tcW w:w="3924" w:type="dxa"/>
          </w:tcPr>
          <w:p w:rsidR="00DB69E3" w:rsidRPr="0000477D" w:rsidRDefault="00DB69E3" w:rsidP="009469D7">
            <w:pPr>
              <w:jc w:val="both"/>
              <w:rPr>
                <w:sz w:val="20"/>
              </w:rPr>
            </w:pPr>
            <w:r>
              <w:rPr>
                <w:sz w:val="20"/>
              </w:rPr>
              <w:t xml:space="preserve">Adjustments from General Fund to arrive at the </w:t>
            </w:r>
            <w:r w:rsidRPr="00EB122C">
              <w:rPr>
                <w:sz w:val="20"/>
              </w:rPr>
              <w:t>Comprehensive Income and Expenditure Statement</w:t>
            </w:r>
            <w:r>
              <w:rPr>
                <w:sz w:val="20"/>
              </w:rPr>
              <w:t xml:space="preserve"> amounts</w:t>
            </w:r>
          </w:p>
        </w:tc>
        <w:tc>
          <w:tcPr>
            <w:tcW w:w="1843" w:type="dxa"/>
          </w:tcPr>
          <w:p w:rsidR="00DB69E3" w:rsidRPr="0000477D" w:rsidRDefault="00DB69E3" w:rsidP="00820079">
            <w:pPr>
              <w:jc w:val="both"/>
              <w:rPr>
                <w:sz w:val="20"/>
              </w:rPr>
            </w:pPr>
            <w:r>
              <w:rPr>
                <w:sz w:val="20"/>
              </w:rPr>
              <w:t>Transfer to/(from) Earmarked Reserves</w:t>
            </w:r>
          </w:p>
        </w:tc>
        <w:tc>
          <w:tcPr>
            <w:tcW w:w="2126" w:type="dxa"/>
          </w:tcPr>
          <w:p w:rsidR="00DB69E3" w:rsidRPr="00A5478C" w:rsidRDefault="00DB69E3" w:rsidP="00820079">
            <w:pPr>
              <w:jc w:val="both"/>
              <w:rPr>
                <w:b/>
                <w:sz w:val="20"/>
              </w:rPr>
            </w:pPr>
            <w:r w:rsidRPr="00A5478C">
              <w:rPr>
                <w:b/>
                <w:sz w:val="20"/>
              </w:rPr>
              <w:t>Total to arrive at amount charged to the General Fund</w:t>
            </w:r>
          </w:p>
        </w:tc>
        <w:tc>
          <w:tcPr>
            <w:tcW w:w="1406" w:type="dxa"/>
          </w:tcPr>
          <w:p w:rsidR="00DB69E3" w:rsidRPr="0000477D" w:rsidRDefault="00DB69E3" w:rsidP="00820079">
            <w:pPr>
              <w:jc w:val="both"/>
              <w:rPr>
                <w:sz w:val="20"/>
              </w:rPr>
            </w:pPr>
            <w:r w:rsidRPr="0000477D">
              <w:rPr>
                <w:sz w:val="20"/>
              </w:rPr>
              <w:t>Adjustments for Capital Purposes (</w:t>
            </w:r>
            <w:r>
              <w:rPr>
                <w:sz w:val="20"/>
              </w:rPr>
              <w:t>1</w:t>
            </w:r>
            <w:r w:rsidRPr="0000477D">
              <w:rPr>
                <w:sz w:val="20"/>
              </w:rPr>
              <w:t>)</w:t>
            </w:r>
          </w:p>
        </w:tc>
        <w:tc>
          <w:tcPr>
            <w:tcW w:w="1713" w:type="dxa"/>
          </w:tcPr>
          <w:p w:rsidR="00DB69E3" w:rsidRPr="0000477D" w:rsidRDefault="00DB69E3" w:rsidP="00820079">
            <w:pPr>
              <w:jc w:val="both"/>
              <w:rPr>
                <w:sz w:val="20"/>
              </w:rPr>
            </w:pPr>
            <w:r w:rsidRPr="0000477D">
              <w:rPr>
                <w:sz w:val="20"/>
              </w:rPr>
              <w:t>Net change for Pensions Adjustments (</w:t>
            </w:r>
            <w:r>
              <w:rPr>
                <w:sz w:val="20"/>
              </w:rPr>
              <w:t>2</w:t>
            </w:r>
            <w:r w:rsidRPr="0000477D">
              <w:rPr>
                <w:sz w:val="20"/>
              </w:rPr>
              <w:t>)</w:t>
            </w:r>
          </w:p>
        </w:tc>
        <w:tc>
          <w:tcPr>
            <w:tcW w:w="1276" w:type="dxa"/>
          </w:tcPr>
          <w:p w:rsidR="00DB69E3" w:rsidRPr="0000477D" w:rsidRDefault="00DB69E3" w:rsidP="00820079">
            <w:pPr>
              <w:jc w:val="both"/>
              <w:rPr>
                <w:sz w:val="20"/>
              </w:rPr>
            </w:pPr>
            <w:r w:rsidRPr="0000477D">
              <w:rPr>
                <w:sz w:val="20"/>
              </w:rPr>
              <w:t>Other Differences (</w:t>
            </w:r>
            <w:r>
              <w:rPr>
                <w:sz w:val="20"/>
              </w:rPr>
              <w:t>3</w:t>
            </w:r>
            <w:r w:rsidRPr="0000477D">
              <w:rPr>
                <w:sz w:val="20"/>
              </w:rPr>
              <w:t>)</w:t>
            </w:r>
          </w:p>
        </w:tc>
        <w:tc>
          <w:tcPr>
            <w:tcW w:w="2410" w:type="dxa"/>
          </w:tcPr>
          <w:p w:rsidR="00DB69E3" w:rsidRPr="00A06E17" w:rsidRDefault="00DB69E3" w:rsidP="009469D7">
            <w:pPr>
              <w:jc w:val="both"/>
              <w:rPr>
                <w:b/>
                <w:sz w:val="20"/>
              </w:rPr>
            </w:pPr>
            <w:r w:rsidRPr="00A06E17">
              <w:rPr>
                <w:b/>
                <w:sz w:val="20"/>
              </w:rPr>
              <w:t>Total adjustment between funding and accounting basis</w:t>
            </w:r>
          </w:p>
        </w:tc>
      </w:tr>
      <w:tr w:rsidR="00DB69E3" w:rsidTr="006C63D8">
        <w:tc>
          <w:tcPr>
            <w:tcW w:w="3924" w:type="dxa"/>
          </w:tcPr>
          <w:p w:rsidR="00DB69E3" w:rsidRPr="00831631" w:rsidRDefault="00DB69E3" w:rsidP="00296A09">
            <w:pPr>
              <w:jc w:val="both"/>
              <w:rPr>
                <w:b/>
                <w:sz w:val="20"/>
              </w:rPr>
            </w:pPr>
            <w:r w:rsidRPr="00831631">
              <w:rPr>
                <w:b/>
                <w:sz w:val="20"/>
              </w:rPr>
              <w:t>201</w:t>
            </w:r>
            <w:r w:rsidR="00296A09">
              <w:rPr>
                <w:b/>
                <w:sz w:val="20"/>
              </w:rPr>
              <w:t>7</w:t>
            </w:r>
            <w:r w:rsidRPr="00831631">
              <w:rPr>
                <w:b/>
                <w:sz w:val="20"/>
              </w:rPr>
              <w:t>/1</w:t>
            </w:r>
            <w:r w:rsidR="00296A09">
              <w:rPr>
                <w:b/>
                <w:sz w:val="20"/>
              </w:rPr>
              <w:t>8</w:t>
            </w:r>
          </w:p>
        </w:tc>
        <w:tc>
          <w:tcPr>
            <w:tcW w:w="1843" w:type="dxa"/>
          </w:tcPr>
          <w:p w:rsidR="00DB69E3" w:rsidRDefault="00DB69E3" w:rsidP="00DB69E3">
            <w:pPr>
              <w:jc w:val="center"/>
            </w:pPr>
            <w:r w:rsidRPr="00A72C1D">
              <w:rPr>
                <w:sz w:val="20"/>
              </w:rPr>
              <w:t>£000</w:t>
            </w:r>
          </w:p>
        </w:tc>
        <w:tc>
          <w:tcPr>
            <w:tcW w:w="2126" w:type="dxa"/>
          </w:tcPr>
          <w:p w:rsidR="00DB69E3" w:rsidRPr="00A5478C" w:rsidRDefault="00DB69E3" w:rsidP="00DB69E3">
            <w:pPr>
              <w:jc w:val="center"/>
              <w:rPr>
                <w:b/>
              </w:rPr>
            </w:pPr>
            <w:r w:rsidRPr="00A5478C">
              <w:rPr>
                <w:b/>
                <w:sz w:val="20"/>
              </w:rPr>
              <w:t>£000</w:t>
            </w:r>
          </w:p>
        </w:tc>
        <w:tc>
          <w:tcPr>
            <w:tcW w:w="1406" w:type="dxa"/>
          </w:tcPr>
          <w:p w:rsidR="00DB69E3" w:rsidRPr="00EB122C" w:rsidRDefault="00DB69E3" w:rsidP="00535DAA">
            <w:pPr>
              <w:jc w:val="center"/>
              <w:rPr>
                <w:sz w:val="20"/>
              </w:rPr>
            </w:pPr>
            <w:r w:rsidRPr="00EB122C">
              <w:rPr>
                <w:sz w:val="20"/>
              </w:rPr>
              <w:t>£000</w:t>
            </w:r>
          </w:p>
        </w:tc>
        <w:tc>
          <w:tcPr>
            <w:tcW w:w="1713" w:type="dxa"/>
          </w:tcPr>
          <w:p w:rsidR="00DB69E3" w:rsidRPr="00EB122C" w:rsidRDefault="00DB69E3" w:rsidP="00535DAA">
            <w:pPr>
              <w:jc w:val="center"/>
              <w:rPr>
                <w:sz w:val="20"/>
              </w:rPr>
            </w:pPr>
            <w:r w:rsidRPr="00EB122C">
              <w:rPr>
                <w:sz w:val="20"/>
              </w:rPr>
              <w:t>£000</w:t>
            </w:r>
          </w:p>
        </w:tc>
        <w:tc>
          <w:tcPr>
            <w:tcW w:w="1276" w:type="dxa"/>
          </w:tcPr>
          <w:p w:rsidR="00DB69E3" w:rsidRPr="00EB122C" w:rsidRDefault="00DB69E3" w:rsidP="00535DAA">
            <w:pPr>
              <w:jc w:val="center"/>
              <w:rPr>
                <w:sz w:val="20"/>
              </w:rPr>
            </w:pPr>
            <w:r w:rsidRPr="00EB122C">
              <w:rPr>
                <w:sz w:val="20"/>
              </w:rPr>
              <w:t>£000</w:t>
            </w:r>
          </w:p>
        </w:tc>
        <w:tc>
          <w:tcPr>
            <w:tcW w:w="2410" w:type="dxa"/>
          </w:tcPr>
          <w:p w:rsidR="00DB69E3" w:rsidRPr="00A06E17" w:rsidRDefault="00DB69E3" w:rsidP="00535DAA">
            <w:pPr>
              <w:jc w:val="center"/>
              <w:rPr>
                <w:b/>
                <w:sz w:val="20"/>
              </w:rPr>
            </w:pPr>
            <w:r w:rsidRPr="00A06E17">
              <w:rPr>
                <w:b/>
                <w:sz w:val="20"/>
              </w:rPr>
              <w:t>£000</w:t>
            </w:r>
          </w:p>
        </w:tc>
      </w:tr>
      <w:tr w:rsidR="00DB69E3" w:rsidTr="006C63D8">
        <w:tc>
          <w:tcPr>
            <w:tcW w:w="3924" w:type="dxa"/>
          </w:tcPr>
          <w:p w:rsidR="00DB69E3" w:rsidRPr="0000477D" w:rsidRDefault="00DB69E3" w:rsidP="009469D7">
            <w:pPr>
              <w:jc w:val="both"/>
              <w:rPr>
                <w:sz w:val="20"/>
              </w:rPr>
            </w:pPr>
          </w:p>
        </w:tc>
        <w:tc>
          <w:tcPr>
            <w:tcW w:w="1843" w:type="dxa"/>
          </w:tcPr>
          <w:p w:rsidR="00DB69E3" w:rsidRPr="0000477D" w:rsidRDefault="00DB69E3" w:rsidP="009469D7">
            <w:pPr>
              <w:jc w:val="both"/>
              <w:rPr>
                <w:sz w:val="20"/>
              </w:rPr>
            </w:pPr>
          </w:p>
        </w:tc>
        <w:tc>
          <w:tcPr>
            <w:tcW w:w="2126" w:type="dxa"/>
          </w:tcPr>
          <w:p w:rsidR="00DB69E3" w:rsidRPr="0000477D" w:rsidRDefault="00DB69E3" w:rsidP="009469D7">
            <w:pPr>
              <w:jc w:val="both"/>
              <w:rPr>
                <w:sz w:val="20"/>
              </w:rPr>
            </w:pPr>
          </w:p>
        </w:tc>
        <w:tc>
          <w:tcPr>
            <w:tcW w:w="1406" w:type="dxa"/>
          </w:tcPr>
          <w:p w:rsidR="00DB69E3" w:rsidRPr="0000477D" w:rsidRDefault="00DB69E3" w:rsidP="009469D7">
            <w:pPr>
              <w:jc w:val="both"/>
              <w:rPr>
                <w:sz w:val="20"/>
              </w:rPr>
            </w:pPr>
          </w:p>
        </w:tc>
        <w:tc>
          <w:tcPr>
            <w:tcW w:w="1713" w:type="dxa"/>
          </w:tcPr>
          <w:p w:rsidR="00DB69E3" w:rsidRPr="0000477D" w:rsidRDefault="00DB69E3" w:rsidP="009469D7">
            <w:pPr>
              <w:jc w:val="both"/>
              <w:rPr>
                <w:sz w:val="20"/>
              </w:rPr>
            </w:pPr>
          </w:p>
        </w:tc>
        <w:tc>
          <w:tcPr>
            <w:tcW w:w="1276" w:type="dxa"/>
          </w:tcPr>
          <w:p w:rsidR="00DB69E3" w:rsidRPr="0000477D" w:rsidRDefault="00DB69E3" w:rsidP="009469D7">
            <w:pPr>
              <w:jc w:val="both"/>
              <w:rPr>
                <w:sz w:val="20"/>
              </w:rPr>
            </w:pPr>
          </w:p>
        </w:tc>
        <w:tc>
          <w:tcPr>
            <w:tcW w:w="2410" w:type="dxa"/>
          </w:tcPr>
          <w:p w:rsidR="00DB69E3" w:rsidRPr="00A06E17" w:rsidRDefault="00DB69E3" w:rsidP="009469D7">
            <w:pPr>
              <w:jc w:val="both"/>
              <w:rPr>
                <w:b/>
                <w:sz w:val="20"/>
              </w:rPr>
            </w:pPr>
          </w:p>
        </w:tc>
      </w:tr>
      <w:tr w:rsidR="00B95032" w:rsidTr="006C63D8">
        <w:tc>
          <w:tcPr>
            <w:tcW w:w="3924" w:type="dxa"/>
          </w:tcPr>
          <w:p w:rsidR="00B95032" w:rsidRPr="00EB122C" w:rsidRDefault="00B95032" w:rsidP="00535DAA">
            <w:pPr>
              <w:jc w:val="both"/>
              <w:rPr>
                <w:sz w:val="20"/>
              </w:rPr>
            </w:pPr>
            <w:r w:rsidRPr="00EB122C">
              <w:rPr>
                <w:sz w:val="20"/>
              </w:rPr>
              <w:t>Service Delivery</w:t>
            </w:r>
          </w:p>
        </w:tc>
        <w:tc>
          <w:tcPr>
            <w:tcW w:w="1843" w:type="dxa"/>
            <w:vAlign w:val="center"/>
          </w:tcPr>
          <w:p w:rsidR="00B95032" w:rsidRPr="0000477D" w:rsidRDefault="00B95032" w:rsidP="00AC7C34">
            <w:pPr>
              <w:ind w:right="212"/>
              <w:jc w:val="right"/>
              <w:rPr>
                <w:sz w:val="20"/>
              </w:rPr>
            </w:pPr>
            <w:r>
              <w:rPr>
                <w:sz w:val="20"/>
              </w:rPr>
              <w:t>-</w:t>
            </w:r>
          </w:p>
        </w:tc>
        <w:tc>
          <w:tcPr>
            <w:tcW w:w="2126" w:type="dxa"/>
            <w:vAlign w:val="center"/>
          </w:tcPr>
          <w:p w:rsidR="00B95032" w:rsidRPr="00AC7C34" w:rsidRDefault="00B95032" w:rsidP="00AC7C34">
            <w:pPr>
              <w:ind w:right="212"/>
              <w:jc w:val="right"/>
              <w:rPr>
                <w:b/>
                <w:sz w:val="20"/>
              </w:rPr>
            </w:pPr>
            <w:r w:rsidRPr="00AC7C34">
              <w:rPr>
                <w:b/>
                <w:sz w:val="20"/>
              </w:rPr>
              <w:t>-</w:t>
            </w:r>
          </w:p>
        </w:tc>
        <w:tc>
          <w:tcPr>
            <w:tcW w:w="1406" w:type="dxa"/>
            <w:vAlign w:val="center"/>
          </w:tcPr>
          <w:p w:rsidR="00B95032" w:rsidRPr="0000477D" w:rsidRDefault="00B95032" w:rsidP="00B95032">
            <w:pPr>
              <w:ind w:right="238"/>
              <w:jc w:val="right"/>
              <w:rPr>
                <w:sz w:val="20"/>
              </w:rPr>
            </w:pPr>
            <w:r>
              <w:rPr>
                <w:sz w:val="20"/>
              </w:rPr>
              <w:t>(16)</w:t>
            </w:r>
          </w:p>
        </w:tc>
        <w:tc>
          <w:tcPr>
            <w:tcW w:w="1713" w:type="dxa"/>
            <w:vAlign w:val="center"/>
          </w:tcPr>
          <w:p w:rsidR="00B95032" w:rsidRPr="0000477D" w:rsidRDefault="00B95032" w:rsidP="00AC7C34">
            <w:pPr>
              <w:ind w:right="238"/>
              <w:jc w:val="right"/>
              <w:rPr>
                <w:sz w:val="20"/>
              </w:rPr>
            </w:pPr>
            <w:r>
              <w:rPr>
                <w:sz w:val="20"/>
              </w:rPr>
              <w:t>(7,869)</w:t>
            </w:r>
          </w:p>
        </w:tc>
        <w:tc>
          <w:tcPr>
            <w:tcW w:w="1276" w:type="dxa"/>
            <w:vAlign w:val="center"/>
          </w:tcPr>
          <w:p w:rsidR="00B95032" w:rsidRPr="001C04F3" w:rsidRDefault="001C04F3" w:rsidP="00305904">
            <w:pPr>
              <w:ind w:right="179"/>
              <w:jc w:val="right"/>
              <w:rPr>
                <w:sz w:val="20"/>
              </w:rPr>
            </w:pPr>
            <w:r>
              <w:rPr>
                <w:sz w:val="20"/>
              </w:rPr>
              <w:t>57</w:t>
            </w:r>
          </w:p>
        </w:tc>
        <w:tc>
          <w:tcPr>
            <w:tcW w:w="2410" w:type="dxa"/>
          </w:tcPr>
          <w:p w:rsidR="00B95032" w:rsidRPr="001C04F3" w:rsidRDefault="001A46C4" w:rsidP="001C04F3">
            <w:pPr>
              <w:ind w:right="238"/>
              <w:jc w:val="right"/>
              <w:rPr>
                <w:b/>
                <w:sz w:val="20"/>
              </w:rPr>
            </w:pPr>
            <w:r w:rsidRPr="001C04F3">
              <w:rPr>
                <w:b/>
                <w:sz w:val="20"/>
              </w:rPr>
              <w:t>(</w:t>
            </w:r>
            <w:r w:rsidR="001C04F3">
              <w:rPr>
                <w:b/>
                <w:sz w:val="20"/>
              </w:rPr>
              <w:t>7</w:t>
            </w:r>
            <w:r w:rsidRPr="001C04F3">
              <w:rPr>
                <w:b/>
                <w:sz w:val="20"/>
              </w:rPr>
              <w:t>,</w:t>
            </w:r>
            <w:r w:rsidR="001C04F3">
              <w:rPr>
                <w:b/>
                <w:sz w:val="20"/>
              </w:rPr>
              <w:t>828</w:t>
            </w:r>
            <w:r w:rsidRPr="001C04F3">
              <w:rPr>
                <w:b/>
                <w:sz w:val="20"/>
              </w:rPr>
              <w:t>)</w:t>
            </w:r>
          </w:p>
        </w:tc>
      </w:tr>
      <w:tr w:rsidR="00B95032" w:rsidTr="006C63D8">
        <w:tc>
          <w:tcPr>
            <w:tcW w:w="3924" w:type="dxa"/>
          </w:tcPr>
          <w:p w:rsidR="00B95032" w:rsidRPr="00EB122C" w:rsidRDefault="00B95032" w:rsidP="00535DAA">
            <w:pPr>
              <w:jc w:val="both"/>
              <w:rPr>
                <w:sz w:val="20"/>
              </w:rPr>
            </w:pPr>
            <w:r w:rsidRPr="00EB122C">
              <w:rPr>
                <w:sz w:val="20"/>
              </w:rPr>
              <w:t>Strategy and Planning</w:t>
            </w:r>
          </w:p>
        </w:tc>
        <w:tc>
          <w:tcPr>
            <w:tcW w:w="1843" w:type="dxa"/>
            <w:vAlign w:val="center"/>
          </w:tcPr>
          <w:p w:rsidR="00B95032" w:rsidRPr="0000477D" w:rsidRDefault="00B95032" w:rsidP="00AC7C34">
            <w:pPr>
              <w:ind w:right="212"/>
              <w:jc w:val="right"/>
              <w:rPr>
                <w:sz w:val="20"/>
              </w:rPr>
            </w:pPr>
            <w:r>
              <w:rPr>
                <w:sz w:val="20"/>
              </w:rPr>
              <w:t>-</w:t>
            </w:r>
          </w:p>
        </w:tc>
        <w:tc>
          <w:tcPr>
            <w:tcW w:w="2126" w:type="dxa"/>
            <w:vAlign w:val="center"/>
          </w:tcPr>
          <w:p w:rsidR="00B95032" w:rsidRPr="00AC7C34" w:rsidRDefault="00B95032" w:rsidP="00AC7C34">
            <w:pPr>
              <w:ind w:right="212"/>
              <w:jc w:val="right"/>
              <w:rPr>
                <w:b/>
                <w:sz w:val="20"/>
              </w:rPr>
            </w:pPr>
            <w:r w:rsidRPr="00AC7C34">
              <w:rPr>
                <w:b/>
                <w:sz w:val="20"/>
              </w:rPr>
              <w:t>-</w:t>
            </w:r>
          </w:p>
        </w:tc>
        <w:tc>
          <w:tcPr>
            <w:tcW w:w="1406" w:type="dxa"/>
            <w:vAlign w:val="center"/>
          </w:tcPr>
          <w:p w:rsidR="00B95032" w:rsidRPr="0000477D" w:rsidRDefault="00B95032" w:rsidP="00B95032">
            <w:pPr>
              <w:ind w:right="238"/>
              <w:jc w:val="right"/>
              <w:rPr>
                <w:sz w:val="20"/>
              </w:rPr>
            </w:pPr>
            <w:r>
              <w:rPr>
                <w:sz w:val="20"/>
              </w:rPr>
              <w:t>(41)</w:t>
            </w:r>
          </w:p>
        </w:tc>
        <w:tc>
          <w:tcPr>
            <w:tcW w:w="1713" w:type="dxa"/>
            <w:vAlign w:val="center"/>
          </w:tcPr>
          <w:p w:rsidR="00B95032" w:rsidRPr="0000477D" w:rsidRDefault="00B95032" w:rsidP="00305904">
            <w:pPr>
              <w:ind w:right="238"/>
              <w:jc w:val="right"/>
              <w:rPr>
                <w:sz w:val="20"/>
              </w:rPr>
            </w:pPr>
            <w:r>
              <w:rPr>
                <w:sz w:val="20"/>
              </w:rPr>
              <w:t>(750)</w:t>
            </w:r>
          </w:p>
        </w:tc>
        <w:tc>
          <w:tcPr>
            <w:tcW w:w="1276" w:type="dxa"/>
            <w:vAlign w:val="center"/>
          </w:tcPr>
          <w:p w:rsidR="00B95032" w:rsidRPr="001C04F3" w:rsidRDefault="00B95032" w:rsidP="00305904">
            <w:pPr>
              <w:ind w:right="179"/>
              <w:jc w:val="right"/>
              <w:rPr>
                <w:sz w:val="20"/>
              </w:rPr>
            </w:pPr>
            <w:r w:rsidRPr="001C04F3">
              <w:rPr>
                <w:sz w:val="20"/>
              </w:rPr>
              <w:t>(125)</w:t>
            </w:r>
          </w:p>
        </w:tc>
        <w:tc>
          <w:tcPr>
            <w:tcW w:w="2410" w:type="dxa"/>
            <w:vAlign w:val="center"/>
          </w:tcPr>
          <w:p w:rsidR="00B95032" w:rsidRPr="001C04F3" w:rsidRDefault="001A46C4" w:rsidP="00AC7C34">
            <w:pPr>
              <w:ind w:right="238"/>
              <w:jc w:val="right"/>
              <w:rPr>
                <w:b/>
                <w:sz w:val="20"/>
              </w:rPr>
            </w:pPr>
            <w:r w:rsidRPr="001C04F3">
              <w:rPr>
                <w:b/>
                <w:sz w:val="20"/>
              </w:rPr>
              <w:t>(916)</w:t>
            </w:r>
          </w:p>
        </w:tc>
      </w:tr>
      <w:tr w:rsidR="00564ABC" w:rsidTr="006C63D8">
        <w:tc>
          <w:tcPr>
            <w:tcW w:w="3924" w:type="dxa"/>
          </w:tcPr>
          <w:p w:rsidR="00564ABC" w:rsidRPr="00EB122C" w:rsidRDefault="00564ABC" w:rsidP="00535DAA">
            <w:pPr>
              <w:jc w:val="both"/>
              <w:rPr>
                <w:sz w:val="20"/>
              </w:rPr>
            </w:pPr>
            <w:r w:rsidRPr="00EB122C">
              <w:rPr>
                <w:sz w:val="20"/>
              </w:rPr>
              <w:t>People and Development</w:t>
            </w:r>
          </w:p>
        </w:tc>
        <w:tc>
          <w:tcPr>
            <w:tcW w:w="1843" w:type="dxa"/>
            <w:vAlign w:val="center"/>
          </w:tcPr>
          <w:p w:rsidR="00564ABC" w:rsidRPr="0000477D" w:rsidRDefault="00564ABC" w:rsidP="00AC7C34">
            <w:pPr>
              <w:ind w:right="212"/>
              <w:jc w:val="right"/>
              <w:rPr>
                <w:sz w:val="20"/>
              </w:rPr>
            </w:pPr>
            <w:r>
              <w:rPr>
                <w:sz w:val="20"/>
              </w:rPr>
              <w:t>-</w:t>
            </w:r>
          </w:p>
        </w:tc>
        <w:tc>
          <w:tcPr>
            <w:tcW w:w="2126" w:type="dxa"/>
            <w:vAlign w:val="center"/>
          </w:tcPr>
          <w:p w:rsidR="00564ABC" w:rsidRPr="00AC7C34" w:rsidRDefault="00564ABC" w:rsidP="00AC7C34">
            <w:pPr>
              <w:ind w:right="212"/>
              <w:jc w:val="right"/>
              <w:rPr>
                <w:b/>
                <w:sz w:val="20"/>
              </w:rPr>
            </w:pPr>
            <w:r w:rsidRPr="00AC7C34">
              <w:rPr>
                <w:b/>
                <w:sz w:val="20"/>
              </w:rPr>
              <w:t>-</w:t>
            </w:r>
          </w:p>
        </w:tc>
        <w:tc>
          <w:tcPr>
            <w:tcW w:w="1406" w:type="dxa"/>
            <w:vAlign w:val="center"/>
          </w:tcPr>
          <w:p w:rsidR="00564ABC" w:rsidRPr="0000477D" w:rsidRDefault="00564ABC" w:rsidP="00AC7C34">
            <w:pPr>
              <w:ind w:right="212"/>
              <w:jc w:val="right"/>
              <w:rPr>
                <w:sz w:val="20"/>
              </w:rPr>
            </w:pPr>
            <w:r>
              <w:rPr>
                <w:sz w:val="20"/>
              </w:rPr>
              <w:t>-</w:t>
            </w:r>
          </w:p>
        </w:tc>
        <w:tc>
          <w:tcPr>
            <w:tcW w:w="1713" w:type="dxa"/>
            <w:vAlign w:val="center"/>
          </w:tcPr>
          <w:p w:rsidR="00564ABC" w:rsidRPr="0000477D" w:rsidRDefault="00B95032" w:rsidP="00305904">
            <w:pPr>
              <w:ind w:right="238"/>
              <w:jc w:val="right"/>
              <w:rPr>
                <w:sz w:val="20"/>
              </w:rPr>
            </w:pPr>
            <w:r>
              <w:rPr>
                <w:sz w:val="20"/>
              </w:rPr>
              <w:t>137</w:t>
            </w:r>
          </w:p>
        </w:tc>
        <w:tc>
          <w:tcPr>
            <w:tcW w:w="1276" w:type="dxa"/>
            <w:vAlign w:val="center"/>
          </w:tcPr>
          <w:p w:rsidR="00564ABC" w:rsidRPr="001C04F3" w:rsidRDefault="00B95032" w:rsidP="00A06E17">
            <w:pPr>
              <w:ind w:right="179"/>
              <w:jc w:val="right"/>
              <w:rPr>
                <w:sz w:val="20"/>
              </w:rPr>
            </w:pPr>
            <w:r w:rsidRPr="001C04F3">
              <w:rPr>
                <w:sz w:val="20"/>
              </w:rPr>
              <w:t>-</w:t>
            </w:r>
          </w:p>
        </w:tc>
        <w:tc>
          <w:tcPr>
            <w:tcW w:w="2410" w:type="dxa"/>
            <w:vAlign w:val="center"/>
          </w:tcPr>
          <w:p w:rsidR="00564ABC" w:rsidRPr="001C04F3" w:rsidRDefault="001A46C4" w:rsidP="00305904">
            <w:pPr>
              <w:ind w:right="238"/>
              <w:jc w:val="right"/>
              <w:rPr>
                <w:b/>
                <w:sz w:val="20"/>
              </w:rPr>
            </w:pPr>
            <w:r w:rsidRPr="001C04F3">
              <w:rPr>
                <w:b/>
                <w:sz w:val="20"/>
              </w:rPr>
              <w:t>137</w:t>
            </w:r>
          </w:p>
        </w:tc>
      </w:tr>
      <w:tr w:rsidR="00564ABC" w:rsidTr="006C63D8">
        <w:tc>
          <w:tcPr>
            <w:tcW w:w="3924" w:type="dxa"/>
          </w:tcPr>
          <w:p w:rsidR="00564ABC" w:rsidRPr="00EB122C" w:rsidRDefault="00564ABC" w:rsidP="00535DAA">
            <w:pPr>
              <w:jc w:val="both"/>
              <w:rPr>
                <w:sz w:val="20"/>
              </w:rPr>
            </w:pPr>
            <w:r w:rsidRPr="00EB122C">
              <w:rPr>
                <w:sz w:val="20"/>
              </w:rPr>
              <w:t>Corporate Services</w:t>
            </w:r>
          </w:p>
        </w:tc>
        <w:tc>
          <w:tcPr>
            <w:tcW w:w="1843" w:type="dxa"/>
            <w:vAlign w:val="center"/>
          </w:tcPr>
          <w:p w:rsidR="00564ABC" w:rsidRPr="0000477D" w:rsidRDefault="00564ABC" w:rsidP="00AC7C34">
            <w:pPr>
              <w:ind w:right="212"/>
              <w:jc w:val="right"/>
              <w:rPr>
                <w:sz w:val="20"/>
              </w:rPr>
            </w:pPr>
            <w:r>
              <w:rPr>
                <w:sz w:val="20"/>
              </w:rPr>
              <w:t>-</w:t>
            </w:r>
          </w:p>
        </w:tc>
        <w:tc>
          <w:tcPr>
            <w:tcW w:w="2126" w:type="dxa"/>
            <w:vAlign w:val="center"/>
          </w:tcPr>
          <w:p w:rsidR="00564ABC" w:rsidRPr="00AC7C34" w:rsidRDefault="00564ABC" w:rsidP="00AC7C34">
            <w:pPr>
              <w:ind w:right="212"/>
              <w:jc w:val="right"/>
              <w:rPr>
                <w:b/>
                <w:sz w:val="20"/>
              </w:rPr>
            </w:pPr>
            <w:r w:rsidRPr="00AC7C34">
              <w:rPr>
                <w:b/>
                <w:sz w:val="20"/>
              </w:rPr>
              <w:t>-</w:t>
            </w:r>
          </w:p>
        </w:tc>
        <w:tc>
          <w:tcPr>
            <w:tcW w:w="1406" w:type="dxa"/>
            <w:vAlign w:val="center"/>
          </w:tcPr>
          <w:p w:rsidR="00564ABC" w:rsidRPr="0000477D" w:rsidRDefault="00564ABC" w:rsidP="00AC7C34">
            <w:pPr>
              <w:ind w:right="212"/>
              <w:jc w:val="right"/>
              <w:rPr>
                <w:sz w:val="20"/>
              </w:rPr>
            </w:pPr>
            <w:r>
              <w:rPr>
                <w:sz w:val="20"/>
              </w:rPr>
              <w:t>-</w:t>
            </w:r>
          </w:p>
        </w:tc>
        <w:tc>
          <w:tcPr>
            <w:tcW w:w="1713" w:type="dxa"/>
            <w:vAlign w:val="center"/>
          </w:tcPr>
          <w:p w:rsidR="00564ABC" w:rsidRPr="0000477D" w:rsidRDefault="00B95032" w:rsidP="00305904">
            <w:pPr>
              <w:ind w:right="238"/>
              <w:jc w:val="right"/>
              <w:rPr>
                <w:sz w:val="20"/>
              </w:rPr>
            </w:pPr>
            <w:r>
              <w:rPr>
                <w:sz w:val="20"/>
              </w:rPr>
              <w:t>55</w:t>
            </w:r>
          </w:p>
        </w:tc>
        <w:tc>
          <w:tcPr>
            <w:tcW w:w="1276" w:type="dxa"/>
            <w:vAlign w:val="center"/>
          </w:tcPr>
          <w:p w:rsidR="00564ABC" w:rsidRPr="001C04F3" w:rsidRDefault="00B95032" w:rsidP="00A06E17">
            <w:pPr>
              <w:ind w:right="179"/>
              <w:jc w:val="right"/>
              <w:rPr>
                <w:sz w:val="20"/>
              </w:rPr>
            </w:pPr>
            <w:r w:rsidRPr="001C04F3">
              <w:rPr>
                <w:sz w:val="20"/>
              </w:rPr>
              <w:t>-</w:t>
            </w:r>
          </w:p>
        </w:tc>
        <w:tc>
          <w:tcPr>
            <w:tcW w:w="2410" w:type="dxa"/>
            <w:vAlign w:val="center"/>
          </w:tcPr>
          <w:p w:rsidR="00564ABC" w:rsidRPr="001C04F3" w:rsidRDefault="001A46C4" w:rsidP="00305904">
            <w:pPr>
              <w:ind w:right="238"/>
              <w:jc w:val="right"/>
              <w:rPr>
                <w:b/>
                <w:sz w:val="20"/>
              </w:rPr>
            </w:pPr>
            <w:r w:rsidRPr="001C04F3">
              <w:rPr>
                <w:b/>
                <w:sz w:val="20"/>
              </w:rPr>
              <w:t>55</w:t>
            </w:r>
          </w:p>
        </w:tc>
      </w:tr>
      <w:tr w:rsidR="00564ABC" w:rsidTr="006C63D8">
        <w:tc>
          <w:tcPr>
            <w:tcW w:w="3924" w:type="dxa"/>
          </w:tcPr>
          <w:p w:rsidR="00564ABC" w:rsidRPr="00EB122C" w:rsidRDefault="00564ABC" w:rsidP="00535DAA">
            <w:pPr>
              <w:jc w:val="both"/>
              <w:rPr>
                <w:sz w:val="20"/>
              </w:rPr>
            </w:pPr>
            <w:r w:rsidRPr="00EB122C">
              <w:rPr>
                <w:sz w:val="20"/>
              </w:rPr>
              <w:t>Firefighters Pensions</w:t>
            </w:r>
          </w:p>
        </w:tc>
        <w:tc>
          <w:tcPr>
            <w:tcW w:w="1843" w:type="dxa"/>
            <w:vAlign w:val="center"/>
          </w:tcPr>
          <w:p w:rsidR="00564ABC" w:rsidRPr="0000477D" w:rsidRDefault="00564ABC" w:rsidP="00AC7C34">
            <w:pPr>
              <w:ind w:right="212"/>
              <w:jc w:val="right"/>
              <w:rPr>
                <w:sz w:val="20"/>
              </w:rPr>
            </w:pPr>
            <w:r>
              <w:rPr>
                <w:sz w:val="20"/>
              </w:rPr>
              <w:t>-</w:t>
            </w:r>
          </w:p>
        </w:tc>
        <w:tc>
          <w:tcPr>
            <w:tcW w:w="2126" w:type="dxa"/>
            <w:vAlign w:val="center"/>
          </w:tcPr>
          <w:p w:rsidR="00564ABC" w:rsidRPr="00AC7C34" w:rsidRDefault="00564ABC" w:rsidP="00AC7C34">
            <w:pPr>
              <w:ind w:right="212"/>
              <w:jc w:val="right"/>
              <w:rPr>
                <w:b/>
                <w:sz w:val="20"/>
              </w:rPr>
            </w:pPr>
            <w:r w:rsidRPr="00AC7C34">
              <w:rPr>
                <w:b/>
                <w:sz w:val="20"/>
              </w:rPr>
              <w:t>-</w:t>
            </w:r>
          </w:p>
        </w:tc>
        <w:tc>
          <w:tcPr>
            <w:tcW w:w="1406" w:type="dxa"/>
            <w:vAlign w:val="center"/>
          </w:tcPr>
          <w:p w:rsidR="00564ABC" w:rsidRPr="0000477D" w:rsidRDefault="00564ABC" w:rsidP="00AC7C34">
            <w:pPr>
              <w:ind w:right="212"/>
              <w:jc w:val="right"/>
              <w:rPr>
                <w:sz w:val="20"/>
              </w:rPr>
            </w:pPr>
            <w:r>
              <w:rPr>
                <w:sz w:val="20"/>
              </w:rPr>
              <w:t>-</w:t>
            </w:r>
          </w:p>
        </w:tc>
        <w:tc>
          <w:tcPr>
            <w:tcW w:w="1713" w:type="dxa"/>
            <w:vAlign w:val="center"/>
          </w:tcPr>
          <w:p w:rsidR="00564ABC" w:rsidRPr="0000477D" w:rsidRDefault="00B95032" w:rsidP="00535DAA">
            <w:pPr>
              <w:ind w:right="238"/>
              <w:jc w:val="right"/>
              <w:rPr>
                <w:sz w:val="20"/>
              </w:rPr>
            </w:pPr>
            <w:r>
              <w:rPr>
                <w:sz w:val="20"/>
              </w:rPr>
              <w:t>-</w:t>
            </w:r>
          </w:p>
        </w:tc>
        <w:tc>
          <w:tcPr>
            <w:tcW w:w="1276" w:type="dxa"/>
            <w:vAlign w:val="center"/>
          </w:tcPr>
          <w:p w:rsidR="00564ABC" w:rsidRPr="001C04F3" w:rsidRDefault="00B95032" w:rsidP="00A06E17">
            <w:pPr>
              <w:ind w:right="179"/>
              <w:jc w:val="right"/>
              <w:rPr>
                <w:sz w:val="20"/>
              </w:rPr>
            </w:pPr>
            <w:r w:rsidRPr="001C04F3">
              <w:rPr>
                <w:sz w:val="20"/>
              </w:rPr>
              <w:t>-</w:t>
            </w:r>
          </w:p>
        </w:tc>
        <w:tc>
          <w:tcPr>
            <w:tcW w:w="2410" w:type="dxa"/>
            <w:vAlign w:val="center"/>
          </w:tcPr>
          <w:p w:rsidR="00564ABC" w:rsidRPr="001C04F3" w:rsidRDefault="001A46C4" w:rsidP="00305904">
            <w:pPr>
              <w:ind w:right="238"/>
              <w:jc w:val="right"/>
              <w:rPr>
                <w:b/>
                <w:sz w:val="20"/>
              </w:rPr>
            </w:pPr>
            <w:r w:rsidRPr="001C04F3">
              <w:rPr>
                <w:b/>
                <w:sz w:val="20"/>
              </w:rPr>
              <w:t>-</w:t>
            </w:r>
          </w:p>
        </w:tc>
      </w:tr>
      <w:tr w:rsidR="000F173B" w:rsidTr="006C63D8">
        <w:tc>
          <w:tcPr>
            <w:tcW w:w="3924" w:type="dxa"/>
          </w:tcPr>
          <w:p w:rsidR="000F173B" w:rsidRPr="00EB122C" w:rsidRDefault="000F173B" w:rsidP="00535DAA">
            <w:pPr>
              <w:jc w:val="both"/>
              <w:rPr>
                <w:sz w:val="20"/>
              </w:rPr>
            </w:pPr>
            <w:r w:rsidRPr="00EB122C">
              <w:rPr>
                <w:sz w:val="20"/>
              </w:rPr>
              <w:t>Overheads</w:t>
            </w:r>
          </w:p>
        </w:tc>
        <w:tc>
          <w:tcPr>
            <w:tcW w:w="1843" w:type="dxa"/>
          </w:tcPr>
          <w:p w:rsidR="000F173B" w:rsidRPr="0000477D" w:rsidRDefault="00B95032" w:rsidP="00535DAA">
            <w:pPr>
              <w:ind w:right="238"/>
              <w:jc w:val="right"/>
              <w:rPr>
                <w:sz w:val="20"/>
              </w:rPr>
            </w:pPr>
            <w:r>
              <w:rPr>
                <w:sz w:val="20"/>
              </w:rPr>
              <w:t>(17)</w:t>
            </w:r>
          </w:p>
        </w:tc>
        <w:tc>
          <w:tcPr>
            <w:tcW w:w="2126" w:type="dxa"/>
          </w:tcPr>
          <w:p w:rsidR="000F173B" w:rsidRPr="00AC7C34" w:rsidRDefault="00B95032" w:rsidP="00AC7C34">
            <w:pPr>
              <w:ind w:right="238"/>
              <w:jc w:val="right"/>
              <w:rPr>
                <w:b/>
                <w:sz w:val="20"/>
              </w:rPr>
            </w:pPr>
            <w:r>
              <w:rPr>
                <w:b/>
                <w:sz w:val="20"/>
              </w:rPr>
              <w:t>(17)</w:t>
            </w:r>
          </w:p>
        </w:tc>
        <w:tc>
          <w:tcPr>
            <w:tcW w:w="1406" w:type="dxa"/>
            <w:vAlign w:val="center"/>
          </w:tcPr>
          <w:p w:rsidR="000F173B" w:rsidRPr="0000477D" w:rsidRDefault="00B95032" w:rsidP="00535DAA">
            <w:pPr>
              <w:ind w:right="238"/>
              <w:jc w:val="right"/>
              <w:rPr>
                <w:sz w:val="20"/>
              </w:rPr>
            </w:pPr>
            <w:r>
              <w:rPr>
                <w:sz w:val="20"/>
              </w:rPr>
              <w:t>1,597</w:t>
            </w:r>
          </w:p>
        </w:tc>
        <w:tc>
          <w:tcPr>
            <w:tcW w:w="1713" w:type="dxa"/>
            <w:vAlign w:val="center"/>
          </w:tcPr>
          <w:p w:rsidR="000F173B" w:rsidRPr="0000477D" w:rsidRDefault="00B95032" w:rsidP="00A06E17">
            <w:pPr>
              <w:ind w:right="238"/>
              <w:jc w:val="right"/>
              <w:rPr>
                <w:sz w:val="20"/>
              </w:rPr>
            </w:pPr>
            <w:r>
              <w:rPr>
                <w:sz w:val="20"/>
              </w:rPr>
              <w:t>582</w:t>
            </w:r>
          </w:p>
        </w:tc>
        <w:tc>
          <w:tcPr>
            <w:tcW w:w="1276" w:type="dxa"/>
            <w:vAlign w:val="center"/>
          </w:tcPr>
          <w:p w:rsidR="000F173B" w:rsidRPr="001C04F3" w:rsidRDefault="00B95032" w:rsidP="00A06E17">
            <w:pPr>
              <w:ind w:right="179"/>
              <w:jc w:val="right"/>
              <w:rPr>
                <w:sz w:val="20"/>
              </w:rPr>
            </w:pPr>
            <w:r w:rsidRPr="001C04F3">
              <w:rPr>
                <w:sz w:val="20"/>
              </w:rPr>
              <w:t>(1,459)</w:t>
            </w:r>
          </w:p>
        </w:tc>
        <w:tc>
          <w:tcPr>
            <w:tcW w:w="2410" w:type="dxa"/>
            <w:vAlign w:val="center"/>
          </w:tcPr>
          <w:p w:rsidR="000F173B" w:rsidRPr="001C04F3" w:rsidRDefault="001A46C4" w:rsidP="00AC7C34">
            <w:pPr>
              <w:ind w:right="238"/>
              <w:jc w:val="right"/>
              <w:rPr>
                <w:b/>
                <w:sz w:val="20"/>
              </w:rPr>
            </w:pPr>
            <w:r w:rsidRPr="001C04F3">
              <w:rPr>
                <w:b/>
                <w:sz w:val="20"/>
              </w:rPr>
              <w:t>720</w:t>
            </w:r>
          </w:p>
        </w:tc>
      </w:tr>
      <w:tr w:rsidR="000F173B" w:rsidTr="006C63D8">
        <w:tc>
          <w:tcPr>
            <w:tcW w:w="3924" w:type="dxa"/>
          </w:tcPr>
          <w:p w:rsidR="000F173B" w:rsidRPr="0000477D" w:rsidRDefault="000F173B" w:rsidP="009469D7">
            <w:pPr>
              <w:jc w:val="both"/>
              <w:rPr>
                <w:sz w:val="20"/>
              </w:rPr>
            </w:pPr>
          </w:p>
        </w:tc>
        <w:tc>
          <w:tcPr>
            <w:tcW w:w="1843" w:type="dxa"/>
          </w:tcPr>
          <w:p w:rsidR="000F173B" w:rsidRPr="0000477D" w:rsidRDefault="000F173B" w:rsidP="00535DAA">
            <w:pPr>
              <w:ind w:right="238"/>
              <w:jc w:val="right"/>
              <w:rPr>
                <w:sz w:val="20"/>
              </w:rPr>
            </w:pPr>
          </w:p>
        </w:tc>
        <w:tc>
          <w:tcPr>
            <w:tcW w:w="2126" w:type="dxa"/>
          </w:tcPr>
          <w:p w:rsidR="000F173B" w:rsidRPr="00AC7C34" w:rsidRDefault="000F173B" w:rsidP="00AC7C34">
            <w:pPr>
              <w:ind w:right="238"/>
              <w:jc w:val="right"/>
              <w:rPr>
                <w:b/>
                <w:sz w:val="20"/>
              </w:rPr>
            </w:pPr>
          </w:p>
        </w:tc>
        <w:tc>
          <w:tcPr>
            <w:tcW w:w="1406" w:type="dxa"/>
            <w:vAlign w:val="center"/>
          </w:tcPr>
          <w:p w:rsidR="000F173B" w:rsidRPr="0000477D" w:rsidRDefault="000F173B" w:rsidP="00535DAA">
            <w:pPr>
              <w:ind w:right="238"/>
              <w:jc w:val="right"/>
              <w:rPr>
                <w:sz w:val="20"/>
              </w:rPr>
            </w:pPr>
          </w:p>
        </w:tc>
        <w:tc>
          <w:tcPr>
            <w:tcW w:w="1713" w:type="dxa"/>
            <w:vAlign w:val="center"/>
          </w:tcPr>
          <w:p w:rsidR="000F173B" w:rsidRPr="0000477D" w:rsidRDefault="000F173B" w:rsidP="00535DAA">
            <w:pPr>
              <w:ind w:right="238"/>
              <w:jc w:val="right"/>
              <w:rPr>
                <w:sz w:val="20"/>
              </w:rPr>
            </w:pPr>
          </w:p>
        </w:tc>
        <w:tc>
          <w:tcPr>
            <w:tcW w:w="1276" w:type="dxa"/>
            <w:vAlign w:val="center"/>
          </w:tcPr>
          <w:p w:rsidR="000F173B" w:rsidRPr="001C04F3" w:rsidRDefault="000F173B" w:rsidP="00A06E17">
            <w:pPr>
              <w:ind w:right="179"/>
              <w:jc w:val="right"/>
              <w:rPr>
                <w:sz w:val="20"/>
              </w:rPr>
            </w:pPr>
          </w:p>
        </w:tc>
        <w:tc>
          <w:tcPr>
            <w:tcW w:w="2410" w:type="dxa"/>
            <w:vAlign w:val="center"/>
          </w:tcPr>
          <w:p w:rsidR="000F173B" w:rsidRPr="001C04F3" w:rsidRDefault="000F173B" w:rsidP="00AC7C34">
            <w:pPr>
              <w:ind w:right="238"/>
              <w:jc w:val="right"/>
              <w:rPr>
                <w:b/>
                <w:sz w:val="20"/>
              </w:rPr>
            </w:pPr>
          </w:p>
        </w:tc>
      </w:tr>
      <w:tr w:rsidR="00B95032" w:rsidTr="006C63D8">
        <w:tc>
          <w:tcPr>
            <w:tcW w:w="3924" w:type="dxa"/>
          </w:tcPr>
          <w:p w:rsidR="00B95032" w:rsidRPr="00EB122C" w:rsidRDefault="00B95032" w:rsidP="00535DAA">
            <w:pPr>
              <w:jc w:val="both"/>
              <w:rPr>
                <w:b/>
                <w:sz w:val="20"/>
              </w:rPr>
            </w:pPr>
            <w:r w:rsidRPr="00EB122C">
              <w:rPr>
                <w:b/>
                <w:sz w:val="20"/>
              </w:rPr>
              <w:t>Net cost of Services</w:t>
            </w:r>
          </w:p>
        </w:tc>
        <w:tc>
          <w:tcPr>
            <w:tcW w:w="1843" w:type="dxa"/>
          </w:tcPr>
          <w:p w:rsidR="00B95032" w:rsidRPr="0000477D" w:rsidRDefault="00B95032" w:rsidP="00B95032">
            <w:pPr>
              <w:ind w:right="238"/>
              <w:jc w:val="right"/>
              <w:rPr>
                <w:sz w:val="20"/>
              </w:rPr>
            </w:pPr>
            <w:r>
              <w:rPr>
                <w:sz w:val="20"/>
              </w:rPr>
              <w:t>(17)</w:t>
            </w:r>
          </w:p>
        </w:tc>
        <w:tc>
          <w:tcPr>
            <w:tcW w:w="2126" w:type="dxa"/>
          </w:tcPr>
          <w:p w:rsidR="00B95032" w:rsidRPr="00AC7C34" w:rsidRDefault="00B95032" w:rsidP="00B95032">
            <w:pPr>
              <w:ind w:right="238"/>
              <w:jc w:val="right"/>
              <w:rPr>
                <w:b/>
                <w:sz w:val="20"/>
              </w:rPr>
            </w:pPr>
            <w:r>
              <w:rPr>
                <w:b/>
                <w:sz w:val="20"/>
              </w:rPr>
              <w:t>(17)</w:t>
            </w:r>
          </w:p>
        </w:tc>
        <w:tc>
          <w:tcPr>
            <w:tcW w:w="1406" w:type="dxa"/>
            <w:vAlign w:val="center"/>
          </w:tcPr>
          <w:p w:rsidR="00B95032" w:rsidRPr="00AC7C34" w:rsidRDefault="00B95032" w:rsidP="00535DAA">
            <w:pPr>
              <w:ind w:right="238"/>
              <w:jc w:val="right"/>
              <w:rPr>
                <w:b/>
                <w:sz w:val="20"/>
              </w:rPr>
            </w:pPr>
            <w:r>
              <w:rPr>
                <w:b/>
                <w:sz w:val="20"/>
              </w:rPr>
              <w:t>1,540</w:t>
            </w:r>
          </w:p>
        </w:tc>
        <w:tc>
          <w:tcPr>
            <w:tcW w:w="1713" w:type="dxa"/>
            <w:vAlign w:val="center"/>
          </w:tcPr>
          <w:p w:rsidR="00B95032" w:rsidRPr="00AC7C34" w:rsidRDefault="00B95032" w:rsidP="00535DAA">
            <w:pPr>
              <w:ind w:right="238"/>
              <w:jc w:val="right"/>
              <w:rPr>
                <w:b/>
                <w:sz w:val="20"/>
              </w:rPr>
            </w:pPr>
            <w:r>
              <w:rPr>
                <w:b/>
                <w:sz w:val="20"/>
              </w:rPr>
              <w:t>(7,845)</w:t>
            </w:r>
          </w:p>
        </w:tc>
        <w:tc>
          <w:tcPr>
            <w:tcW w:w="1276" w:type="dxa"/>
            <w:vAlign w:val="center"/>
          </w:tcPr>
          <w:p w:rsidR="00B95032" w:rsidRPr="001C04F3" w:rsidRDefault="00B95032" w:rsidP="001C04F3">
            <w:pPr>
              <w:ind w:right="179"/>
              <w:jc w:val="right"/>
              <w:rPr>
                <w:b/>
                <w:sz w:val="20"/>
              </w:rPr>
            </w:pPr>
            <w:r w:rsidRPr="001C04F3">
              <w:rPr>
                <w:b/>
                <w:sz w:val="20"/>
              </w:rPr>
              <w:t>(1,</w:t>
            </w:r>
            <w:r w:rsidR="001C04F3">
              <w:rPr>
                <w:b/>
                <w:sz w:val="20"/>
              </w:rPr>
              <w:t>527</w:t>
            </w:r>
            <w:r w:rsidRPr="001C04F3">
              <w:rPr>
                <w:b/>
                <w:sz w:val="20"/>
              </w:rPr>
              <w:t>)</w:t>
            </w:r>
          </w:p>
        </w:tc>
        <w:tc>
          <w:tcPr>
            <w:tcW w:w="2410" w:type="dxa"/>
            <w:vAlign w:val="center"/>
          </w:tcPr>
          <w:p w:rsidR="00B95032" w:rsidRPr="001C04F3" w:rsidRDefault="001A46C4" w:rsidP="001C04F3">
            <w:pPr>
              <w:ind w:right="238"/>
              <w:jc w:val="right"/>
              <w:rPr>
                <w:b/>
                <w:sz w:val="20"/>
              </w:rPr>
            </w:pPr>
            <w:r w:rsidRPr="001C04F3">
              <w:rPr>
                <w:b/>
                <w:sz w:val="20"/>
              </w:rPr>
              <w:t>(</w:t>
            </w:r>
            <w:r w:rsidR="001C04F3">
              <w:rPr>
                <w:b/>
                <w:sz w:val="20"/>
              </w:rPr>
              <w:t>7</w:t>
            </w:r>
            <w:r w:rsidRPr="001C04F3">
              <w:rPr>
                <w:b/>
                <w:sz w:val="20"/>
              </w:rPr>
              <w:t>,</w:t>
            </w:r>
            <w:r w:rsidR="001C04F3">
              <w:rPr>
                <w:b/>
                <w:sz w:val="20"/>
              </w:rPr>
              <w:t>832</w:t>
            </w:r>
            <w:r w:rsidRPr="001C04F3">
              <w:rPr>
                <w:b/>
                <w:sz w:val="20"/>
              </w:rPr>
              <w:t>)</w:t>
            </w:r>
          </w:p>
        </w:tc>
      </w:tr>
      <w:tr w:rsidR="000F173B" w:rsidTr="006C63D8">
        <w:tc>
          <w:tcPr>
            <w:tcW w:w="3924" w:type="dxa"/>
          </w:tcPr>
          <w:p w:rsidR="000F173B" w:rsidRPr="00EB122C" w:rsidRDefault="000F173B" w:rsidP="00535DAA">
            <w:pPr>
              <w:jc w:val="both"/>
              <w:rPr>
                <w:sz w:val="20"/>
              </w:rPr>
            </w:pPr>
          </w:p>
        </w:tc>
        <w:tc>
          <w:tcPr>
            <w:tcW w:w="1843" w:type="dxa"/>
          </w:tcPr>
          <w:p w:rsidR="000F173B" w:rsidRPr="0000477D" w:rsidRDefault="000F173B" w:rsidP="00535DAA">
            <w:pPr>
              <w:ind w:right="238"/>
              <w:jc w:val="right"/>
              <w:rPr>
                <w:sz w:val="20"/>
              </w:rPr>
            </w:pPr>
          </w:p>
        </w:tc>
        <w:tc>
          <w:tcPr>
            <w:tcW w:w="2126" w:type="dxa"/>
          </w:tcPr>
          <w:p w:rsidR="000F173B" w:rsidRPr="00AC7C34" w:rsidRDefault="000F173B" w:rsidP="00AC7C34">
            <w:pPr>
              <w:ind w:right="238"/>
              <w:jc w:val="right"/>
              <w:rPr>
                <w:b/>
                <w:sz w:val="20"/>
              </w:rPr>
            </w:pPr>
          </w:p>
        </w:tc>
        <w:tc>
          <w:tcPr>
            <w:tcW w:w="1406" w:type="dxa"/>
            <w:vAlign w:val="center"/>
          </w:tcPr>
          <w:p w:rsidR="000F173B" w:rsidRPr="0000477D" w:rsidRDefault="000F173B" w:rsidP="00535DAA">
            <w:pPr>
              <w:ind w:right="238"/>
              <w:jc w:val="right"/>
              <w:rPr>
                <w:sz w:val="20"/>
              </w:rPr>
            </w:pPr>
          </w:p>
        </w:tc>
        <w:tc>
          <w:tcPr>
            <w:tcW w:w="1713" w:type="dxa"/>
            <w:vAlign w:val="center"/>
          </w:tcPr>
          <w:p w:rsidR="000F173B" w:rsidRPr="0000477D" w:rsidRDefault="000F173B" w:rsidP="00535DAA">
            <w:pPr>
              <w:ind w:right="238"/>
              <w:jc w:val="right"/>
              <w:rPr>
                <w:sz w:val="20"/>
              </w:rPr>
            </w:pPr>
          </w:p>
        </w:tc>
        <w:tc>
          <w:tcPr>
            <w:tcW w:w="1276" w:type="dxa"/>
            <w:vAlign w:val="center"/>
          </w:tcPr>
          <w:p w:rsidR="000F173B" w:rsidRPr="001C04F3" w:rsidRDefault="000F173B" w:rsidP="00A06E17">
            <w:pPr>
              <w:ind w:right="179"/>
              <w:jc w:val="right"/>
              <w:rPr>
                <w:sz w:val="20"/>
              </w:rPr>
            </w:pPr>
          </w:p>
        </w:tc>
        <w:tc>
          <w:tcPr>
            <w:tcW w:w="2410" w:type="dxa"/>
            <w:vAlign w:val="center"/>
          </w:tcPr>
          <w:p w:rsidR="000F173B" w:rsidRPr="001C04F3" w:rsidRDefault="000F173B" w:rsidP="00AC7C34">
            <w:pPr>
              <w:ind w:right="238"/>
              <w:jc w:val="right"/>
              <w:rPr>
                <w:b/>
                <w:sz w:val="20"/>
              </w:rPr>
            </w:pPr>
          </w:p>
        </w:tc>
      </w:tr>
      <w:tr w:rsidR="000F173B" w:rsidTr="006C63D8">
        <w:tc>
          <w:tcPr>
            <w:tcW w:w="3924" w:type="dxa"/>
          </w:tcPr>
          <w:p w:rsidR="000F173B" w:rsidRPr="00EB122C" w:rsidRDefault="000F173B" w:rsidP="00535DAA">
            <w:pPr>
              <w:jc w:val="both"/>
              <w:rPr>
                <w:sz w:val="20"/>
              </w:rPr>
            </w:pPr>
            <w:r w:rsidRPr="00EB122C">
              <w:rPr>
                <w:sz w:val="20"/>
              </w:rPr>
              <w:lastRenderedPageBreak/>
              <w:t>Other income and expenditure</w:t>
            </w:r>
          </w:p>
        </w:tc>
        <w:tc>
          <w:tcPr>
            <w:tcW w:w="1843" w:type="dxa"/>
          </w:tcPr>
          <w:p w:rsidR="000F173B" w:rsidRPr="0000477D" w:rsidRDefault="000F173B" w:rsidP="00535DAA">
            <w:pPr>
              <w:ind w:right="238"/>
              <w:jc w:val="right"/>
              <w:rPr>
                <w:sz w:val="20"/>
              </w:rPr>
            </w:pPr>
            <w:r>
              <w:rPr>
                <w:sz w:val="20"/>
              </w:rPr>
              <w:t>-</w:t>
            </w:r>
          </w:p>
        </w:tc>
        <w:tc>
          <w:tcPr>
            <w:tcW w:w="2126" w:type="dxa"/>
          </w:tcPr>
          <w:p w:rsidR="000F173B" w:rsidRPr="00AC7C34" w:rsidRDefault="000F173B" w:rsidP="00AC7C34">
            <w:pPr>
              <w:ind w:right="238"/>
              <w:jc w:val="right"/>
              <w:rPr>
                <w:b/>
                <w:sz w:val="20"/>
              </w:rPr>
            </w:pPr>
            <w:r w:rsidRPr="00AC7C34">
              <w:rPr>
                <w:b/>
                <w:sz w:val="20"/>
              </w:rPr>
              <w:t>-</w:t>
            </w:r>
          </w:p>
        </w:tc>
        <w:tc>
          <w:tcPr>
            <w:tcW w:w="1406" w:type="dxa"/>
            <w:vAlign w:val="center"/>
          </w:tcPr>
          <w:p w:rsidR="000F173B" w:rsidRPr="0000477D" w:rsidRDefault="00B95032" w:rsidP="00535DAA">
            <w:pPr>
              <w:ind w:right="238"/>
              <w:jc w:val="right"/>
              <w:rPr>
                <w:sz w:val="20"/>
              </w:rPr>
            </w:pPr>
            <w:r>
              <w:rPr>
                <w:sz w:val="20"/>
              </w:rPr>
              <w:t>(13)</w:t>
            </w:r>
          </w:p>
        </w:tc>
        <w:tc>
          <w:tcPr>
            <w:tcW w:w="1713" w:type="dxa"/>
            <w:vAlign w:val="center"/>
          </w:tcPr>
          <w:p w:rsidR="000F173B" w:rsidRPr="0000477D" w:rsidRDefault="001C04F3" w:rsidP="001C04F3">
            <w:pPr>
              <w:ind w:right="238"/>
              <w:jc w:val="right"/>
              <w:rPr>
                <w:sz w:val="20"/>
              </w:rPr>
            </w:pPr>
            <w:r>
              <w:rPr>
                <w:sz w:val="20"/>
              </w:rPr>
              <w:t>21</w:t>
            </w:r>
            <w:r w:rsidR="00B95032">
              <w:rPr>
                <w:sz w:val="20"/>
              </w:rPr>
              <w:t>,</w:t>
            </w:r>
            <w:r>
              <w:rPr>
                <w:sz w:val="20"/>
              </w:rPr>
              <w:t>005</w:t>
            </w:r>
          </w:p>
        </w:tc>
        <w:tc>
          <w:tcPr>
            <w:tcW w:w="1276" w:type="dxa"/>
            <w:vAlign w:val="center"/>
          </w:tcPr>
          <w:p w:rsidR="000F173B" w:rsidRPr="001C04F3" w:rsidRDefault="00B95032" w:rsidP="00A06E17">
            <w:pPr>
              <w:ind w:right="179"/>
              <w:jc w:val="right"/>
              <w:rPr>
                <w:sz w:val="20"/>
              </w:rPr>
            </w:pPr>
            <w:r w:rsidRPr="001C04F3">
              <w:rPr>
                <w:sz w:val="20"/>
              </w:rPr>
              <w:t>1,270</w:t>
            </w:r>
          </w:p>
        </w:tc>
        <w:tc>
          <w:tcPr>
            <w:tcW w:w="2410" w:type="dxa"/>
            <w:vAlign w:val="center"/>
          </w:tcPr>
          <w:p w:rsidR="000F173B" w:rsidRPr="001C04F3" w:rsidRDefault="001A46C4" w:rsidP="001C04F3">
            <w:pPr>
              <w:ind w:right="238"/>
              <w:jc w:val="right"/>
              <w:rPr>
                <w:b/>
                <w:sz w:val="20"/>
              </w:rPr>
            </w:pPr>
            <w:r w:rsidRPr="001C04F3">
              <w:rPr>
                <w:b/>
                <w:sz w:val="20"/>
              </w:rPr>
              <w:t>22,</w:t>
            </w:r>
            <w:r w:rsidR="001C04F3">
              <w:rPr>
                <w:b/>
                <w:sz w:val="20"/>
              </w:rPr>
              <w:t>263</w:t>
            </w:r>
          </w:p>
        </w:tc>
      </w:tr>
      <w:tr w:rsidR="000F173B" w:rsidTr="006C63D8">
        <w:tc>
          <w:tcPr>
            <w:tcW w:w="3924" w:type="dxa"/>
          </w:tcPr>
          <w:p w:rsidR="000F173B" w:rsidRPr="00EB122C" w:rsidRDefault="000F173B" w:rsidP="00535DAA">
            <w:pPr>
              <w:jc w:val="both"/>
              <w:rPr>
                <w:sz w:val="20"/>
              </w:rPr>
            </w:pPr>
          </w:p>
        </w:tc>
        <w:tc>
          <w:tcPr>
            <w:tcW w:w="1843" w:type="dxa"/>
          </w:tcPr>
          <w:p w:rsidR="000F173B" w:rsidRPr="0000477D" w:rsidRDefault="000F173B" w:rsidP="00535DAA">
            <w:pPr>
              <w:ind w:right="238"/>
              <w:jc w:val="right"/>
              <w:rPr>
                <w:sz w:val="20"/>
              </w:rPr>
            </w:pPr>
          </w:p>
        </w:tc>
        <w:tc>
          <w:tcPr>
            <w:tcW w:w="2126" w:type="dxa"/>
          </w:tcPr>
          <w:p w:rsidR="000F173B" w:rsidRPr="00AC7C34" w:rsidRDefault="000F173B" w:rsidP="00AC7C34">
            <w:pPr>
              <w:ind w:right="238"/>
              <w:jc w:val="right"/>
              <w:rPr>
                <w:b/>
                <w:sz w:val="20"/>
              </w:rPr>
            </w:pPr>
          </w:p>
        </w:tc>
        <w:tc>
          <w:tcPr>
            <w:tcW w:w="1406" w:type="dxa"/>
            <w:vAlign w:val="center"/>
          </w:tcPr>
          <w:p w:rsidR="000F173B" w:rsidRPr="0000477D" w:rsidRDefault="000F173B" w:rsidP="00535DAA">
            <w:pPr>
              <w:ind w:right="238"/>
              <w:jc w:val="right"/>
              <w:rPr>
                <w:sz w:val="20"/>
              </w:rPr>
            </w:pPr>
          </w:p>
        </w:tc>
        <w:tc>
          <w:tcPr>
            <w:tcW w:w="1713" w:type="dxa"/>
            <w:vAlign w:val="center"/>
          </w:tcPr>
          <w:p w:rsidR="000F173B" w:rsidRPr="0000477D" w:rsidRDefault="000F173B" w:rsidP="00535DAA">
            <w:pPr>
              <w:ind w:right="238"/>
              <w:jc w:val="right"/>
              <w:rPr>
                <w:sz w:val="20"/>
              </w:rPr>
            </w:pPr>
          </w:p>
        </w:tc>
        <w:tc>
          <w:tcPr>
            <w:tcW w:w="1276" w:type="dxa"/>
            <w:vAlign w:val="center"/>
          </w:tcPr>
          <w:p w:rsidR="000F173B" w:rsidRPr="001C04F3" w:rsidRDefault="000F173B" w:rsidP="00A06E17">
            <w:pPr>
              <w:ind w:right="179"/>
              <w:jc w:val="right"/>
              <w:rPr>
                <w:sz w:val="20"/>
              </w:rPr>
            </w:pPr>
          </w:p>
        </w:tc>
        <w:tc>
          <w:tcPr>
            <w:tcW w:w="2410" w:type="dxa"/>
            <w:vAlign w:val="center"/>
          </w:tcPr>
          <w:p w:rsidR="000F173B" w:rsidRPr="001C04F3" w:rsidRDefault="000F173B" w:rsidP="00AC7C34">
            <w:pPr>
              <w:ind w:right="238"/>
              <w:jc w:val="right"/>
              <w:rPr>
                <w:b/>
                <w:sz w:val="20"/>
              </w:rPr>
            </w:pPr>
          </w:p>
        </w:tc>
      </w:tr>
      <w:tr w:rsidR="00B95032" w:rsidTr="006C63D8">
        <w:tc>
          <w:tcPr>
            <w:tcW w:w="3924" w:type="dxa"/>
          </w:tcPr>
          <w:p w:rsidR="00B95032" w:rsidRPr="00535DAA" w:rsidRDefault="00B95032" w:rsidP="00535DAA">
            <w:pPr>
              <w:jc w:val="both"/>
              <w:rPr>
                <w:b/>
                <w:sz w:val="20"/>
              </w:rPr>
            </w:pPr>
            <w:r w:rsidRPr="00535DAA">
              <w:rPr>
                <w:b/>
                <w:sz w:val="20"/>
              </w:rPr>
              <w:t>Total</w:t>
            </w:r>
          </w:p>
        </w:tc>
        <w:tc>
          <w:tcPr>
            <w:tcW w:w="1843" w:type="dxa"/>
          </w:tcPr>
          <w:p w:rsidR="00B95032" w:rsidRPr="0000477D" w:rsidRDefault="00B95032" w:rsidP="00B95032">
            <w:pPr>
              <w:ind w:right="238"/>
              <w:jc w:val="right"/>
              <w:rPr>
                <w:sz w:val="20"/>
              </w:rPr>
            </w:pPr>
            <w:r>
              <w:rPr>
                <w:sz w:val="20"/>
              </w:rPr>
              <w:t>(17)</w:t>
            </w:r>
          </w:p>
        </w:tc>
        <w:tc>
          <w:tcPr>
            <w:tcW w:w="2126" w:type="dxa"/>
          </w:tcPr>
          <w:p w:rsidR="00B95032" w:rsidRPr="00AC7C34" w:rsidRDefault="00B95032" w:rsidP="00B95032">
            <w:pPr>
              <w:ind w:right="238"/>
              <w:jc w:val="right"/>
              <w:rPr>
                <w:b/>
                <w:sz w:val="20"/>
              </w:rPr>
            </w:pPr>
            <w:r>
              <w:rPr>
                <w:b/>
                <w:sz w:val="20"/>
              </w:rPr>
              <w:t>(17)</w:t>
            </w:r>
          </w:p>
        </w:tc>
        <w:tc>
          <w:tcPr>
            <w:tcW w:w="1406" w:type="dxa"/>
            <w:vAlign w:val="center"/>
          </w:tcPr>
          <w:p w:rsidR="00B95032" w:rsidRPr="00AC7C34" w:rsidRDefault="00B95032" w:rsidP="00535DAA">
            <w:pPr>
              <w:ind w:right="238"/>
              <w:jc w:val="right"/>
              <w:rPr>
                <w:b/>
                <w:sz w:val="20"/>
              </w:rPr>
            </w:pPr>
            <w:r>
              <w:rPr>
                <w:b/>
                <w:sz w:val="20"/>
              </w:rPr>
              <w:t>1,527</w:t>
            </w:r>
          </w:p>
        </w:tc>
        <w:tc>
          <w:tcPr>
            <w:tcW w:w="1713" w:type="dxa"/>
            <w:vAlign w:val="center"/>
          </w:tcPr>
          <w:p w:rsidR="00B95032" w:rsidRPr="00AC7C34" w:rsidRDefault="00B95032" w:rsidP="001C04F3">
            <w:pPr>
              <w:ind w:right="238"/>
              <w:jc w:val="right"/>
              <w:rPr>
                <w:b/>
                <w:sz w:val="20"/>
              </w:rPr>
            </w:pPr>
            <w:r>
              <w:rPr>
                <w:b/>
                <w:sz w:val="20"/>
              </w:rPr>
              <w:t>13,</w:t>
            </w:r>
            <w:r w:rsidR="001C04F3">
              <w:rPr>
                <w:b/>
                <w:sz w:val="20"/>
              </w:rPr>
              <w:t>160</w:t>
            </w:r>
          </w:p>
        </w:tc>
        <w:tc>
          <w:tcPr>
            <w:tcW w:w="1276" w:type="dxa"/>
            <w:vAlign w:val="center"/>
          </w:tcPr>
          <w:p w:rsidR="00B95032" w:rsidRPr="001C04F3" w:rsidRDefault="001A46C4" w:rsidP="001C04F3">
            <w:pPr>
              <w:ind w:right="179"/>
              <w:jc w:val="right"/>
              <w:rPr>
                <w:b/>
                <w:sz w:val="20"/>
              </w:rPr>
            </w:pPr>
            <w:r w:rsidRPr="001C04F3">
              <w:rPr>
                <w:b/>
                <w:sz w:val="20"/>
              </w:rPr>
              <w:t>(</w:t>
            </w:r>
            <w:r w:rsidR="001C04F3">
              <w:rPr>
                <w:b/>
                <w:sz w:val="20"/>
              </w:rPr>
              <w:t>257</w:t>
            </w:r>
            <w:r w:rsidRPr="001C04F3">
              <w:rPr>
                <w:b/>
                <w:sz w:val="20"/>
              </w:rPr>
              <w:t>)</w:t>
            </w:r>
          </w:p>
        </w:tc>
        <w:tc>
          <w:tcPr>
            <w:tcW w:w="2410" w:type="dxa"/>
            <w:vAlign w:val="center"/>
          </w:tcPr>
          <w:p w:rsidR="00B95032" w:rsidRPr="001C04F3" w:rsidRDefault="001A46C4" w:rsidP="001C04F3">
            <w:pPr>
              <w:ind w:right="238"/>
              <w:jc w:val="right"/>
              <w:rPr>
                <w:b/>
                <w:sz w:val="20"/>
              </w:rPr>
            </w:pPr>
            <w:r w:rsidRPr="001C04F3">
              <w:rPr>
                <w:b/>
                <w:sz w:val="20"/>
              </w:rPr>
              <w:t>14,</w:t>
            </w:r>
            <w:r w:rsidR="001C04F3">
              <w:rPr>
                <w:b/>
                <w:sz w:val="20"/>
              </w:rPr>
              <w:t>430</w:t>
            </w:r>
          </w:p>
        </w:tc>
      </w:tr>
    </w:tbl>
    <w:p w:rsidR="00983FBA" w:rsidRPr="00F335C6" w:rsidRDefault="00983FBA" w:rsidP="00F335C6">
      <w:pPr>
        <w:jc w:val="both"/>
        <w:rPr>
          <w:sz w:val="18"/>
          <w:szCs w:val="18"/>
        </w:rPr>
      </w:pPr>
    </w:p>
    <w:tbl>
      <w:tblPr>
        <w:tblStyle w:val="TableGrid"/>
        <w:tblW w:w="1469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1843"/>
        <w:gridCol w:w="2126"/>
        <w:gridCol w:w="1406"/>
        <w:gridCol w:w="1713"/>
        <w:gridCol w:w="1276"/>
        <w:gridCol w:w="2409"/>
      </w:tblGrid>
      <w:tr w:rsidR="00F335C6" w:rsidRPr="00A06E17" w:rsidTr="006C63D8">
        <w:tc>
          <w:tcPr>
            <w:tcW w:w="3924" w:type="dxa"/>
          </w:tcPr>
          <w:p w:rsidR="00F335C6" w:rsidRPr="0000477D" w:rsidRDefault="00F335C6" w:rsidP="00305904">
            <w:pPr>
              <w:jc w:val="both"/>
              <w:rPr>
                <w:sz w:val="20"/>
              </w:rPr>
            </w:pPr>
            <w:r>
              <w:rPr>
                <w:sz w:val="20"/>
              </w:rPr>
              <w:t xml:space="preserve">Adjustments from General Fund to arrive at the </w:t>
            </w:r>
            <w:r w:rsidRPr="00EB122C">
              <w:rPr>
                <w:sz w:val="20"/>
              </w:rPr>
              <w:t>Comprehensive Income and Expenditure Statement</w:t>
            </w:r>
            <w:r>
              <w:rPr>
                <w:sz w:val="20"/>
              </w:rPr>
              <w:t xml:space="preserve"> amounts</w:t>
            </w:r>
          </w:p>
        </w:tc>
        <w:tc>
          <w:tcPr>
            <w:tcW w:w="1843" w:type="dxa"/>
          </w:tcPr>
          <w:p w:rsidR="00F335C6" w:rsidRPr="0000477D" w:rsidRDefault="00F335C6" w:rsidP="00AF069E">
            <w:pPr>
              <w:jc w:val="both"/>
              <w:rPr>
                <w:sz w:val="20"/>
              </w:rPr>
            </w:pPr>
            <w:r>
              <w:rPr>
                <w:sz w:val="20"/>
              </w:rPr>
              <w:t>Transfer to/(from) Earmarked Reserves</w:t>
            </w:r>
          </w:p>
        </w:tc>
        <w:tc>
          <w:tcPr>
            <w:tcW w:w="2126" w:type="dxa"/>
          </w:tcPr>
          <w:p w:rsidR="00F335C6" w:rsidRPr="00A5478C" w:rsidRDefault="00F335C6" w:rsidP="00AF069E">
            <w:pPr>
              <w:jc w:val="both"/>
              <w:rPr>
                <w:b/>
                <w:sz w:val="20"/>
              </w:rPr>
            </w:pPr>
            <w:r w:rsidRPr="00A5478C">
              <w:rPr>
                <w:b/>
                <w:sz w:val="20"/>
              </w:rPr>
              <w:t>Total to arrive at amount charged to the General Fund</w:t>
            </w:r>
          </w:p>
        </w:tc>
        <w:tc>
          <w:tcPr>
            <w:tcW w:w="1406" w:type="dxa"/>
          </w:tcPr>
          <w:p w:rsidR="00F335C6" w:rsidRPr="0000477D" w:rsidRDefault="00F335C6" w:rsidP="002F318F">
            <w:pPr>
              <w:jc w:val="both"/>
              <w:rPr>
                <w:sz w:val="20"/>
              </w:rPr>
            </w:pPr>
            <w:r w:rsidRPr="0000477D">
              <w:rPr>
                <w:sz w:val="20"/>
              </w:rPr>
              <w:t>Adjustments for Capital Purposes (</w:t>
            </w:r>
            <w:r>
              <w:rPr>
                <w:sz w:val="20"/>
              </w:rPr>
              <w:t>1</w:t>
            </w:r>
            <w:r w:rsidRPr="0000477D">
              <w:rPr>
                <w:sz w:val="20"/>
              </w:rPr>
              <w:t>)</w:t>
            </w:r>
          </w:p>
        </w:tc>
        <w:tc>
          <w:tcPr>
            <w:tcW w:w="1713" w:type="dxa"/>
          </w:tcPr>
          <w:p w:rsidR="00F335C6" w:rsidRPr="0000477D" w:rsidRDefault="00F335C6" w:rsidP="002F318F">
            <w:pPr>
              <w:jc w:val="both"/>
              <w:rPr>
                <w:sz w:val="20"/>
              </w:rPr>
            </w:pPr>
            <w:r w:rsidRPr="0000477D">
              <w:rPr>
                <w:sz w:val="20"/>
              </w:rPr>
              <w:t>Net change for Pensions Adjustments (</w:t>
            </w:r>
            <w:r>
              <w:rPr>
                <w:sz w:val="20"/>
              </w:rPr>
              <w:t>2</w:t>
            </w:r>
            <w:r w:rsidRPr="0000477D">
              <w:rPr>
                <w:sz w:val="20"/>
              </w:rPr>
              <w:t>)</w:t>
            </w:r>
          </w:p>
        </w:tc>
        <w:tc>
          <w:tcPr>
            <w:tcW w:w="1276" w:type="dxa"/>
          </w:tcPr>
          <w:p w:rsidR="00F335C6" w:rsidRPr="0000477D" w:rsidRDefault="00F335C6" w:rsidP="00820079">
            <w:pPr>
              <w:jc w:val="both"/>
              <w:rPr>
                <w:sz w:val="20"/>
              </w:rPr>
            </w:pPr>
            <w:r w:rsidRPr="0000477D">
              <w:rPr>
                <w:sz w:val="20"/>
              </w:rPr>
              <w:t>Other Differences (</w:t>
            </w:r>
            <w:r>
              <w:rPr>
                <w:sz w:val="20"/>
              </w:rPr>
              <w:t>note 3</w:t>
            </w:r>
            <w:r w:rsidRPr="0000477D">
              <w:rPr>
                <w:sz w:val="20"/>
              </w:rPr>
              <w:t>)</w:t>
            </w:r>
          </w:p>
        </w:tc>
        <w:tc>
          <w:tcPr>
            <w:tcW w:w="2409" w:type="dxa"/>
          </w:tcPr>
          <w:p w:rsidR="00F335C6" w:rsidRPr="00A06E17" w:rsidRDefault="00F335C6" w:rsidP="00305904">
            <w:pPr>
              <w:jc w:val="both"/>
              <w:rPr>
                <w:b/>
                <w:sz w:val="20"/>
              </w:rPr>
            </w:pPr>
            <w:r w:rsidRPr="00A06E17">
              <w:rPr>
                <w:b/>
                <w:sz w:val="20"/>
              </w:rPr>
              <w:t>Total adjustment between funding and accounting basis</w:t>
            </w:r>
          </w:p>
        </w:tc>
      </w:tr>
      <w:tr w:rsidR="00296A09" w:rsidRPr="00A06E17" w:rsidTr="006C63D8">
        <w:tc>
          <w:tcPr>
            <w:tcW w:w="3924" w:type="dxa"/>
          </w:tcPr>
          <w:p w:rsidR="00296A09" w:rsidRPr="00831631" w:rsidRDefault="00296A09" w:rsidP="00296A09">
            <w:pPr>
              <w:jc w:val="both"/>
              <w:rPr>
                <w:b/>
                <w:sz w:val="20"/>
              </w:rPr>
            </w:pPr>
            <w:r w:rsidRPr="00831631">
              <w:rPr>
                <w:b/>
                <w:sz w:val="20"/>
              </w:rPr>
              <w:t>2016/17</w:t>
            </w:r>
          </w:p>
        </w:tc>
        <w:tc>
          <w:tcPr>
            <w:tcW w:w="1843" w:type="dxa"/>
          </w:tcPr>
          <w:p w:rsidR="00296A09" w:rsidRDefault="00296A09" w:rsidP="00296A09">
            <w:pPr>
              <w:jc w:val="center"/>
            </w:pPr>
            <w:r w:rsidRPr="00A72C1D">
              <w:rPr>
                <w:sz w:val="20"/>
              </w:rPr>
              <w:t>£000</w:t>
            </w:r>
          </w:p>
        </w:tc>
        <w:tc>
          <w:tcPr>
            <w:tcW w:w="2126" w:type="dxa"/>
          </w:tcPr>
          <w:p w:rsidR="00296A09" w:rsidRPr="00A5478C" w:rsidRDefault="00296A09" w:rsidP="00296A09">
            <w:pPr>
              <w:jc w:val="center"/>
              <w:rPr>
                <w:b/>
              </w:rPr>
            </w:pPr>
            <w:r w:rsidRPr="00A5478C">
              <w:rPr>
                <w:b/>
                <w:sz w:val="20"/>
              </w:rPr>
              <w:t>£000</w:t>
            </w:r>
          </w:p>
        </w:tc>
        <w:tc>
          <w:tcPr>
            <w:tcW w:w="1406" w:type="dxa"/>
          </w:tcPr>
          <w:p w:rsidR="00296A09" w:rsidRPr="00EB122C" w:rsidRDefault="00296A09" w:rsidP="00296A09">
            <w:pPr>
              <w:jc w:val="center"/>
              <w:rPr>
                <w:sz w:val="20"/>
              </w:rPr>
            </w:pPr>
            <w:r w:rsidRPr="00EB122C">
              <w:rPr>
                <w:sz w:val="20"/>
              </w:rPr>
              <w:t>£000</w:t>
            </w:r>
          </w:p>
        </w:tc>
        <w:tc>
          <w:tcPr>
            <w:tcW w:w="1713" w:type="dxa"/>
          </w:tcPr>
          <w:p w:rsidR="00296A09" w:rsidRPr="00EB122C" w:rsidRDefault="00296A09" w:rsidP="00296A09">
            <w:pPr>
              <w:jc w:val="center"/>
              <w:rPr>
                <w:sz w:val="20"/>
              </w:rPr>
            </w:pPr>
            <w:r w:rsidRPr="00EB122C">
              <w:rPr>
                <w:sz w:val="20"/>
              </w:rPr>
              <w:t>£000</w:t>
            </w:r>
          </w:p>
        </w:tc>
        <w:tc>
          <w:tcPr>
            <w:tcW w:w="1276" w:type="dxa"/>
          </w:tcPr>
          <w:p w:rsidR="00296A09" w:rsidRPr="00EB122C" w:rsidRDefault="00296A09" w:rsidP="00296A09">
            <w:pPr>
              <w:jc w:val="center"/>
              <w:rPr>
                <w:sz w:val="20"/>
              </w:rPr>
            </w:pPr>
            <w:r w:rsidRPr="00EB122C">
              <w:rPr>
                <w:sz w:val="20"/>
              </w:rPr>
              <w:t>£000</w:t>
            </w:r>
          </w:p>
        </w:tc>
        <w:tc>
          <w:tcPr>
            <w:tcW w:w="2409" w:type="dxa"/>
          </w:tcPr>
          <w:p w:rsidR="00296A09" w:rsidRPr="00A06E17" w:rsidRDefault="00296A09" w:rsidP="00296A09">
            <w:pPr>
              <w:jc w:val="center"/>
              <w:rPr>
                <w:b/>
                <w:sz w:val="20"/>
              </w:rPr>
            </w:pPr>
            <w:r w:rsidRPr="00A06E17">
              <w:rPr>
                <w:b/>
                <w:sz w:val="20"/>
              </w:rPr>
              <w:t>£000</w:t>
            </w:r>
          </w:p>
        </w:tc>
      </w:tr>
      <w:tr w:rsidR="00296A09" w:rsidRPr="00A06E17" w:rsidTr="006C63D8">
        <w:tc>
          <w:tcPr>
            <w:tcW w:w="3924" w:type="dxa"/>
          </w:tcPr>
          <w:p w:rsidR="00296A09" w:rsidRPr="0000477D" w:rsidRDefault="00296A09" w:rsidP="00296A09">
            <w:pPr>
              <w:jc w:val="both"/>
              <w:rPr>
                <w:sz w:val="20"/>
              </w:rPr>
            </w:pPr>
          </w:p>
        </w:tc>
        <w:tc>
          <w:tcPr>
            <w:tcW w:w="1843" w:type="dxa"/>
          </w:tcPr>
          <w:p w:rsidR="00296A09" w:rsidRPr="0000477D" w:rsidRDefault="00296A09" w:rsidP="00296A09">
            <w:pPr>
              <w:jc w:val="both"/>
              <w:rPr>
                <w:sz w:val="20"/>
              </w:rPr>
            </w:pPr>
          </w:p>
        </w:tc>
        <w:tc>
          <w:tcPr>
            <w:tcW w:w="2126" w:type="dxa"/>
          </w:tcPr>
          <w:p w:rsidR="00296A09" w:rsidRPr="0000477D" w:rsidRDefault="00296A09" w:rsidP="00296A09">
            <w:pPr>
              <w:jc w:val="both"/>
              <w:rPr>
                <w:sz w:val="20"/>
              </w:rPr>
            </w:pPr>
          </w:p>
        </w:tc>
        <w:tc>
          <w:tcPr>
            <w:tcW w:w="1406" w:type="dxa"/>
          </w:tcPr>
          <w:p w:rsidR="00296A09" w:rsidRPr="0000477D" w:rsidRDefault="00296A09" w:rsidP="00296A09">
            <w:pPr>
              <w:jc w:val="both"/>
              <w:rPr>
                <w:sz w:val="20"/>
              </w:rPr>
            </w:pPr>
          </w:p>
        </w:tc>
        <w:tc>
          <w:tcPr>
            <w:tcW w:w="1713" w:type="dxa"/>
          </w:tcPr>
          <w:p w:rsidR="00296A09" w:rsidRPr="0000477D" w:rsidRDefault="00296A09" w:rsidP="00296A09">
            <w:pPr>
              <w:jc w:val="both"/>
              <w:rPr>
                <w:sz w:val="20"/>
              </w:rPr>
            </w:pPr>
          </w:p>
        </w:tc>
        <w:tc>
          <w:tcPr>
            <w:tcW w:w="1276" w:type="dxa"/>
          </w:tcPr>
          <w:p w:rsidR="00296A09" w:rsidRPr="0000477D" w:rsidRDefault="00296A09" w:rsidP="00296A09">
            <w:pPr>
              <w:jc w:val="both"/>
              <w:rPr>
                <w:sz w:val="20"/>
              </w:rPr>
            </w:pPr>
          </w:p>
        </w:tc>
        <w:tc>
          <w:tcPr>
            <w:tcW w:w="2409" w:type="dxa"/>
          </w:tcPr>
          <w:p w:rsidR="00296A09" w:rsidRPr="00A06E17" w:rsidRDefault="00296A09" w:rsidP="00296A09">
            <w:pPr>
              <w:jc w:val="both"/>
              <w:rPr>
                <w:b/>
                <w:sz w:val="20"/>
              </w:rPr>
            </w:pPr>
          </w:p>
        </w:tc>
      </w:tr>
      <w:tr w:rsidR="00296A09" w:rsidRPr="00A06E17" w:rsidTr="006C63D8">
        <w:tc>
          <w:tcPr>
            <w:tcW w:w="3924" w:type="dxa"/>
          </w:tcPr>
          <w:p w:rsidR="00296A09" w:rsidRPr="00EB122C" w:rsidRDefault="00296A09" w:rsidP="00296A09">
            <w:pPr>
              <w:jc w:val="both"/>
              <w:rPr>
                <w:sz w:val="20"/>
              </w:rPr>
            </w:pPr>
            <w:r w:rsidRPr="00EB122C">
              <w:rPr>
                <w:sz w:val="20"/>
              </w:rPr>
              <w:t>Service Delivery</w:t>
            </w:r>
          </w:p>
        </w:tc>
        <w:tc>
          <w:tcPr>
            <w:tcW w:w="1843" w:type="dxa"/>
            <w:vAlign w:val="center"/>
          </w:tcPr>
          <w:p w:rsidR="00296A09" w:rsidRPr="0000477D" w:rsidRDefault="00296A09" w:rsidP="00296A09">
            <w:pPr>
              <w:ind w:right="212"/>
              <w:jc w:val="right"/>
              <w:rPr>
                <w:sz w:val="20"/>
              </w:rPr>
            </w:pPr>
            <w:r>
              <w:rPr>
                <w:sz w:val="20"/>
              </w:rPr>
              <w:t>-</w:t>
            </w:r>
          </w:p>
        </w:tc>
        <w:tc>
          <w:tcPr>
            <w:tcW w:w="2126" w:type="dxa"/>
            <w:vAlign w:val="center"/>
          </w:tcPr>
          <w:p w:rsidR="00296A09" w:rsidRPr="00AC7C34" w:rsidRDefault="00296A09" w:rsidP="00296A09">
            <w:pPr>
              <w:ind w:right="212"/>
              <w:jc w:val="right"/>
              <w:rPr>
                <w:b/>
                <w:sz w:val="20"/>
              </w:rPr>
            </w:pPr>
            <w:r w:rsidRPr="00AC7C34">
              <w:rPr>
                <w:b/>
                <w:sz w:val="20"/>
              </w:rPr>
              <w:t>-</w:t>
            </w:r>
          </w:p>
        </w:tc>
        <w:tc>
          <w:tcPr>
            <w:tcW w:w="1406" w:type="dxa"/>
            <w:vAlign w:val="center"/>
          </w:tcPr>
          <w:p w:rsidR="00296A09" w:rsidRPr="0000477D" w:rsidRDefault="00296A09" w:rsidP="00296A09">
            <w:pPr>
              <w:ind w:right="212"/>
              <w:jc w:val="right"/>
              <w:rPr>
                <w:sz w:val="20"/>
              </w:rPr>
            </w:pPr>
            <w:r>
              <w:rPr>
                <w:sz w:val="20"/>
              </w:rPr>
              <w:t>-</w:t>
            </w:r>
          </w:p>
        </w:tc>
        <w:tc>
          <w:tcPr>
            <w:tcW w:w="1713" w:type="dxa"/>
            <w:vAlign w:val="center"/>
          </w:tcPr>
          <w:p w:rsidR="00296A09" w:rsidRPr="0000477D" w:rsidRDefault="00296A09" w:rsidP="00296A09">
            <w:pPr>
              <w:ind w:right="238"/>
              <w:jc w:val="right"/>
              <w:rPr>
                <w:sz w:val="20"/>
              </w:rPr>
            </w:pPr>
            <w:r>
              <w:rPr>
                <w:sz w:val="20"/>
              </w:rPr>
              <w:t>(11,368)</w:t>
            </w:r>
          </w:p>
        </w:tc>
        <w:tc>
          <w:tcPr>
            <w:tcW w:w="1276" w:type="dxa"/>
            <w:vAlign w:val="center"/>
          </w:tcPr>
          <w:p w:rsidR="00296A09" w:rsidRPr="00586023" w:rsidRDefault="00586023" w:rsidP="00296A09">
            <w:pPr>
              <w:ind w:right="179"/>
              <w:jc w:val="right"/>
              <w:rPr>
                <w:sz w:val="20"/>
              </w:rPr>
            </w:pPr>
            <w:r>
              <w:rPr>
                <w:sz w:val="20"/>
              </w:rPr>
              <w:t>279</w:t>
            </w:r>
          </w:p>
        </w:tc>
        <w:tc>
          <w:tcPr>
            <w:tcW w:w="2409" w:type="dxa"/>
          </w:tcPr>
          <w:p w:rsidR="00296A09" w:rsidRPr="00586023" w:rsidRDefault="00296A09" w:rsidP="00586023">
            <w:pPr>
              <w:ind w:right="238"/>
              <w:jc w:val="right"/>
              <w:rPr>
                <w:b/>
                <w:sz w:val="20"/>
              </w:rPr>
            </w:pPr>
            <w:r w:rsidRPr="00586023">
              <w:rPr>
                <w:b/>
                <w:sz w:val="20"/>
              </w:rPr>
              <w:t>(11,</w:t>
            </w:r>
            <w:r w:rsidR="00586023">
              <w:rPr>
                <w:b/>
                <w:sz w:val="20"/>
              </w:rPr>
              <w:t>089</w:t>
            </w:r>
            <w:r w:rsidRPr="00586023">
              <w:rPr>
                <w:b/>
                <w:sz w:val="20"/>
              </w:rPr>
              <w:t>)</w:t>
            </w:r>
          </w:p>
        </w:tc>
      </w:tr>
      <w:tr w:rsidR="00296A09" w:rsidRPr="00A06E17" w:rsidTr="006C63D8">
        <w:tc>
          <w:tcPr>
            <w:tcW w:w="3924" w:type="dxa"/>
          </w:tcPr>
          <w:p w:rsidR="00296A09" w:rsidRPr="00EB122C" w:rsidRDefault="00296A09" w:rsidP="00296A09">
            <w:pPr>
              <w:jc w:val="both"/>
              <w:rPr>
                <w:sz w:val="20"/>
              </w:rPr>
            </w:pPr>
            <w:r w:rsidRPr="00EB122C">
              <w:rPr>
                <w:sz w:val="20"/>
              </w:rPr>
              <w:t>Strategy and Planning</w:t>
            </w:r>
          </w:p>
        </w:tc>
        <w:tc>
          <w:tcPr>
            <w:tcW w:w="1843" w:type="dxa"/>
            <w:vAlign w:val="center"/>
          </w:tcPr>
          <w:p w:rsidR="00296A09" w:rsidRPr="0000477D" w:rsidRDefault="00296A09" w:rsidP="00296A09">
            <w:pPr>
              <w:ind w:right="212"/>
              <w:jc w:val="right"/>
              <w:rPr>
                <w:sz w:val="20"/>
              </w:rPr>
            </w:pPr>
            <w:r>
              <w:rPr>
                <w:sz w:val="20"/>
              </w:rPr>
              <w:t>-</w:t>
            </w:r>
          </w:p>
        </w:tc>
        <w:tc>
          <w:tcPr>
            <w:tcW w:w="2126" w:type="dxa"/>
            <w:vAlign w:val="center"/>
          </w:tcPr>
          <w:p w:rsidR="00296A09" w:rsidRPr="00AC7C34" w:rsidRDefault="00296A09" w:rsidP="00296A09">
            <w:pPr>
              <w:ind w:right="212"/>
              <w:jc w:val="right"/>
              <w:rPr>
                <w:b/>
                <w:sz w:val="20"/>
              </w:rPr>
            </w:pPr>
            <w:r w:rsidRPr="00AC7C34">
              <w:rPr>
                <w:b/>
                <w:sz w:val="20"/>
              </w:rPr>
              <w:t>-</w:t>
            </w:r>
          </w:p>
        </w:tc>
        <w:tc>
          <w:tcPr>
            <w:tcW w:w="1406" w:type="dxa"/>
            <w:vAlign w:val="center"/>
          </w:tcPr>
          <w:p w:rsidR="00296A09" w:rsidRPr="0000477D" w:rsidRDefault="00296A09" w:rsidP="00296A09">
            <w:pPr>
              <w:ind w:right="212"/>
              <w:jc w:val="right"/>
              <w:rPr>
                <w:sz w:val="20"/>
              </w:rPr>
            </w:pPr>
            <w:r>
              <w:rPr>
                <w:sz w:val="20"/>
              </w:rPr>
              <w:t>-</w:t>
            </w:r>
          </w:p>
        </w:tc>
        <w:tc>
          <w:tcPr>
            <w:tcW w:w="1713" w:type="dxa"/>
            <w:vAlign w:val="center"/>
          </w:tcPr>
          <w:p w:rsidR="00296A09" w:rsidRPr="0000477D" w:rsidRDefault="00296A09" w:rsidP="00296A09">
            <w:pPr>
              <w:ind w:right="238"/>
              <w:jc w:val="right"/>
              <w:rPr>
                <w:sz w:val="20"/>
              </w:rPr>
            </w:pPr>
            <w:r>
              <w:rPr>
                <w:sz w:val="20"/>
              </w:rPr>
              <w:t>(1,309)</w:t>
            </w:r>
          </w:p>
        </w:tc>
        <w:tc>
          <w:tcPr>
            <w:tcW w:w="1276" w:type="dxa"/>
            <w:vAlign w:val="center"/>
          </w:tcPr>
          <w:p w:rsidR="00296A09" w:rsidRPr="00586023" w:rsidRDefault="00296A09" w:rsidP="00296A09">
            <w:pPr>
              <w:ind w:right="179"/>
              <w:jc w:val="right"/>
              <w:rPr>
                <w:sz w:val="20"/>
              </w:rPr>
            </w:pPr>
            <w:r w:rsidRPr="00586023">
              <w:rPr>
                <w:sz w:val="20"/>
              </w:rPr>
              <w:t>(24)</w:t>
            </w:r>
          </w:p>
        </w:tc>
        <w:tc>
          <w:tcPr>
            <w:tcW w:w="2409" w:type="dxa"/>
            <w:vAlign w:val="center"/>
          </w:tcPr>
          <w:p w:rsidR="00296A09" w:rsidRPr="00586023" w:rsidRDefault="00296A09" w:rsidP="00296A09">
            <w:pPr>
              <w:ind w:right="238"/>
              <w:jc w:val="right"/>
              <w:rPr>
                <w:b/>
                <w:sz w:val="20"/>
              </w:rPr>
            </w:pPr>
            <w:r w:rsidRPr="00586023">
              <w:rPr>
                <w:b/>
                <w:sz w:val="20"/>
              </w:rPr>
              <w:t>(1,332)</w:t>
            </w:r>
          </w:p>
        </w:tc>
      </w:tr>
      <w:tr w:rsidR="00296A09" w:rsidRPr="00A06E17" w:rsidTr="006C63D8">
        <w:tc>
          <w:tcPr>
            <w:tcW w:w="3924" w:type="dxa"/>
          </w:tcPr>
          <w:p w:rsidR="00296A09" w:rsidRPr="00EB122C" w:rsidRDefault="00296A09" w:rsidP="00296A09">
            <w:pPr>
              <w:jc w:val="both"/>
              <w:rPr>
                <w:sz w:val="20"/>
              </w:rPr>
            </w:pPr>
            <w:r w:rsidRPr="00EB122C">
              <w:rPr>
                <w:sz w:val="20"/>
              </w:rPr>
              <w:t>People and Development</w:t>
            </w:r>
          </w:p>
        </w:tc>
        <w:tc>
          <w:tcPr>
            <w:tcW w:w="1843" w:type="dxa"/>
            <w:vAlign w:val="center"/>
          </w:tcPr>
          <w:p w:rsidR="00296A09" w:rsidRPr="0000477D" w:rsidRDefault="00296A09" w:rsidP="00296A09">
            <w:pPr>
              <w:ind w:right="212"/>
              <w:jc w:val="right"/>
              <w:rPr>
                <w:sz w:val="20"/>
              </w:rPr>
            </w:pPr>
            <w:r>
              <w:rPr>
                <w:sz w:val="20"/>
              </w:rPr>
              <w:t>-</w:t>
            </w:r>
          </w:p>
        </w:tc>
        <w:tc>
          <w:tcPr>
            <w:tcW w:w="2126" w:type="dxa"/>
            <w:vAlign w:val="center"/>
          </w:tcPr>
          <w:p w:rsidR="00296A09" w:rsidRPr="00AC7C34" w:rsidRDefault="00296A09" w:rsidP="00296A09">
            <w:pPr>
              <w:ind w:right="212"/>
              <w:jc w:val="right"/>
              <w:rPr>
                <w:b/>
                <w:sz w:val="20"/>
              </w:rPr>
            </w:pPr>
            <w:r w:rsidRPr="00AC7C34">
              <w:rPr>
                <w:b/>
                <w:sz w:val="20"/>
              </w:rPr>
              <w:t>-</w:t>
            </w:r>
          </w:p>
        </w:tc>
        <w:tc>
          <w:tcPr>
            <w:tcW w:w="1406" w:type="dxa"/>
            <w:vAlign w:val="center"/>
          </w:tcPr>
          <w:p w:rsidR="00296A09" w:rsidRPr="0000477D" w:rsidRDefault="00296A09" w:rsidP="00296A09">
            <w:pPr>
              <w:ind w:right="212"/>
              <w:jc w:val="right"/>
              <w:rPr>
                <w:sz w:val="20"/>
              </w:rPr>
            </w:pPr>
            <w:r>
              <w:rPr>
                <w:sz w:val="20"/>
              </w:rPr>
              <w:t>-</w:t>
            </w:r>
          </w:p>
        </w:tc>
        <w:tc>
          <w:tcPr>
            <w:tcW w:w="1713" w:type="dxa"/>
            <w:vAlign w:val="center"/>
          </w:tcPr>
          <w:p w:rsidR="00296A09" w:rsidRPr="0000477D" w:rsidRDefault="00296A09" w:rsidP="00296A09">
            <w:pPr>
              <w:ind w:right="238"/>
              <w:jc w:val="right"/>
              <w:rPr>
                <w:sz w:val="20"/>
              </w:rPr>
            </w:pPr>
            <w:r>
              <w:rPr>
                <w:sz w:val="20"/>
              </w:rPr>
              <w:t>11</w:t>
            </w:r>
          </w:p>
        </w:tc>
        <w:tc>
          <w:tcPr>
            <w:tcW w:w="1276" w:type="dxa"/>
            <w:vAlign w:val="center"/>
          </w:tcPr>
          <w:p w:rsidR="00296A09" w:rsidRPr="00586023" w:rsidRDefault="00296A09" w:rsidP="00296A09">
            <w:pPr>
              <w:ind w:right="179"/>
              <w:jc w:val="right"/>
              <w:rPr>
                <w:sz w:val="20"/>
              </w:rPr>
            </w:pPr>
            <w:r w:rsidRPr="00586023">
              <w:rPr>
                <w:sz w:val="20"/>
              </w:rPr>
              <w:t>-</w:t>
            </w:r>
          </w:p>
        </w:tc>
        <w:tc>
          <w:tcPr>
            <w:tcW w:w="2409" w:type="dxa"/>
            <w:vAlign w:val="center"/>
          </w:tcPr>
          <w:p w:rsidR="00296A09" w:rsidRPr="00586023" w:rsidRDefault="00296A09" w:rsidP="00296A09">
            <w:pPr>
              <w:ind w:right="238"/>
              <w:jc w:val="right"/>
              <w:rPr>
                <w:b/>
                <w:sz w:val="20"/>
              </w:rPr>
            </w:pPr>
            <w:r w:rsidRPr="00586023">
              <w:rPr>
                <w:b/>
                <w:sz w:val="20"/>
              </w:rPr>
              <w:t>11</w:t>
            </w:r>
          </w:p>
        </w:tc>
      </w:tr>
      <w:tr w:rsidR="00296A09" w:rsidRPr="00A06E17" w:rsidTr="006C63D8">
        <w:tc>
          <w:tcPr>
            <w:tcW w:w="3924" w:type="dxa"/>
          </w:tcPr>
          <w:p w:rsidR="00296A09" w:rsidRPr="00EB122C" w:rsidRDefault="00296A09" w:rsidP="00296A09">
            <w:pPr>
              <w:jc w:val="both"/>
              <w:rPr>
                <w:sz w:val="20"/>
              </w:rPr>
            </w:pPr>
            <w:r w:rsidRPr="00EB122C">
              <w:rPr>
                <w:sz w:val="20"/>
              </w:rPr>
              <w:t>Corporate Services</w:t>
            </w:r>
          </w:p>
        </w:tc>
        <w:tc>
          <w:tcPr>
            <w:tcW w:w="1843" w:type="dxa"/>
            <w:vAlign w:val="center"/>
          </w:tcPr>
          <w:p w:rsidR="00296A09" w:rsidRPr="0000477D" w:rsidRDefault="00296A09" w:rsidP="00296A09">
            <w:pPr>
              <w:ind w:right="212"/>
              <w:jc w:val="right"/>
              <w:rPr>
                <w:sz w:val="20"/>
              </w:rPr>
            </w:pPr>
            <w:r>
              <w:rPr>
                <w:sz w:val="20"/>
              </w:rPr>
              <w:t>-</w:t>
            </w:r>
          </w:p>
        </w:tc>
        <w:tc>
          <w:tcPr>
            <w:tcW w:w="2126" w:type="dxa"/>
            <w:vAlign w:val="center"/>
          </w:tcPr>
          <w:p w:rsidR="00296A09" w:rsidRPr="00AC7C34" w:rsidRDefault="00296A09" w:rsidP="00296A09">
            <w:pPr>
              <w:ind w:right="212"/>
              <w:jc w:val="right"/>
              <w:rPr>
                <w:b/>
                <w:sz w:val="20"/>
              </w:rPr>
            </w:pPr>
            <w:r w:rsidRPr="00AC7C34">
              <w:rPr>
                <w:b/>
                <w:sz w:val="20"/>
              </w:rPr>
              <w:t>-</w:t>
            </w:r>
          </w:p>
        </w:tc>
        <w:tc>
          <w:tcPr>
            <w:tcW w:w="1406" w:type="dxa"/>
            <w:vAlign w:val="center"/>
          </w:tcPr>
          <w:p w:rsidR="00296A09" w:rsidRPr="0000477D" w:rsidRDefault="00296A09" w:rsidP="00296A09">
            <w:pPr>
              <w:ind w:right="212"/>
              <w:jc w:val="right"/>
              <w:rPr>
                <w:sz w:val="20"/>
              </w:rPr>
            </w:pPr>
            <w:r>
              <w:rPr>
                <w:sz w:val="20"/>
              </w:rPr>
              <w:t>-</w:t>
            </w:r>
          </w:p>
        </w:tc>
        <w:tc>
          <w:tcPr>
            <w:tcW w:w="1713" w:type="dxa"/>
            <w:vAlign w:val="center"/>
          </w:tcPr>
          <w:p w:rsidR="00296A09" w:rsidRPr="0000477D" w:rsidRDefault="00296A09" w:rsidP="00296A09">
            <w:pPr>
              <w:ind w:right="238"/>
              <w:jc w:val="right"/>
              <w:rPr>
                <w:sz w:val="20"/>
              </w:rPr>
            </w:pPr>
            <w:r>
              <w:rPr>
                <w:sz w:val="20"/>
              </w:rPr>
              <w:t>(215)</w:t>
            </w:r>
          </w:p>
        </w:tc>
        <w:tc>
          <w:tcPr>
            <w:tcW w:w="1276" w:type="dxa"/>
            <w:vAlign w:val="center"/>
          </w:tcPr>
          <w:p w:rsidR="00296A09" w:rsidRPr="00586023" w:rsidRDefault="00296A09" w:rsidP="00296A09">
            <w:pPr>
              <w:ind w:right="179"/>
              <w:jc w:val="right"/>
              <w:rPr>
                <w:sz w:val="20"/>
              </w:rPr>
            </w:pPr>
            <w:r w:rsidRPr="00586023">
              <w:rPr>
                <w:sz w:val="20"/>
              </w:rPr>
              <w:t>-</w:t>
            </w:r>
          </w:p>
        </w:tc>
        <w:tc>
          <w:tcPr>
            <w:tcW w:w="2409" w:type="dxa"/>
            <w:vAlign w:val="center"/>
          </w:tcPr>
          <w:p w:rsidR="00296A09" w:rsidRPr="00586023" w:rsidRDefault="00296A09" w:rsidP="00296A09">
            <w:pPr>
              <w:ind w:right="238"/>
              <w:jc w:val="right"/>
              <w:rPr>
                <w:b/>
                <w:sz w:val="20"/>
              </w:rPr>
            </w:pPr>
            <w:r w:rsidRPr="00586023">
              <w:rPr>
                <w:b/>
                <w:sz w:val="20"/>
              </w:rPr>
              <w:t>(215)</w:t>
            </w:r>
          </w:p>
        </w:tc>
      </w:tr>
      <w:tr w:rsidR="00296A09" w:rsidRPr="00A06E17" w:rsidTr="006C63D8">
        <w:tc>
          <w:tcPr>
            <w:tcW w:w="3924" w:type="dxa"/>
          </w:tcPr>
          <w:p w:rsidR="00296A09" w:rsidRPr="00EB122C" w:rsidRDefault="00296A09" w:rsidP="00296A09">
            <w:pPr>
              <w:jc w:val="both"/>
              <w:rPr>
                <w:sz w:val="20"/>
              </w:rPr>
            </w:pPr>
            <w:r w:rsidRPr="00EB122C">
              <w:rPr>
                <w:sz w:val="20"/>
              </w:rPr>
              <w:t>Firefighters Pensions</w:t>
            </w:r>
          </w:p>
        </w:tc>
        <w:tc>
          <w:tcPr>
            <w:tcW w:w="1843" w:type="dxa"/>
            <w:vAlign w:val="center"/>
          </w:tcPr>
          <w:p w:rsidR="00296A09" w:rsidRPr="0000477D" w:rsidRDefault="00296A09" w:rsidP="00296A09">
            <w:pPr>
              <w:ind w:right="212"/>
              <w:jc w:val="right"/>
              <w:rPr>
                <w:sz w:val="20"/>
              </w:rPr>
            </w:pPr>
            <w:r>
              <w:rPr>
                <w:sz w:val="20"/>
              </w:rPr>
              <w:t>-</w:t>
            </w:r>
          </w:p>
        </w:tc>
        <w:tc>
          <w:tcPr>
            <w:tcW w:w="2126" w:type="dxa"/>
            <w:vAlign w:val="center"/>
          </w:tcPr>
          <w:p w:rsidR="00296A09" w:rsidRPr="00AC7C34" w:rsidRDefault="00296A09" w:rsidP="00296A09">
            <w:pPr>
              <w:ind w:right="212"/>
              <w:jc w:val="right"/>
              <w:rPr>
                <w:b/>
                <w:sz w:val="20"/>
              </w:rPr>
            </w:pPr>
            <w:r w:rsidRPr="00AC7C34">
              <w:rPr>
                <w:b/>
                <w:sz w:val="20"/>
              </w:rPr>
              <w:t>-</w:t>
            </w:r>
          </w:p>
        </w:tc>
        <w:tc>
          <w:tcPr>
            <w:tcW w:w="1406" w:type="dxa"/>
            <w:vAlign w:val="center"/>
          </w:tcPr>
          <w:p w:rsidR="00296A09" w:rsidRPr="0000477D" w:rsidRDefault="00296A09" w:rsidP="00296A09">
            <w:pPr>
              <w:ind w:right="212"/>
              <w:jc w:val="right"/>
              <w:rPr>
                <w:sz w:val="20"/>
              </w:rPr>
            </w:pPr>
            <w:r>
              <w:rPr>
                <w:sz w:val="20"/>
              </w:rPr>
              <w:t>-</w:t>
            </w:r>
          </w:p>
        </w:tc>
        <w:tc>
          <w:tcPr>
            <w:tcW w:w="1713" w:type="dxa"/>
            <w:vAlign w:val="center"/>
          </w:tcPr>
          <w:p w:rsidR="00296A09" w:rsidRPr="0000477D" w:rsidRDefault="00296A09" w:rsidP="00296A09">
            <w:pPr>
              <w:ind w:right="238"/>
              <w:jc w:val="right"/>
              <w:rPr>
                <w:sz w:val="20"/>
              </w:rPr>
            </w:pPr>
            <w:r>
              <w:rPr>
                <w:sz w:val="20"/>
              </w:rPr>
              <w:t>-</w:t>
            </w:r>
          </w:p>
        </w:tc>
        <w:tc>
          <w:tcPr>
            <w:tcW w:w="1276" w:type="dxa"/>
            <w:vAlign w:val="center"/>
          </w:tcPr>
          <w:p w:rsidR="00296A09" w:rsidRPr="00586023" w:rsidRDefault="00296A09" w:rsidP="00296A09">
            <w:pPr>
              <w:ind w:right="179"/>
              <w:jc w:val="right"/>
              <w:rPr>
                <w:sz w:val="20"/>
              </w:rPr>
            </w:pPr>
            <w:r w:rsidRPr="00586023">
              <w:rPr>
                <w:sz w:val="20"/>
              </w:rPr>
              <w:t>-</w:t>
            </w:r>
          </w:p>
        </w:tc>
        <w:tc>
          <w:tcPr>
            <w:tcW w:w="2409" w:type="dxa"/>
            <w:vAlign w:val="center"/>
          </w:tcPr>
          <w:p w:rsidR="00296A09" w:rsidRPr="00586023" w:rsidRDefault="00296A09" w:rsidP="00296A09">
            <w:pPr>
              <w:ind w:right="238"/>
              <w:jc w:val="right"/>
              <w:rPr>
                <w:b/>
                <w:sz w:val="20"/>
              </w:rPr>
            </w:pPr>
            <w:r w:rsidRPr="00586023">
              <w:rPr>
                <w:b/>
                <w:sz w:val="20"/>
              </w:rPr>
              <w:t>-</w:t>
            </w:r>
          </w:p>
        </w:tc>
      </w:tr>
      <w:tr w:rsidR="00296A09" w:rsidRPr="00A06E17" w:rsidTr="006C63D8">
        <w:tc>
          <w:tcPr>
            <w:tcW w:w="3924" w:type="dxa"/>
          </w:tcPr>
          <w:p w:rsidR="00296A09" w:rsidRPr="00EB122C" w:rsidRDefault="00296A09" w:rsidP="00296A09">
            <w:pPr>
              <w:jc w:val="both"/>
              <w:rPr>
                <w:sz w:val="20"/>
              </w:rPr>
            </w:pPr>
            <w:r w:rsidRPr="00EB122C">
              <w:rPr>
                <w:sz w:val="20"/>
              </w:rPr>
              <w:t>Overheads</w:t>
            </w:r>
          </w:p>
        </w:tc>
        <w:tc>
          <w:tcPr>
            <w:tcW w:w="1843" w:type="dxa"/>
          </w:tcPr>
          <w:p w:rsidR="00296A09" w:rsidRPr="0000477D" w:rsidRDefault="00296A09" w:rsidP="00296A09">
            <w:pPr>
              <w:ind w:right="238"/>
              <w:jc w:val="right"/>
              <w:rPr>
                <w:sz w:val="20"/>
              </w:rPr>
            </w:pPr>
            <w:r>
              <w:rPr>
                <w:sz w:val="20"/>
              </w:rPr>
              <w:t>(193)</w:t>
            </w:r>
          </w:p>
        </w:tc>
        <w:tc>
          <w:tcPr>
            <w:tcW w:w="2126" w:type="dxa"/>
          </w:tcPr>
          <w:p w:rsidR="00296A09" w:rsidRPr="00AC7C34" w:rsidRDefault="00296A09" w:rsidP="00296A09">
            <w:pPr>
              <w:ind w:right="238"/>
              <w:jc w:val="right"/>
              <w:rPr>
                <w:b/>
                <w:sz w:val="20"/>
              </w:rPr>
            </w:pPr>
            <w:r w:rsidRPr="00AC7C34">
              <w:rPr>
                <w:b/>
                <w:sz w:val="20"/>
              </w:rPr>
              <w:t>(193)</w:t>
            </w:r>
          </w:p>
        </w:tc>
        <w:tc>
          <w:tcPr>
            <w:tcW w:w="1406" w:type="dxa"/>
            <w:vAlign w:val="center"/>
          </w:tcPr>
          <w:p w:rsidR="00296A09" w:rsidRPr="0000477D" w:rsidRDefault="00296A09" w:rsidP="00296A09">
            <w:pPr>
              <w:ind w:right="238"/>
              <w:jc w:val="right"/>
              <w:rPr>
                <w:sz w:val="20"/>
              </w:rPr>
            </w:pPr>
            <w:r>
              <w:rPr>
                <w:sz w:val="20"/>
              </w:rPr>
              <w:t>222</w:t>
            </w:r>
          </w:p>
        </w:tc>
        <w:tc>
          <w:tcPr>
            <w:tcW w:w="1713" w:type="dxa"/>
            <w:vAlign w:val="center"/>
          </w:tcPr>
          <w:p w:rsidR="00296A09" w:rsidRPr="0000477D" w:rsidRDefault="00296A09" w:rsidP="00296A09">
            <w:pPr>
              <w:ind w:right="238"/>
              <w:jc w:val="right"/>
              <w:rPr>
                <w:sz w:val="20"/>
              </w:rPr>
            </w:pPr>
            <w:r>
              <w:rPr>
                <w:sz w:val="20"/>
              </w:rPr>
              <w:t>514</w:t>
            </w:r>
          </w:p>
        </w:tc>
        <w:tc>
          <w:tcPr>
            <w:tcW w:w="1276" w:type="dxa"/>
            <w:vAlign w:val="center"/>
          </w:tcPr>
          <w:p w:rsidR="00296A09" w:rsidRPr="00586023" w:rsidRDefault="00296A09" w:rsidP="00296A09">
            <w:pPr>
              <w:ind w:right="179"/>
              <w:jc w:val="right"/>
              <w:rPr>
                <w:sz w:val="20"/>
              </w:rPr>
            </w:pPr>
            <w:r w:rsidRPr="00586023">
              <w:rPr>
                <w:sz w:val="20"/>
              </w:rPr>
              <w:t>(1,350)</w:t>
            </w:r>
          </w:p>
        </w:tc>
        <w:tc>
          <w:tcPr>
            <w:tcW w:w="2409" w:type="dxa"/>
            <w:vAlign w:val="center"/>
          </w:tcPr>
          <w:p w:rsidR="00296A09" w:rsidRPr="00586023" w:rsidRDefault="00296A09" w:rsidP="00296A09">
            <w:pPr>
              <w:ind w:right="238"/>
              <w:jc w:val="right"/>
              <w:rPr>
                <w:b/>
                <w:sz w:val="20"/>
              </w:rPr>
            </w:pPr>
            <w:r w:rsidRPr="00586023">
              <w:rPr>
                <w:b/>
                <w:sz w:val="20"/>
              </w:rPr>
              <w:t>(615)</w:t>
            </w:r>
          </w:p>
        </w:tc>
      </w:tr>
      <w:tr w:rsidR="00296A09" w:rsidRPr="00A06E17" w:rsidTr="006C63D8">
        <w:tc>
          <w:tcPr>
            <w:tcW w:w="3924" w:type="dxa"/>
          </w:tcPr>
          <w:p w:rsidR="00296A09" w:rsidRPr="0000477D" w:rsidRDefault="00296A09" w:rsidP="00296A09">
            <w:pPr>
              <w:jc w:val="both"/>
              <w:rPr>
                <w:sz w:val="20"/>
              </w:rPr>
            </w:pPr>
          </w:p>
        </w:tc>
        <w:tc>
          <w:tcPr>
            <w:tcW w:w="1843" w:type="dxa"/>
          </w:tcPr>
          <w:p w:rsidR="00296A09" w:rsidRPr="0000477D" w:rsidRDefault="00296A09" w:rsidP="00296A09">
            <w:pPr>
              <w:ind w:right="238"/>
              <w:jc w:val="right"/>
              <w:rPr>
                <w:sz w:val="20"/>
              </w:rPr>
            </w:pPr>
          </w:p>
        </w:tc>
        <w:tc>
          <w:tcPr>
            <w:tcW w:w="2126" w:type="dxa"/>
          </w:tcPr>
          <w:p w:rsidR="00296A09" w:rsidRPr="00AC7C34" w:rsidRDefault="00296A09" w:rsidP="00296A09">
            <w:pPr>
              <w:ind w:right="238"/>
              <w:jc w:val="right"/>
              <w:rPr>
                <w:b/>
                <w:sz w:val="20"/>
              </w:rPr>
            </w:pPr>
          </w:p>
        </w:tc>
        <w:tc>
          <w:tcPr>
            <w:tcW w:w="1406" w:type="dxa"/>
            <w:vAlign w:val="center"/>
          </w:tcPr>
          <w:p w:rsidR="00296A09" w:rsidRPr="0000477D" w:rsidRDefault="00296A09" w:rsidP="00296A09">
            <w:pPr>
              <w:ind w:right="238"/>
              <w:jc w:val="right"/>
              <w:rPr>
                <w:sz w:val="20"/>
              </w:rPr>
            </w:pPr>
          </w:p>
        </w:tc>
        <w:tc>
          <w:tcPr>
            <w:tcW w:w="1713" w:type="dxa"/>
            <w:vAlign w:val="center"/>
          </w:tcPr>
          <w:p w:rsidR="00296A09" w:rsidRPr="0000477D" w:rsidRDefault="00296A09" w:rsidP="00296A09">
            <w:pPr>
              <w:ind w:right="238"/>
              <w:jc w:val="right"/>
              <w:rPr>
                <w:sz w:val="20"/>
              </w:rPr>
            </w:pPr>
          </w:p>
        </w:tc>
        <w:tc>
          <w:tcPr>
            <w:tcW w:w="1276" w:type="dxa"/>
            <w:vAlign w:val="center"/>
          </w:tcPr>
          <w:p w:rsidR="00296A09" w:rsidRPr="00586023" w:rsidRDefault="00296A09" w:rsidP="00296A09">
            <w:pPr>
              <w:ind w:right="179"/>
              <w:jc w:val="right"/>
              <w:rPr>
                <w:sz w:val="20"/>
              </w:rPr>
            </w:pPr>
          </w:p>
        </w:tc>
        <w:tc>
          <w:tcPr>
            <w:tcW w:w="2409" w:type="dxa"/>
            <w:vAlign w:val="center"/>
          </w:tcPr>
          <w:p w:rsidR="00296A09" w:rsidRPr="00586023" w:rsidRDefault="00296A09" w:rsidP="00296A09">
            <w:pPr>
              <w:ind w:right="238"/>
              <w:jc w:val="right"/>
              <w:rPr>
                <w:b/>
                <w:sz w:val="20"/>
              </w:rPr>
            </w:pPr>
          </w:p>
        </w:tc>
      </w:tr>
      <w:tr w:rsidR="00296A09" w:rsidRPr="00A06E17" w:rsidTr="006C63D8">
        <w:tc>
          <w:tcPr>
            <w:tcW w:w="3924" w:type="dxa"/>
          </w:tcPr>
          <w:p w:rsidR="00296A09" w:rsidRPr="00EB122C" w:rsidRDefault="00296A09" w:rsidP="00296A09">
            <w:pPr>
              <w:jc w:val="both"/>
              <w:rPr>
                <w:b/>
                <w:sz w:val="20"/>
              </w:rPr>
            </w:pPr>
            <w:r w:rsidRPr="00EB122C">
              <w:rPr>
                <w:b/>
                <w:sz w:val="20"/>
              </w:rPr>
              <w:t>Net cost of Services</w:t>
            </w:r>
          </w:p>
        </w:tc>
        <w:tc>
          <w:tcPr>
            <w:tcW w:w="1843" w:type="dxa"/>
          </w:tcPr>
          <w:p w:rsidR="00296A09" w:rsidRPr="000F173B" w:rsidRDefault="00296A09" w:rsidP="00296A09">
            <w:pPr>
              <w:ind w:right="238"/>
              <w:jc w:val="right"/>
              <w:rPr>
                <w:b/>
                <w:sz w:val="20"/>
              </w:rPr>
            </w:pPr>
            <w:r w:rsidRPr="000F173B">
              <w:rPr>
                <w:b/>
                <w:sz w:val="20"/>
              </w:rPr>
              <w:t>(193)</w:t>
            </w:r>
          </w:p>
        </w:tc>
        <w:tc>
          <w:tcPr>
            <w:tcW w:w="2126" w:type="dxa"/>
          </w:tcPr>
          <w:p w:rsidR="00296A09" w:rsidRPr="00AC7C34" w:rsidRDefault="00296A09" w:rsidP="00296A09">
            <w:pPr>
              <w:ind w:right="238"/>
              <w:jc w:val="right"/>
              <w:rPr>
                <w:b/>
                <w:sz w:val="20"/>
              </w:rPr>
            </w:pPr>
            <w:r w:rsidRPr="00AC7C34">
              <w:rPr>
                <w:b/>
                <w:sz w:val="20"/>
              </w:rPr>
              <w:t>(193)</w:t>
            </w:r>
          </w:p>
        </w:tc>
        <w:tc>
          <w:tcPr>
            <w:tcW w:w="1406" w:type="dxa"/>
            <w:vAlign w:val="center"/>
          </w:tcPr>
          <w:p w:rsidR="00296A09" w:rsidRPr="00AC7C34" w:rsidRDefault="00296A09" w:rsidP="00296A09">
            <w:pPr>
              <w:ind w:right="238"/>
              <w:jc w:val="right"/>
              <w:rPr>
                <w:b/>
                <w:sz w:val="20"/>
              </w:rPr>
            </w:pPr>
            <w:r w:rsidRPr="00AC7C34">
              <w:rPr>
                <w:b/>
                <w:sz w:val="20"/>
              </w:rPr>
              <w:t>222</w:t>
            </w:r>
          </w:p>
        </w:tc>
        <w:tc>
          <w:tcPr>
            <w:tcW w:w="1713" w:type="dxa"/>
            <w:vAlign w:val="center"/>
          </w:tcPr>
          <w:p w:rsidR="00296A09" w:rsidRPr="00AC7C34" w:rsidRDefault="00296A09" w:rsidP="00296A09">
            <w:pPr>
              <w:ind w:right="238"/>
              <w:jc w:val="right"/>
              <w:rPr>
                <w:b/>
                <w:sz w:val="20"/>
              </w:rPr>
            </w:pPr>
            <w:r>
              <w:rPr>
                <w:b/>
                <w:sz w:val="20"/>
              </w:rPr>
              <w:t>(12,367)</w:t>
            </w:r>
          </w:p>
        </w:tc>
        <w:tc>
          <w:tcPr>
            <w:tcW w:w="1276" w:type="dxa"/>
            <w:vAlign w:val="center"/>
          </w:tcPr>
          <w:p w:rsidR="00296A09" w:rsidRPr="00586023" w:rsidRDefault="00296A09" w:rsidP="00586023">
            <w:pPr>
              <w:ind w:right="179"/>
              <w:jc w:val="right"/>
              <w:rPr>
                <w:b/>
                <w:sz w:val="20"/>
              </w:rPr>
            </w:pPr>
            <w:r w:rsidRPr="00586023">
              <w:rPr>
                <w:b/>
                <w:sz w:val="20"/>
              </w:rPr>
              <w:t>(1,</w:t>
            </w:r>
            <w:r w:rsidR="00586023">
              <w:rPr>
                <w:b/>
                <w:sz w:val="20"/>
              </w:rPr>
              <w:t>095</w:t>
            </w:r>
            <w:r w:rsidRPr="00586023">
              <w:rPr>
                <w:b/>
                <w:sz w:val="20"/>
              </w:rPr>
              <w:t>)</w:t>
            </w:r>
          </w:p>
        </w:tc>
        <w:tc>
          <w:tcPr>
            <w:tcW w:w="2409" w:type="dxa"/>
            <w:vAlign w:val="center"/>
          </w:tcPr>
          <w:p w:rsidR="00296A09" w:rsidRPr="00586023" w:rsidRDefault="00296A09" w:rsidP="00586023">
            <w:pPr>
              <w:ind w:right="238"/>
              <w:jc w:val="right"/>
              <w:rPr>
                <w:b/>
                <w:sz w:val="20"/>
              </w:rPr>
            </w:pPr>
            <w:r w:rsidRPr="00586023">
              <w:rPr>
                <w:b/>
                <w:sz w:val="20"/>
              </w:rPr>
              <w:t>(13,</w:t>
            </w:r>
            <w:r w:rsidR="00586023">
              <w:rPr>
                <w:b/>
                <w:sz w:val="20"/>
              </w:rPr>
              <w:t>240</w:t>
            </w:r>
            <w:r w:rsidRPr="00586023">
              <w:rPr>
                <w:b/>
                <w:sz w:val="20"/>
              </w:rPr>
              <w:t>)</w:t>
            </w:r>
          </w:p>
        </w:tc>
      </w:tr>
      <w:tr w:rsidR="00296A09" w:rsidRPr="00A06E17" w:rsidTr="006C63D8">
        <w:tc>
          <w:tcPr>
            <w:tcW w:w="3924" w:type="dxa"/>
          </w:tcPr>
          <w:p w:rsidR="00296A09" w:rsidRPr="00EB122C" w:rsidRDefault="00296A09" w:rsidP="00296A09">
            <w:pPr>
              <w:jc w:val="both"/>
              <w:rPr>
                <w:sz w:val="20"/>
              </w:rPr>
            </w:pPr>
          </w:p>
        </w:tc>
        <w:tc>
          <w:tcPr>
            <w:tcW w:w="1843" w:type="dxa"/>
          </w:tcPr>
          <w:p w:rsidR="00296A09" w:rsidRPr="0000477D" w:rsidRDefault="00296A09" w:rsidP="00296A09">
            <w:pPr>
              <w:ind w:right="238"/>
              <w:jc w:val="right"/>
              <w:rPr>
                <w:sz w:val="20"/>
              </w:rPr>
            </w:pPr>
          </w:p>
        </w:tc>
        <w:tc>
          <w:tcPr>
            <w:tcW w:w="2126" w:type="dxa"/>
          </w:tcPr>
          <w:p w:rsidR="00296A09" w:rsidRPr="00AC7C34" w:rsidRDefault="00296A09" w:rsidP="00296A09">
            <w:pPr>
              <w:ind w:right="238"/>
              <w:jc w:val="right"/>
              <w:rPr>
                <w:b/>
                <w:sz w:val="20"/>
              </w:rPr>
            </w:pPr>
          </w:p>
        </w:tc>
        <w:tc>
          <w:tcPr>
            <w:tcW w:w="1406" w:type="dxa"/>
            <w:vAlign w:val="center"/>
          </w:tcPr>
          <w:p w:rsidR="00296A09" w:rsidRPr="0000477D" w:rsidRDefault="00296A09" w:rsidP="00296A09">
            <w:pPr>
              <w:ind w:right="238"/>
              <w:jc w:val="right"/>
              <w:rPr>
                <w:sz w:val="20"/>
              </w:rPr>
            </w:pPr>
          </w:p>
        </w:tc>
        <w:tc>
          <w:tcPr>
            <w:tcW w:w="1713" w:type="dxa"/>
            <w:vAlign w:val="center"/>
          </w:tcPr>
          <w:p w:rsidR="00296A09" w:rsidRPr="0000477D" w:rsidRDefault="00296A09" w:rsidP="00296A09">
            <w:pPr>
              <w:ind w:right="238"/>
              <w:jc w:val="right"/>
              <w:rPr>
                <w:sz w:val="20"/>
              </w:rPr>
            </w:pPr>
          </w:p>
        </w:tc>
        <w:tc>
          <w:tcPr>
            <w:tcW w:w="1276" w:type="dxa"/>
            <w:vAlign w:val="center"/>
          </w:tcPr>
          <w:p w:rsidR="00296A09" w:rsidRPr="00586023" w:rsidRDefault="00296A09" w:rsidP="00296A09">
            <w:pPr>
              <w:ind w:right="179"/>
              <w:jc w:val="right"/>
              <w:rPr>
                <w:sz w:val="20"/>
              </w:rPr>
            </w:pPr>
          </w:p>
        </w:tc>
        <w:tc>
          <w:tcPr>
            <w:tcW w:w="2409" w:type="dxa"/>
            <w:vAlign w:val="center"/>
          </w:tcPr>
          <w:p w:rsidR="00296A09" w:rsidRPr="00586023" w:rsidRDefault="00296A09" w:rsidP="00296A09">
            <w:pPr>
              <w:ind w:right="238"/>
              <w:jc w:val="right"/>
              <w:rPr>
                <w:b/>
                <w:sz w:val="20"/>
              </w:rPr>
            </w:pPr>
          </w:p>
        </w:tc>
      </w:tr>
      <w:tr w:rsidR="00296A09" w:rsidRPr="00A06E17" w:rsidTr="00296A09">
        <w:tc>
          <w:tcPr>
            <w:tcW w:w="3924" w:type="dxa"/>
          </w:tcPr>
          <w:p w:rsidR="00296A09" w:rsidRPr="00EB122C" w:rsidRDefault="00296A09" w:rsidP="00296A09">
            <w:pPr>
              <w:jc w:val="both"/>
              <w:rPr>
                <w:sz w:val="20"/>
              </w:rPr>
            </w:pPr>
            <w:r w:rsidRPr="00EB122C">
              <w:rPr>
                <w:sz w:val="20"/>
              </w:rPr>
              <w:t>Other income and expenditure</w:t>
            </w:r>
          </w:p>
        </w:tc>
        <w:tc>
          <w:tcPr>
            <w:tcW w:w="1843" w:type="dxa"/>
          </w:tcPr>
          <w:p w:rsidR="00296A09" w:rsidRPr="0000477D" w:rsidRDefault="00296A09" w:rsidP="00296A09">
            <w:pPr>
              <w:ind w:right="238"/>
              <w:jc w:val="right"/>
              <w:rPr>
                <w:sz w:val="20"/>
              </w:rPr>
            </w:pPr>
            <w:r>
              <w:rPr>
                <w:sz w:val="20"/>
              </w:rPr>
              <w:t>-</w:t>
            </w:r>
          </w:p>
        </w:tc>
        <w:tc>
          <w:tcPr>
            <w:tcW w:w="2126" w:type="dxa"/>
          </w:tcPr>
          <w:p w:rsidR="00296A09" w:rsidRPr="00AC7C34" w:rsidRDefault="00296A09" w:rsidP="00296A09">
            <w:pPr>
              <w:ind w:right="238"/>
              <w:jc w:val="right"/>
              <w:rPr>
                <w:b/>
                <w:sz w:val="20"/>
              </w:rPr>
            </w:pPr>
            <w:r w:rsidRPr="00AC7C34">
              <w:rPr>
                <w:b/>
                <w:sz w:val="20"/>
              </w:rPr>
              <w:t>-</w:t>
            </w:r>
          </w:p>
        </w:tc>
        <w:tc>
          <w:tcPr>
            <w:tcW w:w="1406" w:type="dxa"/>
            <w:vAlign w:val="center"/>
          </w:tcPr>
          <w:p w:rsidR="00296A09" w:rsidRPr="0000477D" w:rsidRDefault="00296A09" w:rsidP="00296A09">
            <w:pPr>
              <w:ind w:right="238"/>
              <w:jc w:val="right"/>
              <w:rPr>
                <w:sz w:val="20"/>
              </w:rPr>
            </w:pPr>
            <w:r>
              <w:rPr>
                <w:sz w:val="20"/>
              </w:rPr>
              <w:t>-</w:t>
            </w:r>
          </w:p>
        </w:tc>
        <w:tc>
          <w:tcPr>
            <w:tcW w:w="1713" w:type="dxa"/>
            <w:vAlign w:val="center"/>
          </w:tcPr>
          <w:p w:rsidR="00296A09" w:rsidRPr="0000477D" w:rsidRDefault="00296A09" w:rsidP="00586023">
            <w:pPr>
              <w:ind w:right="238"/>
              <w:jc w:val="right"/>
              <w:rPr>
                <w:sz w:val="20"/>
              </w:rPr>
            </w:pPr>
            <w:r>
              <w:rPr>
                <w:sz w:val="20"/>
              </w:rPr>
              <w:t>23,</w:t>
            </w:r>
            <w:r w:rsidR="00586023">
              <w:rPr>
                <w:sz w:val="20"/>
              </w:rPr>
              <w:t>285</w:t>
            </w:r>
          </w:p>
        </w:tc>
        <w:tc>
          <w:tcPr>
            <w:tcW w:w="1276" w:type="dxa"/>
            <w:vAlign w:val="center"/>
          </w:tcPr>
          <w:p w:rsidR="00296A09" w:rsidRPr="00586023" w:rsidRDefault="00296A09" w:rsidP="00296A09">
            <w:pPr>
              <w:ind w:right="179"/>
              <w:jc w:val="right"/>
              <w:rPr>
                <w:sz w:val="20"/>
              </w:rPr>
            </w:pPr>
            <w:r w:rsidRPr="00586023">
              <w:rPr>
                <w:sz w:val="20"/>
              </w:rPr>
              <w:t>771</w:t>
            </w:r>
          </w:p>
        </w:tc>
        <w:tc>
          <w:tcPr>
            <w:tcW w:w="2409" w:type="dxa"/>
            <w:vAlign w:val="center"/>
          </w:tcPr>
          <w:p w:rsidR="00296A09" w:rsidRPr="00586023" w:rsidRDefault="00296A09" w:rsidP="00586023">
            <w:pPr>
              <w:ind w:right="238"/>
              <w:jc w:val="right"/>
              <w:rPr>
                <w:b/>
                <w:sz w:val="20"/>
              </w:rPr>
            </w:pPr>
            <w:r w:rsidRPr="00586023">
              <w:rPr>
                <w:b/>
                <w:sz w:val="20"/>
              </w:rPr>
              <w:t>24,</w:t>
            </w:r>
            <w:r w:rsidR="00586023" w:rsidRPr="00586023">
              <w:rPr>
                <w:b/>
                <w:sz w:val="20"/>
              </w:rPr>
              <w:t>0</w:t>
            </w:r>
            <w:r w:rsidR="00586023">
              <w:rPr>
                <w:b/>
                <w:sz w:val="20"/>
              </w:rPr>
              <w:t>5</w:t>
            </w:r>
            <w:r w:rsidR="00586023" w:rsidRPr="00586023">
              <w:rPr>
                <w:b/>
                <w:sz w:val="20"/>
              </w:rPr>
              <w:t>6</w:t>
            </w:r>
          </w:p>
        </w:tc>
      </w:tr>
      <w:tr w:rsidR="00296A09" w:rsidRPr="00A06E17" w:rsidTr="006C63D8">
        <w:tc>
          <w:tcPr>
            <w:tcW w:w="3924" w:type="dxa"/>
          </w:tcPr>
          <w:p w:rsidR="00296A09" w:rsidRPr="00EB122C" w:rsidRDefault="00296A09" w:rsidP="00296A09">
            <w:pPr>
              <w:jc w:val="both"/>
              <w:rPr>
                <w:sz w:val="20"/>
              </w:rPr>
            </w:pPr>
          </w:p>
        </w:tc>
        <w:tc>
          <w:tcPr>
            <w:tcW w:w="1843" w:type="dxa"/>
          </w:tcPr>
          <w:p w:rsidR="00296A09" w:rsidRPr="0000477D" w:rsidRDefault="00296A09" w:rsidP="00296A09">
            <w:pPr>
              <w:ind w:right="238"/>
              <w:jc w:val="right"/>
              <w:rPr>
                <w:sz w:val="20"/>
              </w:rPr>
            </w:pPr>
          </w:p>
        </w:tc>
        <w:tc>
          <w:tcPr>
            <w:tcW w:w="2126" w:type="dxa"/>
          </w:tcPr>
          <w:p w:rsidR="00296A09" w:rsidRPr="00AC7C34" w:rsidRDefault="00296A09" w:rsidP="00296A09">
            <w:pPr>
              <w:ind w:right="238"/>
              <w:jc w:val="right"/>
              <w:rPr>
                <w:b/>
                <w:sz w:val="20"/>
              </w:rPr>
            </w:pPr>
          </w:p>
        </w:tc>
        <w:tc>
          <w:tcPr>
            <w:tcW w:w="1406" w:type="dxa"/>
            <w:vAlign w:val="center"/>
          </w:tcPr>
          <w:p w:rsidR="00296A09" w:rsidRPr="0000477D" w:rsidRDefault="00296A09" w:rsidP="00296A09">
            <w:pPr>
              <w:ind w:right="238"/>
              <w:jc w:val="right"/>
              <w:rPr>
                <w:sz w:val="20"/>
              </w:rPr>
            </w:pPr>
          </w:p>
        </w:tc>
        <w:tc>
          <w:tcPr>
            <w:tcW w:w="1713" w:type="dxa"/>
            <w:vAlign w:val="center"/>
          </w:tcPr>
          <w:p w:rsidR="00296A09" w:rsidRPr="0000477D" w:rsidRDefault="00296A09" w:rsidP="00296A09">
            <w:pPr>
              <w:ind w:right="238"/>
              <w:jc w:val="right"/>
              <w:rPr>
                <w:sz w:val="20"/>
              </w:rPr>
            </w:pPr>
          </w:p>
        </w:tc>
        <w:tc>
          <w:tcPr>
            <w:tcW w:w="1276" w:type="dxa"/>
            <w:vAlign w:val="center"/>
          </w:tcPr>
          <w:p w:rsidR="00296A09" w:rsidRPr="00586023" w:rsidRDefault="00296A09" w:rsidP="00296A09">
            <w:pPr>
              <w:ind w:right="179"/>
              <w:jc w:val="right"/>
              <w:rPr>
                <w:sz w:val="20"/>
              </w:rPr>
            </w:pPr>
          </w:p>
        </w:tc>
        <w:tc>
          <w:tcPr>
            <w:tcW w:w="2409" w:type="dxa"/>
            <w:vAlign w:val="center"/>
          </w:tcPr>
          <w:p w:rsidR="00296A09" w:rsidRPr="00586023" w:rsidRDefault="00296A09" w:rsidP="00296A09">
            <w:pPr>
              <w:ind w:right="238"/>
              <w:jc w:val="right"/>
              <w:rPr>
                <w:b/>
                <w:sz w:val="20"/>
              </w:rPr>
            </w:pPr>
          </w:p>
        </w:tc>
      </w:tr>
      <w:tr w:rsidR="00296A09" w:rsidRPr="00A06E17" w:rsidTr="006C63D8">
        <w:tc>
          <w:tcPr>
            <w:tcW w:w="3924" w:type="dxa"/>
          </w:tcPr>
          <w:p w:rsidR="00296A09" w:rsidRPr="00535DAA" w:rsidRDefault="00296A09" w:rsidP="00296A09">
            <w:pPr>
              <w:jc w:val="both"/>
              <w:rPr>
                <w:b/>
                <w:sz w:val="20"/>
              </w:rPr>
            </w:pPr>
            <w:r w:rsidRPr="00535DAA">
              <w:rPr>
                <w:b/>
                <w:sz w:val="20"/>
              </w:rPr>
              <w:t>Total</w:t>
            </w:r>
          </w:p>
        </w:tc>
        <w:tc>
          <w:tcPr>
            <w:tcW w:w="1843" w:type="dxa"/>
          </w:tcPr>
          <w:p w:rsidR="00296A09" w:rsidRPr="000F173B" w:rsidRDefault="00296A09" w:rsidP="00296A09">
            <w:pPr>
              <w:ind w:right="238"/>
              <w:jc w:val="right"/>
              <w:rPr>
                <w:b/>
                <w:sz w:val="20"/>
              </w:rPr>
            </w:pPr>
            <w:r w:rsidRPr="000F173B">
              <w:rPr>
                <w:b/>
                <w:sz w:val="20"/>
              </w:rPr>
              <w:t>(193)</w:t>
            </w:r>
          </w:p>
        </w:tc>
        <w:tc>
          <w:tcPr>
            <w:tcW w:w="2126" w:type="dxa"/>
          </w:tcPr>
          <w:p w:rsidR="00296A09" w:rsidRPr="00AC7C34" w:rsidRDefault="00296A09" w:rsidP="00296A09">
            <w:pPr>
              <w:ind w:right="238"/>
              <w:jc w:val="right"/>
              <w:rPr>
                <w:b/>
                <w:sz w:val="20"/>
              </w:rPr>
            </w:pPr>
            <w:r w:rsidRPr="00AC7C34">
              <w:rPr>
                <w:b/>
                <w:sz w:val="20"/>
              </w:rPr>
              <w:t>(193)</w:t>
            </w:r>
          </w:p>
        </w:tc>
        <w:tc>
          <w:tcPr>
            <w:tcW w:w="1406" w:type="dxa"/>
            <w:vAlign w:val="center"/>
          </w:tcPr>
          <w:p w:rsidR="00296A09" w:rsidRPr="00AC7C34" w:rsidRDefault="00296A09" w:rsidP="00296A09">
            <w:pPr>
              <w:ind w:right="238"/>
              <w:jc w:val="right"/>
              <w:rPr>
                <w:b/>
                <w:sz w:val="20"/>
              </w:rPr>
            </w:pPr>
            <w:r w:rsidRPr="00AC7C34">
              <w:rPr>
                <w:b/>
                <w:sz w:val="20"/>
              </w:rPr>
              <w:t>222</w:t>
            </w:r>
          </w:p>
        </w:tc>
        <w:tc>
          <w:tcPr>
            <w:tcW w:w="1713" w:type="dxa"/>
            <w:vAlign w:val="center"/>
          </w:tcPr>
          <w:p w:rsidR="00296A09" w:rsidRPr="00AC7C34" w:rsidRDefault="00296A09" w:rsidP="00586023">
            <w:pPr>
              <w:ind w:right="238"/>
              <w:jc w:val="right"/>
              <w:rPr>
                <w:b/>
                <w:sz w:val="20"/>
              </w:rPr>
            </w:pPr>
            <w:r>
              <w:rPr>
                <w:b/>
                <w:sz w:val="20"/>
              </w:rPr>
              <w:t>10,</w:t>
            </w:r>
            <w:r w:rsidR="00586023">
              <w:rPr>
                <w:b/>
                <w:sz w:val="20"/>
              </w:rPr>
              <w:t>918</w:t>
            </w:r>
          </w:p>
        </w:tc>
        <w:tc>
          <w:tcPr>
            <w:tcW w:w="1276" w:type="dxa"/>
            <w:vAlign w:val="center"/>
          </w:tcPr>
          <w:p w:rsidR="00296A09" w:rsidRPr="00586023" w:rsidRDefault="00296A09" w:rsidP="00586023">
            <w:pPr>
              <w:ind w:right="179"/>
              <w:jc w:val="right"/>
              <w:rPr>
                <w:b/>
                <w:sz w:val="20"/>
              </w:rPr>
            </w:pPr>
            <w:r w:rsidRPr="00586023">
              <w:rPr>
                <w:b/>
                <w:sz w:val="20"/>
              </w:rPr>
              <w:t>(</w:t>
            </w:r>
            <w:r w:rsidR="00586023">
              <w:rPr>
                <w:b/>
                <w:sz w:val="20"/>
              </w:rPr>
              <w:t>324</w:t>
            </w:r>
            <w:r w:rsidRPr="00586023">
              <w:rPr>
                <w:b/>
                <w:sz w:val="20"/>
              </w:rPr>
              <w:t>)</w:t>
            </w:r>
          </w:p>
        </w:tc>
        <w:tc>
          <w:tcPr>
            <w:tcW w:w="2409" w:type="dxa"/>
            <w:vAlign w:val="center"/>
          </w:tcPr>
          <w:p w:rsidR="00296A09" w:rsidRPr="00586023" w:rsidRDefault="00296A09" w:rsidP="00586023">
            <w:pPr>
              <w:ind w:right="238"/>
              <w:jc w:val="right"/>
              <w:rPr>
                <w:b/>
                <w:sz w:val="20"/>
              </w:rPr>
            </w:pPr>
            <w:r w:rsidRPr="00586023">
              <w:rPr>
                <w:b/>
                <w:sz w:val="20"/>
              </w:rPr>
              <w:t>10,</w:t>
            </w:r>
            <w:r w:rsidR="00586023">
              <w:rPr>
                <w:b/>
                <w:sz w:val="20"/>
              </w:rPr>
              <w:t>816</w:t>
            </w:r>
          </w:p>
        </w:tc>
      </w:tr>
    </w:tbl>
    <w:p w:rsidR="00831631" w:rsidRPr="00F335C6" w:rsidRDefault="00831631" w:rsidP="009469D7">
      <w:pPr>
        <w:ind w:left="720"/>
        <w:jc w:val="both"/>
        <w:rPr>
          <w:sz w:val="18"/>
          <w:szCs w:val="18"/>
        </w:rPr>
      </w:pPr>
    </w:p>
    <w:p w:rsidR="00296A09" w:rsidRDefault="00296A09" w:rsidP="00296A09">
      <w:pPr>
        <w:ind w:left="720"/>
        <w:jc w:val="both"/>
        <w:rPr>
          <w:sz w:val="20"/>
        </w:rPr>
      </w:pPr>
      <w:r w:rsidRPr="009A1A63">
        <w:rPr>
          <w:sz w:val="20"/>
        </w:rPr>
        <w:t>Note 1 – Adjustments for capital purposes – this column adds in depreciation, impairments and revaluation gains and losses.  It also adjusts for capital disposals with a transfer of the income on the disposal and the amounts written off.  MRP is deducted because it is not chargeable under generally accepted accounting practices.  Adjustments are also made to recognise capital grant</w:t>
      </w:r>
      <w:r>
        <w:rPr>
          <w:sz w:val="20"/>
        </w:rPr>
        <w:t xml:space="preserve"> income.</w:t>
      </w:r>
    </w:p>
    <w:p w:rsidR="00296A09" w:rsidRDefault="00296A09" w:rsidP="00296A09">
      <w:pPr>
        <w:ind w:left="720"/>
        <w:jc w:val="both"/>
        <w:rPr>
          <w:sz w:val="20"/>
        </w:rPr>
      </w:pPr>
      <w:r>
        <w:rPr>
          <w:sz w:val="20"/>
        </w:rPr>
        <w:t>Note 2 – Pensions Adjustments - This shows which lines have been affected by the removal of pension contributions and replaced with IAS19 debits and credits.</w:t>
      </w:r>
    </w:p>
    <w:p w:rsidR="00296A09" w:rsidRDefault="00296A09" w:rsidP="00296A09">
      <w:pPr>
        <w:ind w:left="720"/>
        <w:jc w:val="both"/>
        <w:rPr>
          <w:sz w:val="20"/>
        </w:rPr>
      </w:pPr>
      <w:r>
        <w:rPr>
          <w:sz w:val="20"/>
        </w:rPr>
        <w:t>Note 3 – Other Differences - This column adjusts for timing differences on the amounts chargeable for Business Rates and Council Tax under Statute and the Code.</w:t>
      </w:r>
    </w:p>
    <w:p w:rsidR="00176B30" w:rsidRDefault="00176B30" w:rsidP="009469D7">
      <w:pPr>
        <w:ind w:left="720"/>
        <w:jc w:val="both"/>
        <w:rPr>
          <w:sz w:val="20"/>
        </w:rPr>
      </w:pPr>
    </w:p>
    <w:p w:rsidR="00296A09" w:rsidRDefault="00296A09" w:rsidP="009469D7">
      <w:pPr>
        <w:ind w:left="720"/>
        <w:jc w:val="both"/>
        <w:rPr>
          <w:sz w:val="20"/>
        </w:rPr>
      </w:pPr>
    </w:p>
    <w:p w:rsidR="00296A09" w:rsidRDefault="00296A09" w:rsidP="009469D7">
      <w:pPr>
        <w:ind w:left="720"/>
        <w:jc w:val="both"/>
        <w:rPr>
          <w:sz w:val="20"/>
        </w:rPr>
      </w:pPr>
    </w:p>
    <w:p w:rsidR="00296A09" w:rsidRDefault="00296A09" w:rsidP="009469D7">
      <w:pPr>
        <w:ind w:left="720"/>
        <w:jc w:val="both"/>
        <w:rPr>
          <w:sz w:val="20"/>
        </w:rPr>
        <w:sectPr w:rsidR="00296A09" w:rsidSect="00F335C6">
          <w:pgSz w:w="16840" w:h="11907" w:orient="landscape" w:code="9"/>
          <w:pgMar w:top="567" w:right="454" w:bottom="567" w:left="397" w:header="720" w:footer="720" w:gutter="0"/>
          <w:cols w:space="720"/>
          <w:docGrid w:linePitch="326"/>
        </w:sectPr>
      </w:pPr>
    </w:p>
    <w:p w:rsidR="00176B30" w:rsidRDefault="00176B30" w:rsidP="009469D7">
      <w:pPr>
        <w:ind w:left="720"/>
        <w:jc w:val="both"/>
        <w:rPr>
          <w:sz w:val="20"/>
        </w:rPr>
      </w:pPr>
    </w:p>
    <w:p w:rsidR="00D90216" w:rsidRPr="00A60775" w:rsidRDefault="00296A09" w:rsidP="00F335C6">
      <w:pPr>
        <w:rPr>
          <w:b/>
          <w:sz w:val="22"/>
        </w:rPr>
      </w:pPr>
      <w:r>
        <w:rPr>
          <w:b/>
          <w:sz w:val="22"/>
        </w:rPr>
        <w:t>2</w:t>
      </w:r>
      <w:r w:rsidR="005722FC">
        <w:rPr>
          <w:b/>
          <w:sz w:val="22"/>
        </w:rPr>
        <w:tab/>
      </w:r>
      <w:r w:rsidR="00D90216" w:rsidRPr="00A60775">
        <w:rPr>
          <w:b/>
          <w:sz w:val="22"/>
        </w:rPr>
        <w:t>Fire Authority Costs</w:t>
      </w:r>
    </w:p>
    <w:p w:rsidR="00D90216" w:rsidRPr="00A60775" w:rsidRDefault="00D90216" w:rsidP="00D90216">
      <w:pPr>
        <w:jc w:val="both"/>
        <w:rPr>
          <w:b/>
          <w:sz w:val="22"/>
        </w:rPr>
      </w:pPr>
    </w:p>
    <w:p w:rsidR="00D90216" w:rsidRPr="00A60775" w:rsidRDefault="00D90216" w:rsidP="00D90216">
      <w:pPr>
        <w:pStyle w:val="BodyTextIndent"/>
        <w:jc w:val="both"/>
        <w:rPr>
          <w:sz w:val="22"/>
          <w:highlight w:val="cyan"/>
          <w:lang w:val="en-GB"/>
        </w:rPr>
      </w:pPr>
      <w:r w:rsidRPr="00A60775">
        <w:rPr>
          <w:sz w:val="22"/>
          <w:lang w:val="en-GB"/>
        </w:rPr>
        <w:t xml:space="preserve">In </w:t>
      </w:r>
      <w:r w:rsidRPr="00A60775">
        <w:rPr>
          <w:sz w:val="22"/>
        </w:rPr>
        <w:t>201</w:t>
      </w:r>
      <w:r w:rsidR="00296A09">
        <w:rPr>
          <w:sz w:val="22"/>
        </w:rPr>
        <w:t>7</w:t>
      </w:r>
      <w:r w:rsidR="001E4146">
        <w:rPr>
          <w:sz w:val="22"/>
        </w:rPr>
        <w:t>/1</w:t>
      </w:r>
      <w:r w:rsidR="00296A09">
        <w:rPr>
          <w:sz w:val="22"/>
        </w:rPr>
        <w:t>8</w:t>
      </w:r>
      <w:r w:rsidRPr="00A60775">
        <w:rPr>
          <w:sz w:val="22"/>
        </w:rPr>
        <w:t xml:space="preserve"> </w:t>
      </w:r>
      <w:r w:rsidRPr="00A60775">
        <w:rPr>
          <w:sz w:val="22"/>
          <w:lang w:val="en-GB"/>
        </w:rPr>
        <w:t xml:space="preserve">Fire Authority costs </w:t>
      </w:r>
      <w:r w:rsidRPr="007D63DF">
        <w:rPr>
          <w:sz w:val="22"/>
          <w:lang w:val="en-GB"/>
        </w:rPr>
        <w:t xml:space="preserve">amounted </w:t>
      </w:r>
      <w:r w:rsidRPr="00417FD0">
        <w:rPr>
          <w:sz w:val="22"/>
          <w:lang w:val="en-GB"/>
        </w:rPr>
        <w:t>to £0.</w:t>
      </w:r>
      <w:r w:rsidR="00417FD0" w:rsidRPr="00417FD0">
        <w:rPr>
          <w:sz w:val="22"/>
          <w:lang w:val="en-GB"/>
        </w:rPr>
        <w:t>268</w:t>
      </w:r>
      <w:r w:rsidRPr="00417FD0">
        <w:rPr>
          <w:sz w:val="22"/>
          <w:lang w:val="en-GB"/>
        </w:rPr>
        <w:t>m</w:t>
      </w:r>
      <w:r w:rsidR="003079EA" w:rsidRPr="00A210EE">
        <w:rPr>
          <w:sz w:val="22"/>
          <w:lang w:val="en-GB"/>
        </w:rPr>
        <w:t xml:space="preserve"> (201</w:t>
      </w:r>
      <w:r w:rsidR="00296A09">
        <w:rPr>
          <w:sz w:val="22"/>
          <w:lang w:val="en-GB"/>
        </w:rPr>
        <w:t>6</w:t>
      </w:r>
      <w:r w:rsidR="001E4146">
        <w:rPr>
          <w:sz w:val="22"/>
          <w:lang w:val="en-GB"/>
        </w:rPr>
        <w:t>/1</w:t>
      </w:r>
      <w:r w:rsidR="00296A09">
        <w:rPr>
          <w:sz w:val="22"/>
          <w:lang w:val="en-GB"/>
        </w:rPr>
        <w:t>7</w:t>
      </w:r>
      <w:r w:rsidR="003079EA">
        <w:rPr>
          <w:sz w:val="22"/>
          <w:lang w:val="en-GB"/>
        </w:rPr>
        <w:t>: £0.</w:t>
      </w:r>
      <w:r w:rsidR="00D2322A">
        <w:rPr>
          <w:sz w:val="22"/>
          <w:lang w:val="en-GB"/>
        </w:rPr>
        <w:t>26</w:t>
      </w:r>
      <w:r w:rsidR="00296A09">
        <w:rPr>
          <w:sz w:val="22"/>
          <w:lang w:val="en-GB"/>
        </w:rPr>
        <w:t>0</w:t>
      </w:r>
      <w:r w:rsidR="003079EA">
        <w:rPr>
          <w:sz w:val="22"/>
          <w:lang w:val="en-GB"/>
        </w:rPr>
        <w:t>m)</w:t>
      </w:r>
      <w:r w:rsidRPr="00A60775">
        <w:rPr>
          <w:sz w:val="22"/>
          <w:lang w:val="en-GB"/>
        </w:rPr>
        <w:t>, analysed as follows:</w:t>
      </w:r>
    </w:p>
    <w:p w:rsidR="00D90216" w:rsidRPr="00A60775" w:rsidRDefault="00D90216" w:rsidP="00D90216">
      <w:pPr>
        <w:pStyle w:val="BodyTextIndent"/>
        <w:ind w:left="0"/>
        <w:rPr>
          <w:sz w:val="22"/>
          <w:highlight w:val="cyan"/>
          <w:lang w:val="en-GB"/>
        </w:rPr>
      </w:pPr>
    </w:p>
    <w:tbl>
      <w:tblPr>
        <w:tblW w:w="8460" w:type="dxa"/>
        <w:tblInd w:w="720" w:type="dxa"/>
        <w:tblLayout w:type="fixed"/>
        <w:tblLook w:val="0000" w:firstRow="0" w:lastRow="0" w:firstColumn="0" w:lastColumn="0" w:noHBand="0" w:noVBand="0"/>
      </w:tblPr>
      <w:tblGrid>
        <w:gridCol w:w="4770"/>
        <w:gridCol w:w="1890"/>
        <w:gridCol w:w="1800"/>
      </w:tblGrid>
      <w:tr w:rsidR="00812378" w:rsidRPr="00A60775" w:rsidTr="00836028">
        <w:trPr>
          <w:trHeight w:hRule="exact" w:val="300"/>
        </w:trPr>
        <w:tc>
          <w:tcPr>
            <w:tcW w:w="4770" w:type="dxa"/>
          </w:tcPr>
          <w:p w:rsidR="00812378" w:rsidRPr="009A2324" w:rsidRDefault="00812378" w:rsidP="00CD62E6">
            <w:pPr>
              <w:pStyle w:val="Footer"/>
              <w:tabs>
                <w:tab w:val="clear" w:pos="4153"/>
                <w:tab w:val="clear" w:pos="8306"/>
              </w:tabs>
              <w:rPr>
                <w:sz w:val="22"/>
              </w:rPr>
            </w:pPr>
          </w:p>
        </w:tc>
        <w:tc>
          <w:tcPr>
            <w:tcW w:w="1890" w:type="dxa"/>
          </w:tcPr>
          <w:p w:rsidR="00812378" w:rsidRDefault="00812378" w:rsidP="00A14A8E">
            <w:pPr>
              <w:pStyle w:val="BodyTextIndent"/>
              <w:ind w:left="0"/>
              <w:jc w:val="center"/>
              <w:rPr>
                <w:sz w:val="22"/>
                <w:lang w:val="en-GB"/>
              </w:rPr>
            </w:pPr>
            <w:r>
              <w:rPr>
                <w:sz w:val="22"/>
                <w:lang w:val="en-GB"/>
              </w:rPr>
              <w:t>201</w:t>
            </w:r>
            <w:r w:rsidR="00A14A8E">
              <w:rPr>
                <w:sz w:val="22"/>
                <w:lang w:val="en-GB"/>
              </w:rPr>
              <w:t>7</w:t>
            </w:r>
            <w:r>
              <w:rPr>
                <w:sz w:val="22"/>
                <w:lang w:val="en-GB"/>
              </w:rPr>
              <w:t>/1</w:t>
            </w:r>
            <w:r w:rsidR="00A14A8E">
              <w:rPr>
                <w:sz w:val="22"/>
                <w:lang w:val="en-GB"/>
              </w:rPr>
              <w:t>8</w:t>
            </w:r>
          </w:p>
        </w:tc>
        <w:tc>
          <w:tcPr>
            <w:tcW w:w="1800" w:type="dxa"/>
          </w:tcPr>
          <w:p w:rsidR="00812378" w:rsidRDefault="00296A09" w:rsidP="00812378">
            <w:pPr>
              <w:pStyle w:val="BodyTextIndent"/>
              <w:ind w:left="0"/>
              <w:jc w:val="center"/>
              <w:rPr>
                <w:sz w:val="22"/>
                <w:lang w:val="en-GB"/>
              </w:rPr>
            </w:pPr>
            <w:r>
              <w:rPr>
                <w:sz w:val="22"/>
                <w:lang w:val="en-GB"/>
              </w:rPr>
              <w:t>2016/17</w:t>
            </w:r>
          </w:p>
        </w:tc>
      </w:tr>
      <w:tr w:rsidR="00836028" w:rsidRPr="00A60775" w:rsidTr="00836028">
        <w:trPr>
          <w:trHeight w:hRule="exact" w:val="300"/>
        </w:trPr>
        <w:tc>
          <w:tcPr>
            <w:tcW w:w="4770" w:type="dxa"/>
          </w:tcPr>
          <w:p w:rsidR="00836028" w:rsidRPr="009A2324" w:rsidRDefault="00836028" w:rsidP="00CD62E6">
            <w:pPr>
              <w:pStyle w:val="Footer"/>
              <w:tabs>
                <w:tab w:val="clear" w:pos="4153"/>
                <w:tab w:val="clear" w:pos="8306"/>
                <w:tab w:val="left" w:pos="702"/>
              </w:tabs>
              <w:rPr>
                <w:sz w:val="22"/>
              </w:rPr>
            </w:pPr>
          </w:p>
        </w:tc>
        <w:tc>
          <w:tcPr>
            <w:tcW w:w="1890" w:type="dxa"/>
          </w:tcPr>
          <w:p w:rsidR="00836028" w:rsidRPr="009A2324" w:rsidRDefault="00836028" w:rsidP="00D2322A">
            <w:pPr>
              <w:jc w:val="center"/>
              <w:rPr>
                <w:sz w:val="22"/>
              </w:rPr>
            </w:pPr>
            <w:r w:rsidRPr="009A2324">
              <w:rPr>
                <w:sz w:val="22"/>
              </w:rPr>
              <w:t>£000</w:t>
            </w:r>
          </w:p>
        </w:tc>
        <w:tc>
          <w:tcPr>
            <w:tcW w:w="1800" w:type="dxa"/>
          </w:tcPr>
          <w:p w:rsidR="00836028" w:rsidRPr="009A2324" w:rsidRDefault="00836028" w:rsidP="00D2322A">
            <w:pPr>
              <w:jc w:val="center"/>
              <w:rPr>
                <w:sz w:val="22"/>
              </w:rPr>
            </w:pPr>
            <w:r w:rsidRPr="009A2324">
              <w:rPr>
                <w:sz w:val="22"/>
              </w:rPr>
              <w:t>£000</w:t>
            </w:r>
          </w:p>
        </w:tc>
      </w:tr>
      <w:tr w:rsidR="00296A09" w:rsidRPr="00A60775" w:rsidTr="00836028">
        <w:trPr>
          <w:trHeight w:hRule="exact" w:val="300"/>
        </w:trPr>
        <w:tc>
          <w:tcPr>
            <w:tcW w:w="4770" w:type="dxa"/>
          </w:tcPr>
          <w:p w:rsidR="00296A09" w:rsidRPr="009A2324" w:rsidRDefault="00296A09" w:rsidP="00CD62E6">
            <w:pPr>
              <w:pStyle w:val="Footer"/>
              <w:tabs>
                <w:tab w:val="clear" w:pos="4153"/>
                <w:tab w:val="clear" w:pos="8306"/>
                <w:tab w:val="left" w:pos="702"/>
              </w:tabs>
              <w:rPr>
                <w:sz w:val="22"/>
              </w:rPr>
            </w:pPr>
            <w:r w:rsidRPr="009A2324">
              <w:rPr>
                <w:sz w:val="22"/>
              </w:rPr>
              <w:t>Members allowances/expenses</w:t>
            </w:r>
          </w:p>
        </w:tc>
        <w:tc>
          <w:tcPr>
            <w:tcW w:w="1890" w:type="dxa"/>
          </w:tcPr>
          <w:p w:rsidR="00296A09" w:rsidRPr="007D63DF" w:rsidRDefault="00417FD0" w:rsidP="00D2322A">
            <w:pPr>
              <w:pStyle w:val="Footer"/>
              <w:tabs>
                <w:tab w:val="clear" w:pos="4153"/>
                <w:tab w:val="clear" w:pos="8306"/>
                <w:tab w:val="decimal" w:pos="1080"/>
              </w:tabs>
              <w:rPr>
                <w:sz w:val="22"/>
              </w:rPr>
            </w:pPr>
            <w:r>
              <w:rPr>
                <w:sz w:val="22"/>
              </w:rPr>
              <w:t>123</w:t>
            </w:r>
          </w:p>
        </w:tc>
        <w:tc>
          <w:tcPr>
            <w:tcW w:w="1800" w:type="dxa"/>
          </w:tcPr>
          <w:p w:rsidR="00296A09" w:rsidRPr="007D63DF" w:rsidRDefault="00296A09" w:rsidP="00296A09">
            <w:pPr>
              <w:pStyle w:val="Footer"/>
              <w:tabs>
                <w:tab w:val="clear" w:pos="4153"/>
                <w:tab w:val="clear" w:pos="8306"/>
                <w:tab w:val="decimal" w:pos="1080"/>
              </w:tabs>
              <w:rPr>
                <w:sz w:val="22"/>
              </w:rPr>
            </w:pPr>
            <w:r>
              <w:rPr>
                <w:sz w:val="22"/>
              </w:rPr>
              <w:t>126</w:t>
            </w:r>
          </w:p>
        </w:tc>
      </w:tr>
      <w:tr w:rsidR="00296A09" w:rsidRPr="00A60775" w:rsidTr="00836028">
        <w:trPr>
          <w:trHeight w:hRule="exact" w:val="300"/>
        </w:trPr>
        <w:tc>
          <w:tcPr>
            <w:tcW w:w="4770" w:type="dxa"/>
          </w:tcPr>
          <w:p w:rsidR="00296A09" w:rsidRPr="009A2324" w:rsidRDefault="00296A09" w:rsidP="00CD62E6">
            <w:pPr>
              <w:tabs>
                <w:tab w:val="left" w:pos="702"/>
              </w:tabs>
              <w:rPr>
                <w:sz w:val="22"/>
              </w:rPr>
            </w:pPr>
            <w:r w:rsidRPr="009A2324">
              <w:rPr>
                <w:sz w:val="22"/>
              </w:rPr>
              <w:t>Statutory officers</w:t>
            </w:r>
          </w:p>
        </w:tc>
        <w:tc>
          <w:tcPr>
            <w:tcW w:w="1890" w:type="dxa"/>
          </w:tcPr>
          <w:p w:rsidR="00296A09" w:rsidRPr="007D63DF" w:rsidRDefault="00417FD0" w:rsidP="00D2322A">
            <w:pPr>
              <w:tabs>
                <w:tab w:val="decimal" w:pos="1080"/>
              </w:tabs>
              <w:rPr>
                <w:sz w:val="22"/>
              </w:rPr>
            </w:pPr>
            <w:r>
              <w:rPr>
                <w:sz w:val="22"/>
              </w:rPr>
              <w:t>98</w:t>
            </w:r>
          </w:p>
        </w:tc>
        <w:tc>
          <w:tcPr>
            <w:tcW w:w="1800" w:type="dxa"/>
          </w:tcPr>
          <w:p w:rsidR="00296A09" w:rsidRPr="007D63DF" w:rsidRDefault="00296A09" w:rsidP="00296A09">
            <w:pPr>
              <w:tabs>
                <w:tab w:val="decimal" w:pos="1080"/>
              </w:tabs>
              <w:rPr>
                <w:sz w:val="22"/>
              </w:rPr>
            </w:pPr>
            <w:r>
              <w:rPr>
                <w:sz w:val="22"/>
              </w:rPr>
              <w:t>95</w:t>
            </w:r>
          </w:p>
        </w:tc>
      </w:tr>
      <w:tr w:rsidR="00296A09" w:rsidRPr="00A60775" w:rsidTr="00836028">
        <w:trPr>
          <w:trHeight w:hRule="exact" w:val="300"/>
        </w:trPr>
        <w:tc>
          <w:tcPr>
            <w:tcW w:w="4770" w:type="dxa"/>
          </w:tcPr>
          <w:p w:rsidR="00296A09" w:rsidRPr="009A2324" w:rsidRDefault="00296A09" w:rsidP="00CD62E6">
            <w:pPr>
              <w:tabs>
                <w:tab w:val="left" w:pos="702"/>
              </w:tabs>
              <w:rPr>
                <w:sz w:val="22"/>
              </w:rPr>
            </w:pPr>
            <w:r w:rsidRPr="009A2324">
              <w:rPr>
                <w:sz w:val="22"/>
              </w:rPr>
              <w:t>Statutory reports/publications</w:t>
            </w:r>
          </w:p>
        </w:tc>
        <w:tc>
          <w:tcPr>
            <w:tcW w:w="1890" w:type="dxa"/>
          </w:tcPr>
          <w:p w:rsidR="00296A09" w:rsidRPr="007D63DF" w:rsidRDefault="00417FD0" w:rsidP="00D2322A">
            <w:pPr>
              <w:tabs>
                <w:tab w:val="decimal" w:pos="1080"/>
              </w:tabs>
              <w:rPr>
                <w:sz w:val="22"/>
              </w:rPr>
            </w:pPr>
            <w:r>
              <w:rPr>
                <w:sz w:val="22"/>
              </w:rPr>
              <w:t>1</w:t>
            </w:r>
          </w:p>
        </w:tc>
        <w:tc>
          <w:tcPr>
            <w:tcW w:w="1800" w:type="dxa"/>
          </w:tcPr>
          <w:p w:rsidR="00296A09" w:rsidRPr="007D63DF" w:rsidRDefault="00296A09" w:rsidP="00296A09">
            <w:pPr>
              <w:tabs>
                <w:tab w:val="decimal" w:pos="1080"/>
              </w:tabs>
              <w:rPr>
                <w:sz w:val="22"/>
              </w:rPr>
            </w:pPr>
            <w:r>
              <w:rPr>
                <w:sz w:val="22"/>
              </w:rPr>
              <w:t>1</w:t>
            </w:r>
          </w:p>
        </w:tc>
      </w:tr>
      <w:tr w:rsidR="00296A09" w:rsidRPr="00A60775" w:rsidTr="00836028">
        <w:trPr>
          <w:trHeight w:hRule="exact" w:val="300"/>
        </w:trPr>
        <w:tc>
          <w:tcPr>
            <w:tcW w:w="4770" w:type="dxa"/>
          </w:tcPr>
          <w:p w:rsidR="00296A09" w:rsidRPr="009A2324" w:rsidRDefault="00296A09" w:rsidP="00CD62E6">
            <w:pPr>
              <w:tabs>
                <w:tab w:val="left" w:pos="702"/>
              </w:tabs>
              <w:rPr>
                <w:sz w:val="22"/>
              </w:rPr>
            </w:pPr>
            <w:r w:rsidRPr="009A2324">
              <w:rPr>
                <w:sz w:val="22"/>
              </w:rPr>
              <w:t>Subscriptions</w:t>
            </w:r>
          </w:p>
        </w:tc>
        <w:tc>
          <w:tcPr>
            <w:tcW w:w="1890" w:type="dxa"/>
          </w:tcPr>
          <w:p w:rsidR="00296A09" w:rsidRPr="007D63DF" w:rsidRDefault="00417FD0" w:rsidP="00D2322A">
            <w:pPr>
              <w:tabs>
                <w:tab w:val="decimal" w:pos="1080"/>
              </w:tabs>
              <w:rPr>
                <w:sz w:val="22"/>
              </w:rPr>
            </w:pPr>
            <w:r>
              <w:rPr>
                <w:sz w:val="22"/>
              </w:rPr>
              <w:t>11</w:t>
            </w:r>
          </w:p>
        </w:tc>
        <w:tc>
          <w:tcPr>
            <w:tcW w:w="1800" w:type="dxa"/>
          </w:tcPr>
          <w:p w:rsidR="00296A09" w:rsidRPr="007D63DF" w:rsidRDefault="00296A09" w:rsidP="00296A09">
            <w:pPr>
              <w:tabs>
                <w:tab w:val="decimal" w:pos="1080"/>
              </w:tabs>
              <w:rPr>
                <w:sz w:val="22"/>
              </w:rPr>
            </w:pPr>
            <w:r>
              <w:rPr>
                <w:sz w:val="22"/>
              </w:rPr>
              <w:t>13</w:t>
            </w:r>
          </w:p>
        </w:tc>
      </w:tr>
      <w:tr w:rsidR="00296A09" w:rsidRPr="00A60775" w:rsidTr="00836028">
        <w:trPr>
          <w:trHeight w:hRule="exact" w:val="300"/>
        </w:trPr>
        <w:tc>
          <w:tcPr>
            <w:tcW w:w="4770" w:type="dxa"/>
          </w:tcPr>
          <w:p w:rsidR="00296A09" w:rsidRPr="009A2324" w:rsidRDefault="00296A09" w:rsidP="00CD62E6">
            <w:pPr>
              <w:tabs>
                <w:tab w:val="left" w:pos="702"/>
              </w:tabs>
              <w:rPr>
                <w:sz w:val="22"/>
              </w:rPr>
            </w:pPr>
            <w:r w:rsidRPr="009A2324">
              <w:rPr>
                <w:sz w:val="22"/>
              </w:rPr>
              <w:t>Others</w:t>
            </w:r>
          </w:p>
        </w:tc>
        <w:tc>
          <w:tcPr>
            <w:tcW w:w="1890" w:type="dxa"/>
          </w:tcPr>
          <w:p w:rsidR="00296A09" w:rsidRPr="005727EA" w:rsidRDefault="00417FD0" w:rsidP="00D2322A">
            <w:pPr>
              <w:tabs>
                <w:tab w:val="decimal" w:pos="1080"/>
              </w:tabs>
              <w:rPr>
                <w:sz w:val="22"/>
              </w:rPr>
            </w:pPr>
            <w:r>
              <w:rPr>
                <w:sz w:val="22"/>
              </w:rPr>
              <w:t>35</w:t>
            </w:r>
          </w:p>
        </w:tc>
        <w:tc>
          <w:tcPr>
            <w:tcW w:w="1800" w:type="dxa"/>
          </w:tcPr>
          <w:p w:rsidR="00296A09" w:rsidRPr="005727EA" w:rsidRDefault="00296A09" w:rsidP="00296A09">
            <w:pPr>
              <w:tabs>
                <w:tab w:val="decimal" w:pos="1080"/>
              </w:tabs>
              <w:rPr>
                <w:sz w:val="22"/>
              </w:rPr>
            </w:pPr>
            <w:r>
              <w:rPr>
                <w:sz w:val="22"/>
              </w:rPr>
              <w:t>25</w:t>
            </w:r>
          </w:p>
        </w:tc>
      </w:tr>
      <w:tr w:rsidR="00296A09" w:rsidRPr="00A60775" w:rsidTr="00836028">
        <w:trPr>
          <w:trHeight w:hRule="exact" w:val="300"/>
        </w:trPr>
        <w:tc>
          <w:tcPr>
            <w:tcW w:w="4770" w:type="dxa"/>
          </w:tcPr>
          <w:p w:rsidR="00296A09" w:rsidRPr="009A2324" w:rsidRDefault="00296A09" w:rsidP="00CD62E6">
            <w:pPr>
              <w:tabs>
                <w:tab w:val="left" w:pos="702"/>
              </w:tabs>
              <w:rPr>
                <w:sz w:val="22"/>
              </w:rPr>
            </w:pPr>
          </w:p>
        </w:tc>
        <w:tc>
          <w:tcPr>
            <w:tcW w:w="1890" w:type="dxa"/>
            <w:tcBorders>
              <w:top w:val="single" w:sz="4" w:space="0" w:color="auto"/>
              <w:bottom w:val="double" w:sz="4" w:space="0" w:color="auto"/>
            </w:tcBorders>
          </w:tcPr>
          <w:p w:rsidR="00296A09" w:rsidRPr="005727EA" w:rsidRDefault="00417FD0" w:rsidP="00D2322A">
            <w:pPr>
              <w:tabs>
                <w:tab w:val="decimal" w:pos="1080"/>
              </w:tabs>
              <w:rPr>
                <w:sz w:val="22"/>
              </w:rPr>
            </w:pPr>
            <w:r>
              <w:rPr>
                <w:sz w:val="22"/>
              </w:rPr>
              <w:t>268</w:t>
            </w:r>
          </w:p>
        </w:tc>
        <w:tc>
          <w:tcPr>
            <w:tcW w:w="1800" w:type="dxa"/>
            <w:tcBorders>
              <w:top w:val="single" w:sz="4" w:space="0" w:color="auto"/>
              <w:bottom w:val="double" w:sz="4" w:space="0" w:color="auto"/>
            </w:tcBorders>
          </w:tcPr>
          <w:p w:rsidR="00296A09" w:rsidRPr="005727EA" w:rsidRDefault="00296A09" w:rsidP="00296A09">
            <w:pPr>
              <w:tabs>
                <w:tab w:val="decimal" w:pos="1080"/>
              </w:tabs>
              <w:rPr>
                <w:sz w:val="22"/>
              </w:rPr>
            </w:pPr>
            <w:r>
              <w:rPr>
                <w:sz w:val="22"/>
              </w:rPr>
              <w:t>260</w:t>
            </w:r>
          </w:p>
        </w:tc>
      </w:tr>
    </w:tbl>
    <w:p w:rsidR="00DC4253" w:rsidRDefault="00D90216" w:rsidP="00CA1CFF">
      <w:pPr>
        <w:pStyle w:val="Footer"/>
        <w:tabs>
          <w:tab w:val="clear" w:pos="4153"/>
          <w:tab w:val="clear" w:pos="8306"/>
        </w:tabs>
        <w:jc w:val="both"/>
        <w:rPr>
          <w:sz w:val="22"/>
        </w:rPr>
      </w:pPr>
      <w:r w:rsidRPr="00A60775">
        <w:rPr>
          <w:sz w:val="22"/>
          <w:highlight w:val="cyan"/>
        </w:rPr>
        <w:t xml:space="preserve"> </w:t>
      </w:r>
    </w:p>
    <w:p w:rsidR="00D2322A" w:rsidRDefault="00D2322A" w:rsidP="00CA1CFF">
      <w:pPr>
        <w:pStyle w:val="Footer"/>
        <w:tabs>
          <w:tab w:val="clear" w:pos="4153"/>
          <w:tab w:val="clear" w:pos="8306"/>
        </w:tabs>
        <w:jc w:val="both"/>
        <w:rPr>
          <w:b/>
          <w:sz w:val="22"/>
        </w:rPr>
      </w:pPr>
    </w:p>
    <w:p w:rsidR="00D90216" w:rsidRPr="009A2324" w:rsidRDefault="001B72DF" w:rsidP="00D90216">
      <w:pPr>
        <w:rPr>
          <w:b/>
          <w:sz w:val="22"/>
        </w:rPr>
      </w:pPr>
      <w:r>
        <w:rPr>
          <w:b/>
          <w:sz w:val="22"/>
        </w:rPr>
        <w:t>3</w:t>
      </w:r>
      <w:r w:rsidR="00D90216" w:rsidRPr="009A2324">
        <w:rPr>
          <w:b/>
          <w:sz w:val="22"/>
        </w:rPr>
        <w:tab/>
        <w:t xml:space="preserve">Employees Emoluments </w:t>
      </w:r>
    </w:p>
    <w:p w:rsidR="00D90216" w:rsidRPr="009A2324" w:rsidRDefault="00D90216" w:rsidP="00D90216">
      <w:pPr>
        <w:pStyle w:val="Footer"/>
        <w:tabs>
          <w:tab w:val="clear" w:pos="4153"/>
          <w:tab w:val="clear" w:pos="8306"/>
        </w:tabs>
        <w:rPr>
          <w:sz w:val="22"/>
        </w:rPr>
      </w:pPr>
    </w:p>
    <w:p w:rsidR="00D90216" w:rsidRPr="009A2324" w:rsidRDefault="00D90216" w:rsidP="00D90216">
      <w:pPr>
        <w:pStyle w:val="BodyTextIndent2"/>
        <w:ind w:firstLine="0"/>
        <w:jc w:val="both"/>
        <w:rPr>
          <w:sz w:val="22"/>
        </w:rPr>
      </w:pPr>
      <w:r w:rsidRPr="009A2324">
        <w:rPr>
          <w:sz w:val="22"/>
        </w:rPr>
        <w:t xml:space="preserve">Details of the Authority’s employees, out of </w:t>
      </w:r>
      <w:r w:rsidRPr="00A5151A">
        <w:rPr>
          <w:sz w:val="22"/>
        </w:rPr>
        <w:t xml:space="preserve">an </w:t>
      </w:r>
      <w:r w:rsidRPr="009C1C94">
        <w:rPr>
          <w:sz w:val="22"/>
        </w:rPr>
        <w:t>estimated 1,</w:t>
      </w:r>
      <w:r w:rsidR="007B0DB9" w:rsidRPr="009C1C94">
        <w:rPr>
          <w:sz w:val="22"/>
        </w:rPr>
        <w:t>0</w:t>
      </w:r>
      <w:r w:rsidR="009C1C94" w:rsidRPr="009C1C94">
        <w:rPr>
          <w:sz w:val="22"/>
        </w:rPr>
        <w:t>89</w:t>
      </w:r>
      <w:r w:rsidRPr="00A5151A">
        <w:rPr>
          <w:sz w:val="22"/>
        </w:rPr>
        <w:t xml:space="preserve"> full-time equivalent,</w:t>
      </w:r>
      <w:r w:rsidRPr="009A2324">
        <w:rPr>
          <w:sz w:val="22"/>
        </w:rPr>
        <w:t xml:space="preserve"> who have received pay and benefits of more than £50,000 are:</w:t>
      </w:r>
    </w:p>
    <w:p w:rsidR="00D90216" w:rsidRPr="00A60775" w:rsidRDefault="00D90216" w:rsidP="00D90216">
      <w:pPr>
        <w:pStyle w:val="BodyTextIndent2"/>
        <w:ind w:left="0" w:firstLine="0"/>
        <w:rPr>
          <w:sz w:val="22"/>
          <w:highlight w:val="cyan"/>
        </w:rPr>
      </w:pPr>
    </w:p>
    <w:tbl>
      <w:tblPr>
        <w:tblW w:w="0" w:type="auto"/>
        <w:tblInd w:w="720" w:type="dxa"/>
        <w:tblLayout w:type="fixed"/>
        <w:tblLook w:val="0000" w:firstRow="0" w:lastRow="0" w:firstColumn="0" w:lastColumn="0" w:noHBand="0" w:noVBand="0"/>
      </w:tblPr>
      <w:tblGrid>
        <w:gridCol w:w="5220"/>
        <w:gridCol w:w="1597"/>
        <w:gridCol w:w="1597"/>
      </w:tblGrid>
      <w:tr w:rsidR="00812378" w:rsidRPr="00A60775" w:rsidTr="00CD62E6">
        <w:trPr>
          <w:trHeight w:hRule="exact" w:val="300"/>
        </w:trPr>
        <w:tc>
          <w:tcPr>
            <w:tcW w:w="5220" w:type="dxa"/>
          </w:tcPr>
          <w:p w:rsidR="00812378" w:rsidRPr="00A60775" w:rsidRDefault="00812378" w:rsidP="00CD62E6">
            <w:pPr>
              <w:tabs>
                <w:tab w:val="left" w:pos="720"/>
                <w:tab w:val="right" w:pos="7920"/>
              </w:tabs>
              <w:rPr>
                <w:sz w:val="22"/>
                <w:highlight w:val="cyan"/>
              </w:rPr>
            </w:pPr>
          </w:p>
        </w:tc>
        <w:tc>
          <w:tcPr>
            <w:tcW w:w="1597" w:type="dxa"/>
          </w:tcPr>
          <w:p w:rsidR="00812378" w:rsidRDefault="00812378" w:rsidP="001902C9">
            <w:pPr>
              <w:pStyle w:val="BodyTextIndent"/>
              <w:ind w:left="0"/>
              <w:jc w:val="center"/>
              <w:rPr>
                <w:sz w:val="22"/>
                <w:lang w:val="en-GB"/>
              </w:rPr>
            </w:pPr>
            <w:r>
              <w:rPr>
                <w:sz w:val="22"/>
                <w:lang w:val="en-GB"/>
              </w:rPr>
              <w:t>201</w:t>
            </w:r>
            <w:r w:rsidR="001902C9">
              <w:rPr>
                <w:sz w:val="22"/>
                <w:lang w:val="en-GB"/>
              </w:rPr>
              <w:t>7</w:t>
            </w:r>
            <w:r>
              <w:rPr>
                <w:sz w:val="22"/>
                <w:lang w:val="en-GB"/>
              </w:rPr>
              <w:t>/1</w:t>
            </w:r>
            <w:r w:rsidR="001902C9">
              <w:rPr>
                <w:sz w:val="22"/>
                <w:lang w:val="en-GB"/>
              </w:rPr>
              <w:t>8</w:t>
            </w:r>
          </w:p>
        </w:tc>
        <w:tc>
          <w:tcPr>
            <w:tcW w:w="1597" w:type="dxa"/>
          </w:tcPr>
          <w:p w:rsidR="00812378" w:rsidRDefault="001902C9" w:rsidP="00812378">
            <w:pPr>
              <w:pStyle w:val="BodyTextIndent"/>
              <w:ind w:left="0"/>
              <w:jc w:val="center"/>
              <w:rPr>
                <w:sz w:val="22"/>
                <w:lang w:val="en-GB"/>
              </w:rPr>
            </w:pPr>
            <w:r>
              <w:rPr>
                <w:sz w:val="22"/>
                <w:lang w:val="en-GB"/>
              </w:rPr>
              <w:t>2016/17</w:t>
            </w:r>
          </w:p>
        </w:tc>
      </w:tr>
      <w:tr w:rsidR="00D90216" w:rsidRPr="00A60775" w:rsidTr="00CD62E6">
        <w:trPr>
          <w:trHeight w:hRule="exact" w:val="300"/>
        </w:trPr>
        <w:tc>
          <w:tcPr>
            <w:tcW w:w="5220" w:type="dxa"/>
          </w:tcPr>
          <w:p w:rsidR="00D90216" w:rsidRPr="00A60775" w:rsidRDefault="00D90216" w:rsidP="00CD62E6">
            <w:pPr>
              <w:pStyle w:val="Footer"/>
              <w:tabs>
                <w:tab w:val="clear" w:pos="4153"/>
                <w:tab w:val="clear" w:pos="8306"/>
                <w:tab w:val="left" w:pos="720"/>
                <w:tab w:val="right" w:pos="7920"/>
              </w:tabs>
              <w:rPr>
                <w:sz w:val="22"/>
                <w:highlight w:val="cyan"/>
              </w:rPr>
            </w:pPr>
          </w:p>
        </w:tc>
        <w:tc>
          <w:tcPr>
            <w:tcW w:w="1597" w:type="dxa"/>
          </w:tcPr>
          <w:p w:rsidR="00D90216" w:rsidRPr="009A2324" w:rsidRDefault="00D90216" w:rsidP="00CD62E6">
            <w:pPr>
              <w:jc w:val="center"/>
              <w:rPr>
                <w:sz w:val="22"/>
              </w:rPr>
            </w:pPr>
            <w:r w:rsidRPr="009A2324">
              <w:rPr>
                <w:sz w:val="22"/>
              </w:rPr>
              <w:t>No.</w:t>
            </w:r>
          </w:p>
        </w:tc>
        <w:tc>
          <w:tcPr>
            <w:tcW w:w="1597" w:type="dxa"/>
          </w:tcPr>
          <w:p w:rsidR="00D90216" w:rsidRPr="009A2324" w:rsidRDefault="00D90216" w:rsidP="00CD62E6">
            <w:pPr>
              <w:jc w:val="center"/>
              <w:rPr>
                <w:sz w:val="22"/>
              </w:rPr>
            </w:pPr>
            <w:r w:rsidRPr="009A2324">
              <w:rPr>
                <w:sz w:val="22"/>
              </w:rPr>
              <w:t>No.</w:t>
            </w:r>
          </w:p>
        </w:tc>
      </w:tr>
      <w:tr w:rsidR="001902C9" w:rsidRPr="00A60775" w:rsidTr="00CD62E6">
        <w:trPr>
          <w:trHeight w:hRule="exact" w:val="300"/>
        </w:trPr>
        <w:tc>
          <w:tcPr>
            <w:tcW w:w="5220" w:type="dxa"/>
          </w:tcPr>
          <w:p w:rsidR="001902C9" w:rsidRPr="009A2324" w:rsidRDefault="001902C9" w:rsidP="00CD62E6">
            <w:pPr>
              <w:pStyle w:val="Footer"/>
              <w:tabs>
                <w:tab w:val="clear" w:pos="4153"/>
                <w:tab w:val="clear" w:pos="8306"/>
                <w:tab w:val="left" w:pos="720"/>
                <w:tab w:val="left" w:pos="1422"/>
                <w:tab w:val="right" w:pos="7920"/>
              </w:tabs>
              <w:rPr>
                <w:sz w:val="22"/>
              </w:rPr>
            </w:pPr>
            <w:r>
              <w:rPr>
                <w:sz w:val="22"/>
              </w:rPr>
              <w:t>£70,000 - £74,999</w:t>
            </w:r>
          </w:p>
        </w:tc>
        <w:tc>
          <w:tcPr>
            <w:tcW w:w="1597" w:type="dxa"/>
          </w:tcPr>
          <w:p w:rsidR="001902C9" w:rsidRPr="00901ED7" w:rsidRDefault="00BE055C" w:rsidP="00CD62E6">
            <w:pPr>
              <w:pStyle w:val="Footer"/>
              <w:tabs>
                <w:tab w:val="clear" w:pos="4153"/>
                <w:tab w:val="clear" w:pos="8306"/>
                <w:tab w:val="decimal" w:pos="810"/>
              </w:tabs>
              <w:rPr>
                <w:sz w:val="22"/>
              </w:rPr>
            </w:pPr>
            <w:r>
              <w:rPr>
                <w:sz w:val="22"/>
              </w:rPr>
              <w:t>2</w:t>
            </w:r>
          </w:p>
        </w:tc>
        <w:tc>
          <w:tcPr>
            <w:tcW w:w="1597" w:type="dxa"/>
          </w:tcPr>
          <w:p w:rsidR="001902C9" w:rsidRPr="00901ED7" w:rsidRDefault="001902C9" w:rsidP="00C22F02">
            <w:pPr>
              <w:pStyle w:val="Footer"/>
              <w:tabs>
                <w:tab w:val="clear" w:pos="4153"/>
                <w:tab w:val="clear" w:pos="8306"/>
                <w:tab w:val="decimal" w:pos="810"/>
              </w:tabs>
              <w:rPr>
                <w:sz w:val="22"/>
              </w:rPr>
            </w:pPr>
            <w:r w:rsidRPr="00901ED7">
              <w:rPr>
                <w:sz w:val="22"/>
              </w:rPr>
              <w:t>1</w:t>
            </w:r>
          </w:p>
        </w:tc>
      </w:tr>
      <w:tr w:rsidR="001902C9" w:rsidRPr="00A60775" w:rsidTr="00CD62E6">
        <w:trPr>
          <w:trHeight w:hRule="exact" w:val="300"/>
        </w:trPr>
        <w:tc>
          <w:tcPr>
            <w:tcW w:w="5220" w:type="dxa"/>
          </w:tcPr>
          <w:p w:rsidR="001902C9" w:rsidRPr="009A2324" w:rsidRDefault="001902C9" w:rsidP="00CD62E6">
            <w:pPr>
              <w:pStyle w:val="Footer"/>
              <w:tabs>
                <w:tab w:val="clear" w:pos="4153"/>
                <w:tab w:val="clear" w:pos="8306"/>
                <w:tab w:val="left" w:pos="720"/>
                <w:tab w:val="left" w:pos="1422"/>
                <w:tab w:val="right" w:pos="7920"/>
              </w:tabs>
              <w:rPr>
                <w:sz w:val="22"/>
              </w:rPr>
            </w:pPr>
            <w:r w:rsidRPr="009A2324">
              <w:rPr>
                <w:sz w:val="22"/>
              </w:rPr>
              <w:t>£65,000 - £69,999</w:t>
            </w:r>
          </w:p>
        </w:tc>
        <w:tc>
          <w:tcPr>
            <w:tcW w:w="1597" w:type="dxa"/>
          </w:tcPr>
          <w:p w:rsidR="001902C9" w:rsidRPr="00901ED7" w:rsidRDefault="00BE055C" w:rsidP="00CD62E6">
            <w:pPr>
              <w:pStyle w:val="Footer"/>
              <w:tabs>
                <w:tab w:val="clear" w:pos="4153"/>
                <w:tab w:val="clear" w:pos="8306"/>
                <w:tab w:val="decimal" w:pos="810"/>
              </w:tabs>
              <w:rPr>
                <w:sz w:val="22"/>
              </w:rPr>
            </w:pPr>
            <w:r>
              <w:rPr>
                <w:sz w:val="22"/>
              </w:rPr>
              <w:t>4</w:t>
            </w:r>
          </w:p>
        </w:tc>
        <w:tc>
          <w:tcPr>
            <w:tcW w:w="1597" w:type="dxa"/>
          </w:tcPr>
          <w:p w:rsidR="001902C9" w:rsidRPr="00901ED7" w:rsidRDefault="001902C9" w:rsidP="00C22F02">
            <w:pPr>
              <w:pStyle w:val="Footer"/>
              <w:tabs>
                <w:tab w:val="clear" w:pos="4153"/>
                <w:tab w:val="clear" w:pos="8306"/>
                <w:tab w:val="decimal" w:pos="810"/>
              </w:tabs>
              <w:rPr>
                <w:sz w:val="22"/>
              </w:rPr>
            </w:pPr>
            <w:r w:rsidRPr="00901ED7">
              <w:rPr>
                <w:sz w:val="22"/>
              </w:rPr>
              <w:t>2</w:t>
            </w:r>
          </w:p>
        </w:tc>
      </w:tr>
      <w:tr w:rsidR="001902C9" w:rsidRPr="00A60775" w:rsidTr="00CD62E6">
        <w:trPr>
          <w:trHeight w:hRule="exact" w:val="300"/>
        </w:trPr>
        <w:tc>
          <w:tcPr>
            <w:tcW w:w="5220" w:type="dxa"/>
          </w:tcPr>
          <w:p w:rsidR="001902C9" w:rsidRPr="009A2324" w:rsidRDefault="001902C9" w:rsidP="00CD62E6">
            <w:pPr>
              <w:pStyle w:val="Footer"/>
              <w:tabs>
                <w:tab w:val="clear" w:pos="4153"/>
                <w:tab w:val="clear" w:pos="8306"/>
                <w:tab w:val="left" w:pos="720"/>
                <w:tab w:val="left" w:pos="1422"/>
                <w:tab w:val="right" w:pos="7920"/>
              </w:tabs>
              <w:rPr>
                <w:sz w:val="22"/>
              </w:rPr>
            </w:pPr>
            <w:r w:rsidRPr="009A2324">
              <w:rPr>
                <w:sz w:val="22"/>
              </w:rPr>
              <w:t>£60,000 - £64,999</w:t>
            </w:r>
          </w:p>
        </w:tc>
        <w:tc>
          <w:tcPr>
            <w:tcW w:w="1597" w:type="dxa"/>
          </w:tcPr>
          <w:p w:rsidR="001902C9" w:rsidRPr="00901ED7" w:rsidRDefault="00BE055C" w:rsidP="00CD62E6">
            <w:pPr>
              <w:pStyle w:val="Footer"/>
              <w:tabs>
                <w:tab w:val="clear" w:pos="4153"/>
                <w:tab w:val="clear" w:pos="8306"/>
                <w:tab w:val="decimal" w:pos="810"/>
              </w:tabs>
              <w:rPr>
                <w:sz w:val="22"/>
              </w:rPr>
            </w:pPr>
            <w:r>
              <w:rPr>
                <w:sz w:val="22"/>
              </w:rPr>
              <w:t>6</w:t>
            </w:r>
          </w:p>
        </w:tc>
        <w:tc>
          <w:tcPr>
            <w:tcW w:w="1597" w:type="dxa"/>
          </w:tcPr>
          <w:p w:rsidR="001902C9" w:rsidRPr="00901ED7" w:rsidRDefault="001902C9" w:rsidP="00C22F02">
            <w:pPr>
              <w:pStyle w:val="Footer"/>
              <w:tabs>
                <w:tab w:val="clear" w:pos="4153"/>
                <w:tab w:val="clear" w:pos="8306"/>
                <w:tab w:val="decimal" w:pos="810"/>
              </w:tabs>
              <w:rPr>
                <w:sz w:val="22"/>
              </w:rPr>
            </w:pPr>
            <w:r w:rsidRPr="00901ED7">
              <w:rPr>
                <w:sz w:val="22"/>
              </w:rPr>
              <w:t>6</w:t>
            </w:r>
          </w:p>
        </w:tc>
      </w:tr>
      <w:tr w:rsidR="001902C9" w:rsidRPr="00A60775" w:rsidTr="00CD62E6">
        <w:trPr>
          <w:trHeight w:hRule="exact" w:val="300"/>
        </w:trPr>
        <w:tc>
          <w:tcPr>
            <w:tcW w:w="5220" w:type="dxa"/>
          </w:tcPr>
          <w:p w:rsidR="001902C9" w:rsidRPr="009A2324" w:rsidRDefault="001902C9" w:rsidP="00CD62E6">
            <w:pPr>
              <w:tabs>
                <w:tab w:val="left" w:pos="720"/>
                <w:tab w:val="left" w:pos="1422"/>
                <w:tab w:val="right" w:pos="7920"/>
              </w:tabs>
              <w:rPr>
                <w:sz w:val="22"/>
              </w:rPr>
            </w:pPr>
            <w:r w:rsidRPr="009A2324">
              <w:rPr>
                <w:sz w:val="22"/>
              </w:rPr>
              <w:t>£55,000 - £59,999</w:t>
            </w:r>
          </w:p>
        </w:tc>
        <w:tc>
          <w:tcPr>
            <w:tcW w:w="1597" w:type="dxa"/>
          </w:tcPr>
          <w:p w:rsidR="001902C9" w:rsidRPr="00901ED7" w:rsidRDefault="00BE055C" w:rsidP="00CD62E6">
            <w:pPr>
              <w:tabs>
                <w:tab w:val="decimal" w:pos="810"/>
              </w:tabs>
              <w:rPr>
                <w:sz w:val="22"/>
              </w:rPr>
            </w:pPr>
            <w:r>
              <w:rPr>
                <w:sz w:val="22"/>
              </w:rPr>
              <w:t>10</w:t>
            </w:r>
          </w:p>
        </w:tc>
        <w:tc>
          <w:tcPr>
            <w:tcW w:w="1597" w:type="dxa"/>
          </w:tcPr>
          <w:p w:rsidR="001902C9" w:rsidRPr="00901ED7" w:rsidRDefault="001902C9" w:rsidP="00C22F02">
            <w:pPr>
              <w:tabs>
                <w:tab w:val="decimal" w:pos="810"/>
              </w:tabs>
              <w:rPr>
                <w:sz w:val="22"/>
              </w:rPr>
            </w:pPr>
            <w:r w:rsidRPr="00901ED7">
              <w:rPr>
                <w:sz w:val="22"/>
              </w:rPr>
              <w:t>6</w:t>
            </w:r>
          </w:p>
        </w:tc>
      </w:tr>
      <w:tr w:rsidR="001902C9" w:rsidRPr="00A60775" w:rsidTr="00CD62E6">
        <w:trPr>
          <w:trHeight w:hRule="exact" w:val="300"/>
        </w:trPr>
        <w:tc>
          <w:tcPr>
            <w:tcW w:w="5220" w:type="dxa"/>
          </w:tcPr>
          <w:p w:rsidR="001902C9" w:rsidRPr="009A2324" w:rsidRDefault="001902C9" w:rsidP="00CD62E6">
            <w:pPr>
              <w:tabs>
                <w:tab w:val="left" w:pos="720"/>
                <w:tab w:val="left" w:pos="1422"/>
                <w:tab w:val="right" w:pos="7920"/>
              </w:tabs>
              <w:rPr>
                <w:sz w:val="22"/>
              </w:rPr>
            </w:pPr>
            <w:r w:rsidRPr="009A2324">
              <w:rPr>
                <w:sz w:val="22"/>
              </w:rPr>
              <w:t>£50,000 - £54,999</w:t>
            </w:r>
          </w:p>
        </w:tc>
        <w:tc>
          <w:tcPr>
            <w:tcW w:w="1597" w:type="dxa"/>
          </w:tcPr>
          <w:p w:rsidR="001902C9" w:rsidRPr="00901ED7" w:rsidRDefault="00BE055C" w:rsidP="00CD62E6">
            <w:pPr>
              <w:tabs>
                <w:tab w:val="decimal" w:pos="810"/>
              </w:tabs>
              <w:rPr>
                <w:sz w:val="22"/>
              </w:rPr>
            </w:pPr>
            <w:r>
              <w:rPr>
                <w:sz w:val="22"/>
              </w:rPr>
              <w:t>19</w:t>
            </w:r>
          </w:p>
        </w:tc>
        <w:tc>
          <w:tcPr>
            <w:tcW w:w="1597" w:type="dxa"/>
          </w:tcPr>
          <w:p w:rsidR="001902C9" w:rsidRPr="00901ED7" w:rsidRDefault="001902C9" w:rsidP="00C22F02">
            <w:pPr>
              <w:tabs>
                <w:tab w:val="decimal" w:pos="810"/>
              </w:tabs>
              <w:rPr>
                <w:sz w:val="22"/>
              </w:rPr>
            </w:pPr>
            <w:r w:rsidRPr="00901ED7">
              <w:rPr>
                <w:sz w:val="22"/>
              </w:rPr>
              <w:t>31</w:t>
            </w:r>
          </w:p>
        </w:tc>
      </w:tr>
      <w:tr w:rsidR="001902C9" w:rsidRPr="00A60775" w:rsidTr="00CD62E6">
        <w:trPr>
          <w:trHeight w:hRule="exact" w:val="300"/>
        </w:trPr>
        <w:tc>
          <w:tcPr>
            <w:tcW w:w="5220" w:type="dxa"/>
          </w:tcPr>
          <w:p w:rsidR="001902C9" w:rsidRPr="00A60775" w:rsidRDefault="001902C9" w:rsidP="00CD62E6">
            <w:pPr>
              <w:tabs>
                <w:tab w:val="left" w:pos="720"/>
                <w:tab w:val="left" w:pos="1422"/>
                <w:tab w:val="right" w:pos="7920"/>
              </w:tabs>
              <w:rPr>
                <w:sz w:val="22"/>
                <w:highlight w:val="cyan"/>
              </w:rPr>
            </w:pPr>
          </w:p>
        </w:tc>
        <w:tc>
          <w:tcPr>
            <w:tcW w:w="1597" w:type="dxa"/>
            <w:tcBorders>
              <w:top w:val="single" w:sz="4" w:space="0" w:color="auto"/>
              <w:bottom w:val="double" w:sz="4" w:space="0" w:color="auto"/>
            </w:tcBorders>
          </w:tcPr>
          <w:p w:rsidR="001902C9" w:rsidRPr="004745C8" w:rsidRDefault="00BE055C" w:rsidP="00CD62E6">
            <w:pPr>
              <w:tabs>
                <w:tab w:val="decimal" w:pos="810"/>
              </w:tabs>
              <w:rPr>
                <w:sz w:val="22"/>
              </w:rPr>
            </w:pPr>
            <w:r>
              <w:rPr>
                <w:sz w:val="22"/>
              </w:rPr>
              <w:t>41</w:t>
            </w:r>
          </w:p>
        </w:tc>
        <w:tc>
          <w:tcPr>
            <w:tcW w:w="1597" w:type="dxa"/>
            <w:tcBorders>
              <w:top w:val="single" w:sz="4" w:space="0" w:color="auto"/>
              <w:bottom w:val="double" w:sz="4" w:space="0" w:color="auto"/>
            </w:tcBorders>
          </w:tcPr>
          <w:p w:rsidR="001902C9" w:rsidRPr="004745C8" w:rsidRDefault="001902C9" w:rsidP="00C22F02">
            <w:pPr>
              <w:tabs>
                <w:tab w:val="decimal" w:pos="810"/>
              </w:tabs>
              <w:rPr>
                <w:sz w:val="22"/>
              </w:rPr>
            </w:pPr>
            <w:r>
              <w:rPr>
                <w:sz w:val="22"/>
              </w:rPr>
              <w:t>46</w:t>
            </w:r>
          </w:p>
        </w:tc>
      </w:tr>
    </w:tbl>
    <w:p w:rsidR="006E188F" w:rsidRDefault="006E188F" w:rsidP="006E188F">
      <w:pPr>
        <w:pStyle w:val="BodyTextIndent2"/>
        <w:ind w:firstLine="0"/>
        <w:jc w:val="both"/>
        <w:rPr>
          <w:sz w:val="22"/>
          <w:highlight w:val="cyan"/>
        </w:rPr>
      </w:pPr>
    </w:p>
    <w:p w:rsidR="00BE4AD1" w:rsidRDefault="006E188F" w:rsidP="006E188F">
      <w:pPr>
        <w:pStyle w:val="BodyTextIndent2"/>
        <w:ind w:firstLine="0"/>
        <w:jc w:val="both"/>
        <w:rPr>
          <w:sz w:val="22"/>
        </w:rPr>
      </w:pPr>
      <w:r w:rsidRPr="006E188F">
        <w:rPr>
          <w:sz w:val="22"/>
        </w:rPr>
        <w:t>The above table excludes Senior Officers, who are disclosed individually in the tables</w:t>
      </w:r>
      <w:r w:rsidR="00140881">
        <w:rPr>
          <w:sz w:val="22"/>
        </w:rPr>
        <w:t xml:space="preserve"> </w:t>
      </w:r>
      <w:r w:rsidR="00E91302">
        <w:rPr>
          <w:sz w:val="22"/>
        </w:rPr>
        <w:t>in</w:t>
      </w:r>
      <w:r w:rsidR="00140881">
        <w:rPr>
          <w:sz w:val="22"/>
        </w:rPr>
        <w:t xml:space="preserve"> the following </w:t>
      </w:r>
      <w:r w:rsidR="00E91302">
        <w:rPr>
          <w:sz w:val="22"/>
        </w:rPr>
        <w:t>tables</w:t>
      </w:r>
      <w:r w:rsidRPr="006E188F">
        <w:rPr>
          <w:sz w:val="22"/>
        </w:rPr>
        <w:t>.</w:t>
      </w:r>
    </w:p>
    <w:p w:rsidR="00140881" w:rsidRDefault="00140881" w:rsidP="00922802">
      <w:pPr>
        <w:pStyle w:val="BodyTextIndent2"/>
        <w:ind w:left="567" w:firstLine="0"/>
        <w:jc w:val="both"/>
        <w:rPr>
          <w:sz w:val="22"/>
        </w:rPr>
      </w:pPr>
    </w:p>
    <w:p w:rsidR="003073DA" w:rsidRDefault="003073DA">
      <w:pPr>
        <w:rPr>
          <w:b/>
          <w:sz w:val="22"/>
        </w:rPr>
      </w:pPr>
      <w:r>
        <w:rPr>
          <w:b/>
          <w:sz w:val="22"/>
        </w:rPr>
        <w:br w:type="page"/>
      </w:r>
    </w:p>
    <w:p w:rsidR="00D90216" w:rsidRPr="000059DF" w:rsidRDefault="00D90216" w:rsidP="00922802">
      <w:pPr>
        <w:pStyle w:val="BodyTextIndent2"/>
        <w:ind w:left="567" w:firstLine="0"/>
        <w:jc w:val="both"/>
        <w:rPr>
          <w:b/>
          <w:sz w:val="22"/>
        </w:rPr>
      </w:pPr>
      <w:r w:rsidRPr="000059DF">
        <w:rPr>
          <w:b/>
          <w:sz w:val="22"/>
        </w:rPr>
        <w:lastRenderedPageBreak/>
        <w:t>Senior Officers Remuneration</w:t>
      </w:r>
    </w:p>
    <w:p w:rsidR="00D90216" w:rsidRPr="000059DF" w:rsidRDefault="00D90216" w:rsidP="00D90216">
      <w:pPr>
        <w:pStyle w:val="BalloonText"/>
        <w:tabs>
          <w:tab w:val="left" w:pos="720"/>
          <w:tab w:val="right" w:pos="7920"/>
        </w:tabs>
        <w:ind w:left="567"/>
        <w:rPr>
          <w:rFonts w:ascii="Arial" w:hAnsi="Arial"/>
          <w:szCs w:val="16"/>
        </w:rPr>
      </w:pPr>
    </w:p>
    <w:p w:rsidR="00D90216" w:rsidRPr="000059DF" w:rsidRDefault="00D90216" w:rsidP="00D90216">
      <w:pPr>
        <w:tabs>
          <w:tab w:val="left" w:pos="720"/>
          <w:tab w:val="right" w:pos="7920"/>
        </w:tabs>
        <w:ind w:left="567"/>
        <w:rPr>
          <w:sz w:val="22"/>
        </w:rPr>
      </w:pPr>
      <w:r w:rsidRPr="000059DF">
        <w:rPr>
          <w:sz w:val="22"/>
        </w:rPr>
        <w:t>During the year, Senior Officers received remuneration packages as detailed below – these employees are als</w:t>
      </w:r>
      <w:r>
        <w:rPr>
          <w:sz w:val="22"/>
        </w:rPr>
        <w:t>o ex</w:t>
      </w:r>
      <w:r w:rsidRPr="000059DF">
        <w:rPr>
          <w:sz w:val="22"/>
        </w:rPr>
        <w:t xml:space="preserve">cluded </w:t>
      </w:r>
      <w:r>
        <w:rPr>
          <w:sz w:val="22"/>
        </w:rPr>
        <w:t>from</w:t>
      </w:r>
      <w:r w:rsidRPr="000059DF">
        <w:rPr>
          <w:sz w:val="22"/>
        </w:rPr>
        <w:t xml:space="preserve"> the table above.</w:t>
      </w:r>
    </w:p>
    <w:p w:rsidR="00D90216" w:rsidRPr="000059DF" w:rsidRDefault="00D90216" w:rsidP="00D90216">
      <w:pPr>
        <w:pStyle w:val="BalloonText"/>
        <w:tabs>
          <w:tab w:val="left" w:pos="720"/>
          <w:tab w:val="right" w:pos="7920"/>
        </w:tabs>
        <w:ind w:left="567"/>
        <w:rPr>
          <w:rFonts w:ascii="Arial" w:hAnsi="Arial"/>
          <w:szCs w:val="16"/>
        </w:rPr>
      </w:pPr>
    </w:p>
    <w:tbl>
      <w:tblPr>
        <w:tblW w:w="0" w:type="auto"/>
        <w:tblInd w:w="534" w:type="dxa"/>
        <w:tblLayout w:type="fixed"/>
        <w:tblLook w:val="01E0" w:firstRow="1" w:lastRow="1" w:firstColumn="1" w:lastColumn="1" w:noHBand="0" w:noVBand="0"/>
      </w:tblPr>
      <w:tblGrid>
        <w:gridCol w:w="2835"/>
        <w:gridCol w:w="1026"/>
        <w:gridCol w:w="1441"/>
        <w:gridCol w:w="1647"/>
        <w:gridCol w:w="1613"/>
        <w:gridCol w:w="1629"/>
      </w:tblGrid>
      <w:tr w:rsidR="00D90216" w:rsidRPr="00D72DD9" w:rsidTr="00A250F7">
        <w:tc>
          <w:tcPr>
            <w:tcW w:w="2835" w:type="dxa"/>
            <w:shd w:val="clear" w:color="auto" w:fill="auto"/>
          </w:tcPr>
          <w:p w:rsidR="00D90216" w:rsidRPr="00D72DD9" w:rsidRDefault="00D90216" w:rsidP="00D72DD9">
            <w:pPr>
              <w:tabs>
                <w:tab w:val="left" w:pos="720"/>
                <w:tab w:val="right" w:pos="7920"/>
              </w:tabs>
              <w:rPr>
                <w:b/>
                <w:sz w:val="22"/>
              </w:rPr>
            </w:pPr>
            <w:r w:rsidRPr="00D72DD9">
              <w:rPr>
                <w:b/>
                <w:sz w:val="22"/>
              </w:rPr>
              <w:t>Post holder information (post title and name)</w:t>
            </w:r>
          </w:p>
          <w:p w:rsidR="00CB21DE" w:rsidRPr="00D72DD9" w:rsidRDefault="00CB21DE" w:rsidP="00D72DD9">
            <w:pPr>
              <w:tabs>
                <w:tab w:val="left" w:pos="720"/>
                <w:tab w:val="right" w:pos="7920"/>
              </w:tabs>
              <w:rPr>
                <w:b/>
                <w:sz w:val="22"/>
              </w:rPr>
            </w:pPr>
          </w:p>
          <w:p w:rsidR="00CB21DE" w:rsidRPr="00D72DD9" w:rsidRDefault="00CB21DE" w:rsidP="002A6C30">
            <w:pPr>
              <w:tabs>
                <w:tab w:val="left" w:pos="720"/>
                <w:tab w:val="right" w:pos="7920"/>
              </w:tabs>
              <w:rPr>
                <w:b/>
                <w:sz w:val="22"/>
              </w:rPr>
            </w:pPr>
            <w:r w:rsidRPr="00D72DD9">
              <w:rPr>
                <w:b/>
                <w:sz w:val="22"/>
              </w:rPr>
              <w:t>201</w:t>
            </w:r>
            <w:r w:rsidR="002A6C30">
              <w:rPr>
                <w:b/>
                <w:sz w:val="22"/>
              </w:rPr>
              <w:t>7</w:t>
            </w:r>
            <w:r w:rsidR="001E4146">
              <w:rPr>
                <w:b/>
                <w:sz w:val="22"/>
              </w:rPr>
              <w:t>/1</w:t>
            </w:r>
            <w:r w:rsidR="002A6C30">
              <w:rPr>
                <w:b/>
                <w:sz w:val="22"/>
              </w:rPr>
              <w:t>8</w:t>
            </w:r>
          </w:p>
        </w:tc>
        <w:tc>
          <w:tcPr>
            <w:tcW w:w="1026" w:type="dxa"/>
            <w:shd w:val="clear" w:color="auto" w:fill="auto"/>
          </w:tcPr>
          <w:p w:rsidR="00B312EB" w:rsidRDefault="00D90216" w:rsidP="00D72DD9">
            <w:pPr>
              <w:tabs>
                <w:tab w:val="left" w:pos="720"/>
                <w:tab w:val="right" w:pos="7920"/>
              </w:tabs>
              <w:rPr>
                <w:sz w:val="22"/>
              </w:rPr>
            </w:pPr>
            <w:r w:rsidRPr="00D72DD9">
              <w:rPr>
                <w:sz w:val="22"/>
              </w:rPr>
              <w:t>Salary</w:t>
            </w:r>
          </w:p>
          <w:p w:rsidR="00B312EB" w:rsidRDefault="00B312EB" w:rsidP="00D72DD9">
            <w:pPr>
              <w:tabs>
                <w:tab w:val="left" w:pos="720"/>
                <w:tab w:val="right" w:pos="7920"/>
              </w:tabs>
              <w:rPr>
                <w:sz w:val="22"/>
              </w:rPr>
            </w:pPr>
          </w:p>
          <w:p w:rsidR="00B312EB" w:rsidRDefault="00B312EB" w:rsidP="00D72DD9">
            <w:pPr>
              <w:tabs>
                <w:tab w:val="left" w:pos="720"/>
                <w:tab w:val="right" w:pos="7920"/>
              </w:tabs>
              <w:rPr>
                <w:sz w:val="22"/>
              </w:rPr>
            </w:pPr>
          </w:p>
          <w:p w:rsidR="00B312EB" w:rsidRDefault="00B312EB" w:rsidP="00D72DD9">
            <w:pPr>
              <w:tabs>
                <w:tab w:val="left" w:pos="720"/>
                <w:tab w:val="right" w:pos="7920"/>
              </w:tabs>
              <w:rPr>
                <w:sz w:val="22"/>
              </w:rPr>
            </w:pPr>
          </w:p>
          <w:p w:rsidR="00B312EB" w:rsidRDefault="00B312EB" w:rsidP="00D72DD9">
            <w:pPr>
              <w:tabs>
                <w:tab w:val="left" w:pos="720"/>
                <w:tab w:val="right" w:pos="7920"/>
              </w:tabs>
              <w:rPr>
                <w:sz w:val="22"/>
              </w:rPr>
            </w:pPr>
          </w:p>
          <w:p w:rsidR="00B312EB" w:rsidRDefault="00B312EB" w:rsidP="00D72DD9">
            <w:pPr>
              <w:tabs>
                <w:tab w:val="left" w:pos="720"/>
                <w:tab w:val="right" w:pos="7920"/>
              </w:tabs>
              <w:rPr>
                <w:sz w:val="22"/>
              </w:rPr>
            </w:pPr>
          </w:p>
          <w:p w:rsidR="00D90216" w:rsidRPr="00D72DD9" w:rsidRDefault="00D90216" w:rsidP="004D7BAE">
            <w:pPr>
              <w:tabs>
                <w:tab w:val="left" w:pos="720"/>
                <w:tab w:val="right" w:pos="7920"/>
              </w:tabs>
              <w:rPr>
                <w:sz w:val="22"/>
              </w:rPr>
            </w:pPr>
          </w:p>
        </w:tc>
        <w:tc>
          <w:tcPr>
            <w:tcW w:w="1441" w:type="dxa"/>
            <w:shd w:val="clear" w:color="auto" w:fill="auto"/>
          </w:tcPr>
          <w:p w:rsidR="00D90216" w:rsidRPr="00320422" w:rsidRDefault="00D90216" w:rsidP="00D72DD9">
            <w:pPr>
              <w:tabs>
                <w:tab w:val="left" w:pos="720"/>
                <w:tab w:val="right" w:pos="7920"/>
              </w:tabs>
              <w:rPr>
                <w:sz w:val="22"/>
              </w:rPr>
            </w:pPr>
            <w:r w:rsidRPr="00320422">
              <w:rPr>
                <w:sz w:val="22"/>
              </w:rPr>
              <w:t>Allowances</w:t>
            </w:r>
            <w:r w:rsidR="00E54BE5" w:rsidRPr="00320422">
              <w:rPr>
                <w:sz w:val="22"/>
              </w:rPr>
              <w:t xml:space="preserve"> (estimated based on 201</w:t>
            </w:r>
            <w:r w:rsidR="002A6C30">
              <w:rPr>
                <w:sz w:val="22"/>
              </w:rPr>
              <w:t>6</w:t>
            </w:r>
            <w:r w:rsidR="00DC5C97" w:rsidRPr="00320422">
              <w:rPr>
                <w:sz w:val="22"/>
              </w:rPr>
              <w:t>/1</w:t>
            </w:r>
            <w:r w:rsidR="002A6C30">
              <w:rPr>
                <w:sz w:val="22"/>
              </w:rPr>
              <w:t>7</w:t>
            </w:r>
            <w:r w:rsidR="00DC5C97" w:rsidRPr="00320422">
              <w:rPr>
                <w:sz w:val="22"/>
              </w:rPr>
              <w:t xml:space="preserve"> figures</w:t>
            </w:r>
            <w:r w:rsidR="00E54BE5" w:rsidRPr="00320422">
              <w:rPr>
                <w:sz w:val="22"/>
              </w:rPr>
              <w:t>)</w:t>
            </w:r>
          </w:p>
          <w:p w:rsidR="00B312EB" w:rsidRPr="00320422" w:rsidRDefault="00B312EB" w:rsidP="00D72DD9">
            <w:pPr>
              <w:tabs>
                <w:tab w:val="left" w:pos="720"/>
                <w:tab w:val="right" w:pos="7920"/>
              </w:tabs>
              <w:rPr>
                <w:sz w:val="22"/>
              </w:rPr>
            </w:pPr>
          </w:p>
          <w:p w:rsidR="00B312EB" w:rsidRPr="00320422" w:rsidRDefault="00B312EB" w:rsidP="004D7BAE">
            <w:pPr>
              <w:tabs>
                <w:tab w:val="left" w:pos="720"/>
                <w:tab w:val="right" w:pos="7920"/>
              </w:tabs>
              <w:rPr>
                <w:sz w:val="22"/>
              </w:rPr>
            </w:pPr>
          </w:p>
        </w:tc>
        <w:tc>
          <w:tcPr>
            <w:tcW w:w="1647" w:type="dxa"/>
            <w:shd w:val="clear" w:color="auto" w:fill="auto"/>
          </w:tcPr>
          <w:p w:rsidR="00D90216" w:rsidRDefault="00D90216" w:rsidP="00D72DD9">
            <w:pPr>
              <w:tabs>
                <w:tab w:val="left" w:pos="720"/>
                <w:tab w:val="right" w:pos="7920"/>
              </w:tabs>
              <w:rPr>
                <w:sz w:val="22"/>
              </w:rPr>
            </w:pPr>
            <w:r w:rsidRPr="00D72DD9">
              <w:rPr>
                <w:sz w:val="22"/>
              </w:rPr>
              <w:t>Total Remuneration excluding pension contributions</w:t>
            </w:r>
          </w:p>
          <w:p w:rsidR="00B312EB" w:rsidRDefault="00B312EB" w:rsidP="00D72DD9">
            <w:pPr>
              <w:tabs>
                <w:tab w:val="left" w:pos="720"/>
                <w:tab w:val="right" w:pos="7920"/>
              </w:tabs>
              <w:rPr>
                <w:sz w:val="22"/>
              </w:rPr>
            </w:pPr>
          </w:p>
          <w:p w:rsidR="00B312EB" w:rsidRPr="00D72DD9" w:rsidRDefault="00B312EB" w:rsidP="004D7BAE">
            <w:pPr>
              <w:tabs>
                <w:tab w:val="left" w:pos="720"/>
                <w:tab w:val="right" w:pos="7920"/>
              </w:tabs>
              <w:rPr>
                <w:sz w:val="22"/>
              </w:rPr>
            </w:pPr>
          </w:p>
        </w:tc>
        <w:tc>
          <w:tcPr>
            <w:tcW w:w="1613" w:type="dxa"/>
            <w:shd w:val="clear" w:color="auto" w:fill="auto"/>
          </w:tcPr>
          <w:p w:rsidR="00B312EB" w:rsidRPr="00D72DD9" w:rsidRDefault="00D90216" w:rsidP="004D7BAE">
            <w:pPr>
              <w:tabs>
                <w:tab w:val="left" w:pos="720"/>
                <w:tab w:val="right" w:pos="7920"/>
              </w:tabs>
              <w:ind w:left="19"/>
              <w:rPr>
                <w:sz w:val="22"/>
              </w:rPr>
            </w:pPr>
            <w:r w:rsidRPr="00D72DD9">
              <w:rPr>
                <w:sz w:val="22"/>
              </w:rPr>
              <w:t xml:space="preserve">Pension contributions </w:t>
            </w:r>
            <w:r w:rsidR="00E54BE5" w:rsidRPr="00D72DD9">
              <w:rPr>
                <w:sz w:val="22"/>
              </w:rPr>
              <w:t>accrued at the standard employer rate for all senior officers</w:t>
            </w:r>
          </w:p>
        </w:tc>
        <w:tc>
          <w:tcPr>
            <w:tcW w:w="1629" w:type="dxa"/>
            <w:shd w:val="clear" w:color="auto" w:fill="auto"/>
          </w:tcPr>
          <w:p w:rsidR="00D90216" w:rsidRDefault="00D90216" w:rsidP="00D72DD9">
            <w:pPr>
              <w:tabs>
                <w:tab w:val="left" w:pos="720"/>
                <w:tab w:val="right" w:pos="7920"/>
              </w:tabs>
              <w:rPr>
                <w:sz w:val="22"/>
              </w:rPr>
            </w:pPr>
            <w:r w:rsidRPr="00D72DD9">
              <w:rPr>
                <w:sz w:val="22"/>
              </w:rPr>
              <w:t>Total Remuneration including pension contributions</w:t>
            </w:r>
          </w:p>
          <w:p w:rsidR="00B312EB" w:rsidRDefault="00B312EB" w:rsidP="00D72DD9">
            <w:pPr>
              <w:tabs>
                <w:tab w:val="left" w:pos="720"/>
                <w:tab w:val="right" w:pos="7920"/>
              </w:tabs>
              <w:rPr>
                <w:sz w:val="22"/>
              </w:rPr>
            </w:pPr>
          </w:p>
          <w:p w:rsidR="00B312EB" w:rsidRPr="00D72DD9" w:rsidRDefault="00B312EB" w:rsidP="004D7BAE">
            <w:pPr>
              <w:tabs>
                <w:tab w:val="left" w:pos="720"/>
                <w:tab w:val="right" w:pos="7920"/>
              </w:tabs>
              <w:rPr>
                <w:sz w:val="22"/>
              </w:rPr>
            </w:pPr>
          </w:p>
        </w:tc>
      </w:tr>
      <w:tr w:rsidR="00D90216" w:rsidRPr="00D72DD9" w:rsidTr="00A250F7">
        <w:tc>
          <w:tcPr>
            <w:tcW w:w="2835" w:type="dxa"/>
            <w:shd w:val="clear" w:color="auto" w:fill="auto"/>
          </w:tcPr>
          <w:p w:rsidR="00D90216" w:rsidRPr="00D72DD9" w:rsidRDefault="00D90216" w:rsidP="00D72DD9">
            <w:pPr>
              <w:tabs>
                <w:tab w:val="left" w:pos="720"/>
                <w:tab w:val="right" w:pos="7920"/>
              </w:tabs>
              <w:rPr>
                <w:sz w:val="16"/>
                <w:szCs w:val="16"/>
                <w:highlight w:val="cyan"/>
              </w:rPr>
            </w:pPr>
          </w:p>
        </w:tc>
        <w:tc>
          <w:tcPr>
            <w:tcW w:w="1026" w:type="dxa"/>
            <w:shd w:val="clear" w:color="auto" w:fill="auto"/>
          </w:tcPr>
          <w:p w:rsidR="00D90216" w:rsidRPr="00D72DD9" w:rsidRDefault="00D90216" w:rsidP="00D72DD9">
            <w:pPr>
              <w:tabs>
                <w:tab w:val="left" w:pos="720"/>
                <w:tab w:val="right" w:pos="7920"/>
              </w:tabs>
              <w:rPr>
                <w:sz w:val="16"/>
                <w:szCs w:val="16"/>
                <w:highlight w:val="cyan"/>
              </w:rPr>
            </w:pPr>
          </w:p>
        </w:tc>
        <w:tc>
          <w:tcPr>
            <w:tcW w:w="1441" w:type="dxa"/>
            <w:shd w:val="clear" w:color="auto" w:fill="auto"/>
          </w:tcPr>
          <w:p w:rsidR="00D90216" w:rsidRPr="00D72DD9" w:rsidRDefault="00D90216" w:rsidP="00D72DD9">
            <w:pPr>
              <w:tabs>
                <w:tab w:val="left" w:pos="720"/>
                <w:tab w:val="right" w:pos="7920"/>
              </w:tabs>
              <w:rPr>
                <w:sz w:val="16"/>
                <w:szCs w:val="16"/>
                <w:highlight w:val="cyan"/>
              </w:rPr>
            </w:pPr>
          </w:p>
        </w:tc>
        <w:tc>
          <w:tcPr>
            <w:tcW w:w="1647" w:type="dxa"/>
            <w:shd w:val="clear" w:color="auto" w:fill="auto"/>
          </w:tcPr>
          <w:p w:rsidR="00D90216" w:rsidRPr="00D72DD9" w:rsidRDefault="00D90216" w:rsidP="00D72DD9">
            <w:pPr>
              <w:tabs>
                <w:tab w:val="left" w:pos="720"/>
                <w:tab w:val="right" w:pos="7920"/>
              </w:tabs>
              <w:rPr>
                <w:sz w:val="16"/>
                <w:szCs w:val="16"/>
                <w:highlight w:val="cyan"/>
              </w:rPr>
            </w:pPr>
          </w:p>
        </w:tc>
        <w:tc>
          <w:tcPr>
            <w:tcW w:w="1613" w:type="dxa"/>
            <w:shd w:val="clear" w:color="auto" w:fill="auto"/>
          </w:tcPr>
          <w:p w:rsidR="00D90216" w:rsidRPr="00D72DD9" w:rsidRDefault="00D90216" w:rsidP="00D72DD9">
            <w:pPr>
              <w:tabs>
                <w:tab w:val="left" w:pos="720"/>
                <w:tab w:val="right" w:pos="7920"/>
              </w:tabs>
              <w:rPr>
                <w:sz w:val="16"/>
                <w:szCs w:val="16"/>
                <w:highlight w:val="cyan"/>
              </w:rPr>
            </w:pPr>
          </w:p>
        </w:tc>
        <w:tc>
          <w:tcPr>
            <w:tcW w:w="1629" w:type="dxa"/>
            <w:shd w:val="clear" w:color="auto" w:fill="auto"/>
          </w:tcPr>
          <w:p w:rsidR="00D90216" w:rsidRPr="00D72DD9" w:rsidRDefault="00D90216" w:rsidP="00D72DD9">
            <w:pPr>
              <w:tabs>
                <w:tab w:val="left" w:pos="720"/>
                <w:tab w:val="right" w:pos="7920"/>
              </w:tabs>
              <w:rPr>
                <w:sz w:val="16"/>
                <w:szCs w:val="16"/>
                <w:highlight w:val="cyan"/>
              </w:rPr>
            </w:pPr>
          </w:p>
        </w:tc>
      </w:tr>
      <w:tr w:rsidR="001005AE" w:rsidRPr="00D72DD9" w:rsidTr="00A250F7">
        <w:tc>
          <w:tcPr>
            <w:tcW w:w="2835" w:type="dxa"/>
            <w:shd w:val="clear" w:color="auto" w:fill="auto"/>
          </w:tcPr>
          <w:p w:rsidR="001005AE" w:rsidRPr="001005AE" w:rsidRDefault="001005AE" w:rsidP="00D72DD9">
            <w:pPr>
              <w:tabs>
                <w:tab w:val="left" w:pos="720"/>
                <w:tab w:val="right" w:pos="7920"/>
              </w:tabs>
              <w:rPr>
                <w:sz w:val="20"/>
              </w:rPr>
            </w:pPr>
            <w:r w:rsidRPr="001005AE">
              <w:rPr>
                <w:sz w:val="20"/>
              </w:rPr>
              <w:t xml:space="preserve">Chief Fire Officer – Chris Kenny </w:t>
            </w:r>
          </w:p>
        </w:tc>
        <w:tc>
          <w:tcPr>
            <w:tcW w:w="1026" w:type="dxa"/>
            <w:shd w:val="clear" w:color="auto" w:fill="auto"/>
          </w:tcPr>
          <w:p w:rsidR="001005AE" w:rsidRPr="00320422" w:rsidRDefault="00BF2FAA" w:rsidP="00D72DD9">
            <w:pPr>
              <w:tabs>
                <w:tab w:val="left" w:pos="1168"/>
                <w:tab w:val="right" w:pos="7920"/>
              </w:tabs>
              <w:jc w:val="right"/>
              <w:rPr>
                <w:sz w:val="20"/>
              </w:rPr>
            </w:pPr>
            <w:r>
              <w:rPr>
                <w:sz w:val="20"/>
              </w:rPr>
              <w:t>157,261</w:t>
            </w:r>
          </w:p>
        </w:tc>
        <w:tc>
          <w:tcPr>
            <w:tcW w:w="1441" w:type="dxa"/>
            <w:shd w:val="clear" w:color="auto" w:fill="auto"/>
          </w:tcPr>
          <w:p w:rsidR="001005AE" w:rsidRPr="00320422" w:rsidRDefault="00BF2FAA" w:rsidP="00C67011">
            <w:pPr>
              <w:tabs>
                <w:tab w:val="left" w:pos="720"/>
                <w:tab w:val="right" w:pos="7920"/>
              </w:tabs>
              <w:jc w:val="right"/>
              <w:rPr>
                <w:sz w:val="20"/>
              </w:rPr>
            </w:pPr>
            <w:r>
              <w:rPr>
                <w:sz w:val="20"/>
              </w:rPr>
              <w:t>2,543</w:t>
            </w:r>
          </w:p>
        </w:tc>
        <w:tc>
          <w:tcPr>
            <w:tcW w:w="1647" w:type="dxa"/>
            <w:shd w:val="clear" w:color="auto" w:fill="auto"/>
          </w:tcPr>
          <w:p w:rsidR="001005AE" w:rsidRPr="00320422" w:rsidRDefault="00BF2FAA" w:rsidP="00523689">
            <w:pPr>
              <w:tabs>
                <w:tab w:val="left" w:pos="720"/>
                <w:tab w:val="right" w:pos="7920"/>
              </w:tabs>
              <w:jc w:val="right"/>
              <w:rPr>
                <w:sz w:val="20"/>
              </w:rPr>
            </w:pPr>
            <w:r>
              <w:rPr>
                <w:sz w:val="20"/>
              </w:rPr>
              <w:t>159,804</w:t>
            </w:r>
          </w:p>
        </w:tc>
        <w:tc>
          <w:tcPr>
            <w:tcW w:w="1613" w:type="dxa"/>
            <w:shd w:val="clear" w:color="auto" w:fill="auto"/>
          </w:tcPr>
          <w:p w:rsidR="001005AE" w:rsidRPr="00320422" w:rsidRDefault="00BF2FAA" w:rsidP="00523689">
            <w:pPr>
              <w:jc w:val="right"/>
              <w:rPr>
                <w:rFonts w:cs="Arial"/>
                <w:sz w:val="20"/>
              </w:rPr>
            </w:pPr>
            <w:r>
              <w:rPr>
                <w:rFonts w:cs="Arial"/>
                <w:sz w:val="20"/>
              </w:rPr>
              <w:t>34,126</w:t>
            </w:r>
          </w:p>
        </w:tc>
        <w:tc>
          <w:tcPr>
            <w:tcW w:w="1629" w:type="dxa"/>
            <w:shd w:val="clear" w:color="auto" w:fill="auto"/>
          </w:tcPr>
          <w:p w:rsidR="001005AE" w:rsidRPr="00320422" w:rsidRDefault="00BF2FAA" w:rsidP="00395180">
            <w:pPr>
              <w:jc w:val="right"/>
              <w:rPr>
                <w:rFonts w:cs="Arial"/>
                <w:sz w:val="20"/>
              </w:rPr>
            </w:pPr>
            <w:r>
              <w:rPr>
                <w:rFonts w:cs="Arial"/>
                <w:sz w:val="20"/>
              </w:rPr>
              <w:t>193,930</w:t>
            </w:r>
          </w:p>
        </w:tc>
      </w:tr>
      <w:tr w:rsidR="00FA769B" w:rsidRPr="00D72DD9" w:rsidTr="00A250F7">
        <w:tc>
          <w:tcPr>
            <w:tcW w:w="2835" w:type="dxa"/>
            <w:shd w:val="clear" w:color="auto" w:fill="auto"/>
          </w:tcPr>
          <w:p w:rsidR="00FA769B" w:rsidRPr="001005AE" w:rsidRDefault="00FA769B" w:rsidP="00811124">
            <w:pPr>
              <w:tabs>
                <w:tab w:val="left" w:pos="720"/>
                <w:tab w:val="right" w:pos="7920"/>
              </w:tabs>
              <w:rPr>
                <w:sz w:val="20"/>
              </w:rPr>
            </w:pPr>
            <w:r w:rsidRPr="001005AE">
              <w:rPr>
                <w:sz w:val="20"/>
              </w:rPr>
              <w:t xml:space="preserve">Director of Service Delivery – Justin Johnston </w:t>
            </w:r>
          </w:p>
        </w:tc>
        <w:tc>
          <w:tcPr>
            <w:tcW w:w="1026" w:type="dxa"/>
            <w:shd w:val="clear" w:color="auto" w:fill="auto"/>
          </w:tcPr>
          <w:p w:rsidR="00FA769B" w:rsidRPr="00523689" w:rsidRDefault="00BF2FAA" w:rsidP="00811124">
            <w:pPr>
              <w:tabs>
                <w:tab w:val="left" w:pos="1168"/>
                <w:tab w:val="right" w:pos="7920"/>
              </w:tabs>
              <w:jc w:val="right"/>
              <w:rPr>
                <w:sz w:val="20"/>
              </w:rPr>
            </w:pPr>
            <w:r>
              <w:rPr>
                <w:sz w:val="20"/>
              </w:rPr>
              <w:t>133,672</w:t>
            </w:r>
          </w:p>
        </w:tc>
        <w:tc>
          <w:tcPr>
            <w:tcW w:w="1441" w:type="dxa"/>
            <w:shd w:val="clear" w:color="auto" w:fill="auto"/>
          </w:tcPr>
          <w:p w:rsidR="00FA769B" w:rsidRPr="00320422" w:rsidRDefault="00BF2FAA" w:rsidP="00C67011">
            <w:pPr>
              <w:tabs>
                <w:tab w:val="left" w:pos="720"/>
                <w:tab w:val="right" w:pos="7920"/>
              </w:tabs>
              <w:jc w:val="right"/>
              <w:rPr>
                <w:sz w:val="20"/>
              </w:rPr>
            </w:pPr>
            <w:r>
              <w:rPr>
                <w:sz w:val="20"/>
              </w:rPr>
              <w:t>2,571</w:t>
            </w:r>
          </w:p>
        </w:tc>
        <w:tc>
          <w:tcPr>
            <w:tcW w:w="1647" w:type="dxa"/>
            <w:shd w:val="clear" w:color="auto" w:fill="auto"/>
          </w:tcPr>
          <w:p w:rsidR="00FA769B" w:rsidRPr="00320422" w:rsidRDefault="00BF2FAA" w:rsidP="00523689">
            <w:pPr>
              <w:tabs>
                <w:tab w:val="left" w:pos="720"/>
                <w:tab w:val="right" w:pos="7920"/>
              </w:tabs>
              <w:jc w:val="right"/>
              <w:rPr>
                <w:sz w:val="20"/>
              </w:rPr>
            </w:pPr>
            <w:r>
              <w:rPr>
                <w:sz w:val="20"/>
              </w:rPr>
              <w:t>136,243</w:t>
            </w:r>
          </w:p>
        </w:tc>
        <w:tc>
          <w:tcPr>
            <w:tcW w:w="1613" w:type="dxa"/>
            <w:shd w:val="clear" w:color="auto" w:fill="auto"/>
          </w:tcPr>
          <w:p w:rsidR="00FA769B" w:rsidRPr="00320422" w:rsidRDefault="00BF2FAA" w:rsidP="00523689">
            <w:pPr>
              <w:jc w:val="right"/>
              <w:rPr>
                <w:rFonts w:cs="Arial"/>
                <w:sz w:val="20"/>
              </w:rPr>
            </w:pPr>
            <w:r>
              <w:rPr>
                <w:rFonts w:cs="Arial"/>
                <w:sz w:val="20"/>
              </w:rPr>
              <w:t>19,115</w:t>
            </w:r>
          </w:p>
        </w:tc>
        <w:tc>
          <w:tcPr>
            <w:tcW w:w="1629" w:type="dxa"/>
            <w:shd w:val="clear" w:color="auto" w:fill="auto"/>
          </w:tcPr>
          <w:p w:rsidR="00FA769B" w:rsidRPr="00320422" w:rsidRDefault="00BF2FAA" w:rsidP="00395180">
            <w:pPr>
              <w:jc w:val="right"/>
              <w:rPr>
                <w:rFonts w:cs="Arial"/>
                <w:sz w:val="20"/>
              </w:rPr>
            </w:pPr>
            <w:r>
              <w:rPr>
                <w:rFonts w:cs="Arial"/>
                <w:sz w:val="20"/>
              </w:rPr>
              <w:t>155,359</w:t>
            </w:r>
          </w:p>
        </w:tc>
      </w:tr>
      <w:tr w:rsidR="00FA769B" w:rsidRPr="00D72DD9" w:rsidTr="00A250F7">
        <w:tc>
          <w:tcPr>
            <w:tcW w:w="2835" w:type="dxa"/>
            <w:shd w:val="clear" w:color="auto" w:fill="auto"/>
          </w:tcPr>
          <w:p w:rsidR="00FA769B" w:rsidRPr="001005AE" w:rsidRDefault="00FA769B" w:rsidP="00811124">
            <w:pPr>
              <w:tabs>
                <w:tab w:val="left" w:pos="720"/>
                <w:tab w:val="right" w:pos="7920"/>
              </w:tabs>
              <w:rPr>
                <w:sz w:val="20"/>
              </w:rPr>
            </w:pPr>
            <w:r w:rsidRPr="001005AE">
              <w:rPr>
                <w:sz w:val="20"/>
              </w:rPr>
              <w:t xml:space="preserve">Director of Strategy &amp; Planning – David Russel </w:t>
            </w:r>
          </w:p>
        </w:tc>
        <w:tc>
          <w:tcPr>
            <w:tcW w:w="1026" w:type="dxa"/>
            <w:shd w:val="clear" w:color="auto" w:fill="auto"/>
          </w:tcPr>
          <w:p w:rsidR="00FA769B" w:rsidRPr="00523689" w:rsidRDefault="00BF2FAA" w:rsidP="00523689">
            <w:pPr>
              <w:tabs>
                <w:tab w:val="left" w:pos="1168"/>
                <w:tab w:val="right" w:pos="7920"/>
              </w:tabs>
              <w:jc w:val="right"/>
              <w:rPr>
                <w:sz w:val="20"/>
              </w:rPr>
            </w:pPr>
            <w:r>
              <w:rPr>
                <w:sz w:val="20"/>
              </w:rPr>
              <w:t>125,809</w:t>
            </w:r>
          </w:p>
        </w:tc>
        <w:tc>
          <w:tcPr>
            <w:tcW w:w="1441" w:type="dxa"/>
            <w:shd w:val="clear" w:color="auto" w:fill="auto"/>
          </w:tcPr>
          <w:p w:rsidR="00FA769B" w:rsidRPr="00320422" w:rsidRDefault="00BF2FAA" w:rsidP="00C67011">
            <w:pPr>
              <w:tabs>
                <w:tab w:val="left" w:pos="720"/>
                <w:tab w:val="right" w:pos="7920"/>
              </w:tabs>
              <w:jc w:val="right"/>
              <w:rPr>
                <w:sz w:val="20"/>
              </w:rPr>
            </w:pPr>
            <w:r>
              <w:rPr>
                <w:sz w:val="20"/>
              </w:rPr>
              <w:t>3,723</w:t>
            </w:r>
          </w:p>
        </w:tc>
        <w:tc>
          <w:tcPr>
            <w:tcW w:w="1647" w:type="dxa"/>
            <w:shd w:val="clear" w:color="auto" w:fill="auto"/>
          </w:tcPr>
          <w:p w:rsidR="00FA769B" w:rsidRPr="00320422" w:rsidRDefault="00BF2FAA" w:rsidP="00523689">
            <w:pPr>
              <w:tabs>
                <w:tab w:val="left" w:pos="720"/>
                <w:tab w:val="right" w:pos="7920"/>
              </w:tabs>
              <w:jc w:val="right"/>
              <w:rPr>
                <w:sz w:val="20"/>
              </w:rPr>
            </w:pPr>
            <w:r>
              <w:rPr>
                <w:sz w:val="20"/>
              </w:rPr>
              <w:t>129,532</w:t>
            </w:r>
          </w:p>
        </w:tc>
        <w:tc>
          <w:tcPr>
            <w:tcW w:w="1613" w:type="dxa"/>
            <w:shd w:val="clear" w:color="auto" w:fill="auto"/>
          </w:tcPr>
          <w:p w:rsidR="00FA769B" w:rsidRPr="00320422" w:rsidRDefault="00BF2FAA" w:rsidP="00523689">
            <w:pPr>
              <w:jc w:val="right"/>
              <w:rPr>
                <w:rFonts w:cs="Arial"/>
                <w:sz w:val="20"/>
              </w:rPr>
            </w:pPr>
            <w:r>
              <w:rPr>
                <w:rFonts w:cs="Arial"/>
                <w:sz w:val="20"/>
              </w:rPr>
              <w:t>17,991</w:t>
            </w:r>
          </w:p>
        </w:tc>
        <w:tc>
          <w:tcPr>
            <w:tcW w:w="1629" w:type="dxa"/>
            <w:shd w:val="clear" w:color="auto" w:fill="auto"/>
          </w:tcPr>
          <w:p w:rsidR="00FA769B" w:rsidRPr="00320422" w:rsidRDefault="00BF2FAA" w:rsidP="00395180">
            <w:pPr>
              <w:jc w:val="right"/>
              <w:rPr>
                <w:rFonts w:cs="Arial"/>
                <w:sz w:val="20"/>
              </w:rPr>
            </w:pPr>
            <w:r>
              <w:rPr>
                <w:rFonts w:cs="Arial"/>
                <w:sz w:val="20"/>
              </w:rPr>
              <w:t>147,523</w:t>
            </w:r>
          </w:p>
        </w:tc>
      </w:tr>
      <w:tr w:rsidR="00BF2FAA" w:rsidRPr="00D72DD9" w:rsidTr="00A250F7">
        <w:tc>
          <w:tcPr>
            <w:tcW w:w="2835" w:type="dxa"/>
            <w:shd w:val="clear" w:color="auto" w:fill="auto"/>
          </w:tcPr>
          <w:p w:rsidR="00BF2FAA" w:rsidRPr="001005AE" w:rsidRDefault="00BF2FAA" w:rsidP="00D72DD9">
            <w:pPr>
              <w:tabs>
                <w:tab w:val="left" w:pos="720"/>
                <w:tab w:val="right" w:pos="7920"/>
              </w:tabs>
              <w:rPr>
                <w:sz w:val="20"/>
              </w:rPr>
            </w:pPr>
            <w:r w:rsidRPr="001005AE">
              <w:rPr>
                <w:sz w:val="20"/>
              </w:rPr>
              <w:t>Director of People &amp; Development – Robert Warren</w:t>
            </w:r>
          </w:p>
        </w:tc>
        <w:tc>
          <w:tcPr>
            <w:tcW w:w="1026" w:type="dxa"/>
            <w:shd w:val="clear" w:color="auto" w:fill="auto"/>
          </w:tcPr>
          <w:p w:rsidR="00BF2FAA" w:rsidRPr="00523689" w:rsidRDefault="00BF2FAA" w:rsidP="00523689">
            <w:pPr>
              <w:tabs>
                <w:tab w:val="left" w:pos="1168"/>
                <w:tab w:val="right" w:pos="7920"/>
              </w:tabs>
              <w:jc w:val="right"/>
              <w:rPr>
                <w:sz w:val="20"/>
              </w:rPr>
            </w:pPr>
            <w:r>
              <w:rPr>
                <w:sz w:val="20"/>
              </w:rPr>
              <w:t>100,647</w:t>
            </w:r>
          </w:p>
        </w:tc>
        <w:tc>
          <w:tcPr>
            <w:tcW w:w="1441" w:type="dxa"/>
            <w:shd w:val="clear" w:color="auto" w:fill="auto"/>
          </w:tcPr>
          <w:p w:rsidR="00BF2FAA" w:rsidRPr="00320422" w:rsidRDefault="00BF2FAA" w:rsidP="00D72DD9">
            <w:pPr>
              <w:tabs>
                <w:tab w:val="left" w:pos="720"/>
                <w:tab w:val="right" w:pos="7920"/>
              </w:tabs>
              <w:jc w:val="right"/>
              <w:rPr>
                <w:sz w:val="20"/>
              </w:rPr>
            </w:pPr>
            <w:r>
              <w:rPr>
                <w:sz w:val="20"/>
              </w:rPr>
              <w:t>-</w:t>
            </w:r>
          </w:p>
        </w:tc>
        <w:tc>
          <w:tcPr>
            <w:tcW w:w="1647" w:type="dxa"/>
            <w:shd w:val="clear" w:color="auto" w:fill="auto"/>
          </w:tcPr>
          <w:p w:rsidR="00BF2FAA" w:rsidRPr="00523689" w:rsidRDefault="00BF2FAA" w:rsidP="008628EC">
            <w:pPr>
              <w:tabs>
                <w:tab w:val="left" w:pos="1168"/>
                <w:tab w:val="right" w:pos="7920"/>
              </w:tabs>
              <w:jc w:val="right"/>
              <w:rPr>
                <w:sz w:val="20"/>
              </w:rPr>
            </w:pPr>
            <w:r>
              <w:rPr>
                <w:sz w:val="20"/>
              </w:rPr>
              <w:t>100,647</w:t>
            </w:r>
          </w:p>
        </w:tc>
        <w:tc>
          <w:tcPr>
            <w:tcW w:w="1613" w:type="dxa"/>
            <w:shd w:val="clear" w:color="auto" w:fill="auto"/>
          </w:tcPr>
          <w:p w:rsidR="00BF2FAA" w:rsidRPr="00320422" w:rsidRDefault="00BF2FAA" w:rsidP="00395180">
            <w:pPr>
              <w:jc w:val="right"/>
              <w:rPr>
                <w:rFonts w:cs="Arial"/>
                <w:sz w:val="20"/>
              </w:rPr>
            </w:pPr>
            <w:r>
              <w:rPr>
                <w:rFonts w:cs="Arial"/>
                <w:sz w:val="20"/>
              </w:rPr>
              <w:t>12,883</w:t>
            </w:r>
          </w:p>
        </w:tc>
        <w:tc>
          <w:tcPr>
            <w:tcW w:w="1629" w:type="dxa"/>
            <w:shd w:val="clear" w:color="auto" w:fill="auto"/>
          </w:tcPr>
          <w:p w:rsidR="00BF2FAA" w:rsidRPr="00320422" w:rsidRDefault="00BF2FAA" w:rsidP="00395180">
            <w:pPr>
              <w:jc w:val="right"/>
              <w:rPr>
                <w:rFonts w:cs="Arial"/>
                <w:sz w:val="20"/>
              </w:rPr>
            </w:pPr>
            <w:r>
              <w:rPr>
                <w:rFonts w:cs="Arial"/>
                <w:sz w:val="20"/>
              </w:rPr>
              <w:t>113,530</w:t>
            </w:r>
          </w:p>
        </w:tc>
      </w:tr>
      <w:tr w:rsidR="00BF2FAA" w:rsidRPr="00D72DD9" w:rsidTr="00A250F7">
        <w:tc>
          <w:tcPr>
            <w:tcW w:w="2835" w:type="dxa"/>
            <w:shd w:val="clear" w:color="auto" w:fill="auto"/>
          </w:tcPr>
          <w:p w:rsidR="00BF2FAA" w:rsidRPr="001005AE" w:rsidRDefault="00BF2FAA" w:rsidP="00D72DD9">
            <w:pPr>
              <w:pStyle w:val="CommentText"/>
              <w:tabs>
                <w:tab w:val="left" w:pos="720"/>
                <w:tab w:val="right" w:pos="7920"/>
              </w:tabs>
            </w:pPr>
            <w:r w:rsidRPr="001005AE">
              <w:t>Director of Corporate Services – Keith Mattinson</w:t>
            </w:r>
          </w:p>
        </w:tc>
        <w:tc>
          <w:tcPr>
            <w:tcW w:w="1026" w:type="dxa"/>
            <w:tcBorders>
              <w:bottom w:val="single" w:sz="4" w:space="0" w:color="auto"/>
            </w:tcBorders>
            <w:shd w:val="clear" w:color="auto" w:fill="auto"/>
          </w:tcPr>
          <w:p w:rsidR="00BF2FAA" w:rsidRPr="00523689" w:rsidRDefault="00BF2FAA" w:rsidP="00523689">
            <w:pPr>
              <w:tabs>
                <w:tab w:val="left" w:pos="1168"/>
                <w:tab w:val="right" w:pos="7920"/>
              </w:tabs>
              <w:jc w:val="right"/>
              <w:rPr>
                <w:sz w:val="20"/>
              </w:rPr>
            </w:pPr>
            <w:r>
              <w:rPr>
                <w:sz w:val="20"/>
              </w:rPr>
              <w:t>100,647</w:t>
            </w:r>
          </w:p>
        </w:tc>
        <w:tc>
          <w:tcPr>
            <w:tcW w:w="1441" w:type="dxa"/>
            <w:tcBorders>
              <w:bottom w:val="single" w:sz="4" w:space="0" w:color="auto"/>
            </w:tcBorders>
            <w:shd w:val="clear" w:color="auto" w:fill="auto"/>
          </w:tcPr>
          <w:p w:rsidR="00BF2FAA" w:rsidRPr="00320422" w:rsidRDefault="00BF2FAA" w:rsidP="00D72DD9">
            <w:pPr>
              <w:tabs>
                <w:tab w:val="left" w:pos="720"/>
                <w:tab w:val="right" w:pos="7920"/>
              </w:tabs>
              <w:jc w:val="right"/>
              <w:rPr>
                <w:sz w:val="20"/>
              </w:rPr>
            </w:pPr>
            <w:r>
              <w:rPr>
                <w:sz w:val="20"/>
              </w:rPr>
              <w:t>-</w:t>
            </w:r>
          </w:p>
        </w:tc>
        <w:tc>
          <w:tcPr>
            <w:tcW w:w="1647" w:type="dxa"/>
            <w:tcBorders>
              <w:bottom w:val="single" w:sz="4" w:space="0" w:color="auto"/>
            </w:tcBorders>
            <w:shd w:val="clear" w:color="auto" w:fill="auto"/>
          </w:tcPr>
          <w:p w:rsidR="00BF2FAA" w:rsidRPr="00523689" w:rsidRDefault="00BF2FAA" w:rsidP="008628EC">
            <w:pPr>
              <w:tabs>
                <w:tab w:val="left" w:pos="1168"/>
                <w:tab w:val="right" w:pos="7920"/>
              </w:tabs>
              <w:jc w:val="right"/>
              <w:rPr>
                <w:sz w:val="20"/>
              </w:rPr>
            </w:pPr>
            <w:r>
              <w:rPr>
                <w:sz w:val="20"/>
              </w:rPr>
              <w:t>100,647</w:t>
            </w:r>
          </w:p>
        </w:tc>
        <w:tc>
          <w:tcPr>
            <w:tcW w:w="1613" w:type="dxa"/>
            <w:tcBorders>
              <w:bottom w:val="single" w:sz="4" w:space="0" w:color="auto"/>
            </w:tcBorders>
            <w:shd w:val="clear" w:color="auto" w:fill="auto"/>
          </w:tcPr>
          <w:p w:rsidR="00BF2FAA" w:rsidRPr="00320422" w:rsidRDefault="00BF2FAA" w:rsidP="003D5B22">
            <w:pPr>
              <w:jc w:val="right"/>
              <w:rPr>
                <w:rFonts w:cs="Arial"/>
                <w:sz w:val="20"/>
              </w:rPr>
            </w:pPr>
            <w:r>
              <w:rPr>
                <w:rFonts w:cs="Arial"/>
                <w:sz w:val="20"/>
              </w:rPr>
              <w:t>12,883</w:t>
            </w:r>
          </w:p>
        </w:tc>
        <w:tc>
          <w:tcPr>
            <w:tcW w:w="1629" w:type="dxa"/>
            <w:tcBorders>
              <w:bottom w:val="single" w:sz="4" w:space="0" w:color="auto"/>
            </w:tcBorders>
            <w:shd w:val="clear" w:color="auto" w:fill="auto"/>
          </w:tcPr>
          <w:p w:rsidR="00BF2FAA" w:rsidRPr="00320422" w:rsidRDefault="00BF2FAA" w:rsidP="00395180">
            <w:pPr>
              <w:jc w:val="right"/>
              <w:rPr>
                <w:rFonts w:cs="Arial"/>
                <w:sz w:val="20"/>
              </w:rPr>
            </w:pPr>
            <w:r>
              <w:rPr>
                <w:rFonts w:cs="Arial"/>
                <w:sz w:val="20"/>
              </w:rPr>
              <w:t>113,530</w:t>
            </w:r>
          </w:p>
        </w:tc>
      </w:tr>
      <w:tr w:rsidR="00523689" w:rsidRPr="00D72DD9" w:rsidTr="00A250F7">
        <w:tc>
          <w:tcPr>
            <w:tcW w:w="2835" w:type="dxa"/>
            <w:shd w:val="clear" w:color="auto" w:fill="auto"/>
          </w:tcPr>
          <w:p w:rsidR="00523689" w:rsidRPr="00DC5C97" w:rsidRDefault="00523689" w:rsidP="00D72DD9">
            <w:pPr>
              <w:tabs>
                <w:tab w:val="left" w:pos="720"/>
                <w:tab w:val="right" w:pos="7920"/>
              </w:tabs>
              <w:rPr>
                <w:sz w:val="20"/>
                <w:highlight w:val="yellow"/>
              </w:rPr>
            </w:pPr>
          </w:p>
        </w:tc>
        <w:tc>
          <w:tcPr>
            <w:tcW w:w="1026" w:type="dxa"/>
            <w:tcBorders>
              <w:top w:val="single" w:sz="4" w:space="0" w:color="auto"/>
              <w:bottom w:val="double" w:sz="4" w:space="0" w:color="auto"/>
            </w:tcBorders>
            <w:shd w:val="clear" w:color="auto" w:fill="auto"/>
          </w:tcPr>
          <w:p w:rsidR="00523689" w:rsidRPr="00523689" w:rsidRDefault="00BF2FAA" w:rsidP="00523689">
            <w:pPr>
              <w:tabs>
                <w:tab w:val="left" w:pos="1168"/>
                <w:tab w:val="right" w:pos="7920"/>
              </w:tabs>
              <w:jc w:val="right"/>
              <w:rPr>
                <w:sz w:val="20"/>
              </w:rPr>
            </w:pPr>
            <w:r>
              <w:rPr>
                <w:sz w:val="20"/>
              </w:rPr>
              <w:t>618,036</w:t>
            </w:r>
          </w:p>
        </w:tc>
        <w:tc>
          <w:tcPr>
            <w:tcW w:w="1441" w:type="dxa"/>
            <w:tcBorders>
              <w:top w:val="single" w:sz="4" w:space="0" w:color="auto"/>
              <w:bottom w:val="double" w:sz="4" w:space="0" w:color="auto"/>
            </w:tcBorders>
            <w:shd w:val="clear" w:color="auto" w:fill="auto"/>
          </w:tcPr>
          <w:p w:rsidR="00523689" w:rsidRPr="00320422" w:rsidRDefault="00BF2FAA" w:rsidP="00C67011">
            <w:pPr>
              <w:tabs>
                <w:tab w:val="left" w:pos="720"/>
                <w:tab w:val="right" w:pos="7920"/>
              </w:tabs>
              <w:jc w:val="right"/>
              <w:rPr>
                <w:sz w:val="20"/>
              </w:rPr>
            </w:pPr>
            <w:r>
              <w:rPr>
                <w:sz w:val="20"/>
              </w:rPr>
              <w:t>8,838</w:t>
            </w:r>
          </w:p>
        </w:tc>
        <w:tc>
          <w:tcPr>
            <w:tcW w:w="1647" w:type="dxa"/>
            <w:tcBorders>
              <w:top w:val="single" w:sz="4" w:space="0" w:color="auto"/>
              <w:bottom w:val="double" w:sz="4" w:space="0" w:color="auto"/>
            </w:tcBorders>
            <w:shd w:val="clear" w:color="auto" w:fill="auto"/>
          </w:tcPr>
          <w:p w:rsidR="00523689" w:rsidRPr="00320422" w:rsidRDefault="00BF2FAA" w:rsidP="00523689">
            <w:pPr>
              <w:tabs>
                <w:tab w:val="left" w:pos="720"/>
                <w:tab w:val="right" w:pos="7920"/>
              </w:tabs>
              <w:jc w:val="right"/>
              <w:rPr>
                <w:sz w:val="20"/>
              </w:rPr>
            </w:pPr>
            <w:r>
              <w:rPr>
                <w:sz w:val="20"/>
              </w:rPr>
              <w:t>626,874</w:t>
            </w:r>
          </w:p>
        </w:tc>
        <w:tc>
          <w:tcPr>
            <w:tcW w:w="1613" w:type="dxa"/>
            <w:tcBorders>
              <w:top w:val="single" w:sz="4" w:space="0" w:color="auto"/>
              <w:bottom w:val="double" w:sz="4" w:space="0" w:color="auto"/>
            </w:tcBorders>
            <w:shd w:val="clear" w:color="auto" w:fill="auto"/>
            <w:vAlign w:val="bottom"/>
          </w:tcPr>
          <w:p w:rsidR="00523689" w:rsidRPr="00320422" w:rsidRDefault="00BF2FAA" w:rsidP="00395180">
            <w:pPr>
              <w:jc w:val="right"/>
              <w:rPr>
                <w:rFonts w:cs="Arial"/>
                <w:sz w:val="20"/>
              </w:rPr>
            </w:pPr>
            <w:r>
              <w:rPr>
                <w:rFonts w:cs="Arial"/>
                <w:sz w:val="20"/>
              </w:rPr>
              <w:t>96,997</w:t>
            </w:r>
          </w:p>
        </w:tc>
        <w:tc>
          <w:tcPr>
            <w:tcW w:w="1629" w:type="dxa"/>
            <w:tcBorders>
              <w:top w:val="single" w:sz="4" w:space="0" w:color="auto"/>
              <w:bottom w:val="double" w:sz="4" w:space="0" w:color="auto"/>
            </w:tcBorders>
            <w:shd w:val="clear" w:color="auto" w:fill="auto"/>
            <w:vAlign w:val="bottom"/>
          </w:tcPr>
          <w:p w:rsidR="00523689" w:rsidRPr="00320422" w:rsidRDefault="00BF2FAA" w:rsidP="00395180">
            <w:pPr>
              <w:jc w:val="right"/>
              <w:rPr>
                <w:rFonts w:cs="Arial"/>
                <w:sz w:val="20"/>
              </w:rPr>
            </w:pPr>
            <w:r>
              <w:rPr>
                <w:rFonts w:cs="Arial"/>
                <w:sz w:val="20"/>
              </w:rPr>
              <w:t>723,871</w:t>
            </w:r>
          </w:p>
        </w:tc>
      </w:tr>
    </w:tbl>
    <w:p w:rsidR="00922802" w:rsidRPr="00B312EB" w:rsidRDefault="00922802" w:rsidP="00D90216">
      <w:pPr>
        <w:pStyle w:val="BalloonText"/>
        <w:tabs>
          <w:tab w:val="left" w:pos="720"/>
          <w:tab w:val="right" w:pos="7920"/>
        </w:tabs>
        <w:rPr>
          <w:rFonts w:ascii="Arial" w:hAnsi="Arial"/>
          <w:sz w:val="12"/>
          <w:szCs w:val="12"/>
          <w:highlight w:val="cyan"/>
        </w:rPr>
      </w:pPr>
    </w:p>
    <w:p w:rsidR="001E4146" w:rsidRDefault="001E4146"/>
    <w:tbl>
      <w:tblPr>
        <w:tblW w:w="0" w:type="auto"/>
        <w:tblInd w:w="534" w:type="dxa"/>
        <w:tblLook w:val="01E0" w:firstRow="1" w:lastRow="1" w:firstColumn="1" w:lastColumn="1" w:noHBand="0" w:noVBand="0"/>
      </w:tblPr>
      <w:tblGrid>
        <w:gridCol w:w="2976"/>
        <w:gridCol w:w="1026"/>
        <w:gridCol w:w="1329"/>
        <w:gridCol w:w="1648"/>
        <w:gridCol w:w="1612"/>
        <w:gridCol w:w="1614"/>
      </w:tblGrid>
      <w:tr w:rsidR="00D90216" w:rsidRPr="00D72DD9" w:rsidTr="00A250F7">
        <w:tc>
          <w:tcPr>
            <w:tcW w:w="2976" w:type="dxa"/>
            <w:shd w:val="clear" w:color="auto" w:fill="auto"/>
          </w:tcPr>
          <w:p w:rsidR="00D90216" w:rsidRPr="00D72DD9" w:rsidRDefault="00D90216" w:rsidP="00D72DD9">
            <w:pPr>
              <w:tabs>
                <w:tab w:val="left" w:pos="720"/>
                <w:tab w:val="right" w:pos="7920"/>
              </w:tabs>
              <w:rPr>
                <w:b/>
                <w:sz w:val="22"/>
              </w:rPr>
            </w:pPr>
            <w:r w:rsidRPr="00D72DD9">
              <w:rPr>
                <w:b/>
                <w:sz w:val="22"/>
              </w:rPr>
              <w:t>Post holder information (post title and name)</w:t>
            </w:r>
          </w:p>
          <w:p w:rsidR="00CB21DE" w:rsidRPr="00D72DD9" w:rsidRDefault="00CB21DE" w:rsidP="00D72DD9">
            <w:pPr>
              <w:tabs>
                <w:tab w:val="left" w:pos="720"/>
                <w:tab w:val="right" w:pos="7920"/>
              </w:tabs>
              <w:rPr>
                <w:b/>
                <w:sz w:val="22"/>
              </w:rPr>
            </w:pPr>
          </w:p>
          <w:p w:rsidR="00CB21DE" w:rsidRPr="00D72DD9" w:rsidRDefault="00CB21DE" w:rsidP="002A6C30">
            <w:pPr>
              <w:tabs>
                <w:tab w:val="left" w:pos="720"/>
                <w:tab w:val="right" w:pos="7920"/>
              </w:tabs>
              <w:rPr>
                <w:b/>
                <w:sz w:val="22"/>
              </w:rPr>
            </w:pPr>
            <w:r w:rsidRPr="00D72DD9">
              <w:rPr>
                <w:b/>
                <w:sz w:val="22"/>
              </w:rPr>
              <w:t>201</w:t>
            </w:r>
            <w:r w:rsidR="002A6C30">
              <w:rPr>
                <w:b/>
                <w:sz w:val="22"/>
              </w:rPr>
              <w:t>6/17</w:t>
            </w:r>
          </w:p>
        </w:tc>
        <w:tc>
          <w:tcPr>
            <w:tcW w:w="1026" w:type="dxa"/>
            <w:shd w:val="clear" w:color="auto" w:fill="auto"/>
          </w:tcPr>
          <w:p w:rsidR="00D90216" w:rsidRDefault="00D90216" w:rsidP="00D72DD9">
            <w:pPr>
              <w:tabs>
                <w:tab w:val="left" w:pos="720"/>
                <w:tab w:val="right" w:pos="7920"/>
              </w:tabs>
              <w:jc w:val="center"/>
              <w:rPr>
                <w:sz w:val="22"/>
              </w:rPr>
            </w:pPr>
            <w:r w:rsidRPr="00D72DD9">
              <w:rPr>
                <w:sz w:val="22"/>
              </w:rPr>
              <w:t xml:space="preserve">Salary </w:t>
            </w:r>
          </w:p>
          <w:p w:rsidR="00B312EB" w:rsidRDefault="00B312EB" w:rsidP="00D72DD9">
            <w:pPr>
              <w:tabs>
                <w:tab w:val="left" w:pos="720"/>
                <w:tab w:val="right" w:pos="7920"/>
              </w:tabs>
              <w:jc w:val="center"/>
              <w:rPr>
                <w:sz w:val="22"/>
              </w:rPr>
            </w:pPr>
          </w:p>
          <w:p w:rsidR="00B312EB" w:rsidRDefault="00B312EB" w:rsidP="00D72DD9">
            <w:pPr>
              <w:tabs>
                <w:tab w:val="left" w:pos="720"/>
                <w:tab w:val="right" w:pos="7920"/>
              </w:tabs>
              <w:jc w:val="center"/>
              <w:rPr>
                <w:sz w:val="22"/>
              </w:rPr>
            </w:pPr>
          </w:p>
          <w:p w:rsidR="00B312EB" w:rsidRDefault="00B312EB" w:rsidP="00D72DD9">
            <w:pPr>
              <w:tabs>
                <w:tab w:val="left" w:pos="720"/>
                <w:tab w:val="right" w:pos="7920"/>
              </w:tabs>
              <w:jc w:val="center"/>
              <w:rPr>
                <w:sz w:val="22"/>
              </w:rPr>
            </w:pPr>
          </w:p>
          <w:p w:rsidR="00B312EB" w:rsidRDefault="00B312EB" w:rsidP="00D72DD9">
            <w:pPr>
              <w:tabs>
                <w:tab w:val="left" w:pos="720"/>
                <w:tab w:val="right" w:pos="7920"/>
              </w:tabs>
              <w:jc w:val="center"/>
              <w:rPr>
                <w:sz w:val="22"/>
              </w:rPr>
            </w:pPr>
          </w:p>
          <w:p w:rsidR="00B312EB" w:rsidRDefault="00B312EB" w:rsidP="00D72DD9">
            <w:pPr>
              <w:tabs>
                <w:tab w:val="left" w:pos="720"/>
                <w:tab w:val="right" w:pos="7920"/>
              </w:tabs>
              <w:jc w:val="center"/>
              <w:rPr>
                <w:sz w:val="22"/>
              </w:rPr>
            </w:pPr>
          </w:p>
          <w:p w:rsidR="00B312EB" w:rsidRPr="00D72DD9" w:rsidRDefault="00B312EB" w:rsidP="004D7BAE">
            <w:pPr>
              <w:tabs>
                <w:tab w:val="left" w:pos="720"/>
                <w:tab w:val="right" w:pos="7920"/>
              </w:tabs>
              <w:rPr>
                <w:sz w:val="22"/>
              </w:rPr>
            </w:pPr>
          </w:p>
        </w:tc>
        <w:tc>
          <w:tcPr>
            <w:tcW w:w="1329" w:type="dxa"/>
            <w:shd w:val="clear" w:color="auto" w:fill="auto"/>
          </w:tcPr>
          <w:p w:rsidR="00D90216" w:rsidRDefault="00D90216" w:rsidP="00D72DD9">
            <w:pPr>
              <w:tabs>
                <w:tab w:val="left" w:pos="720"/>
                <w:tab w:val="right" w:pos="7920"/>
              </w:tabs>
              <w:rPr>
                <w:sz w:val="22"/>
              </w:rPr>
            </w:pPr>
            <w:r w:rsidRPr="00D72DD9">
              <w:rPr>
                <w:sz w:val="22"/>
              </w:rPr>
              <w:t>Allowances</w:t>
            </w:r>
          </w:p>
          <w:p w:rsidR="0081421F" w:rsidRDefault="0081421F" w:rsidP="0081421F">
            <w:pPr>
              <w:tabs>
                <w:tab w:val="left" w:pos="720"/>
                <w:tab w:val="right" w:pos="7920"/>
              </w:tabs>
              <w:jc w:val="center"/>
              <w:rPr>
                <w:sz w:val="22"/>
              </w:rPr>
            </w:pPr>
            <w:r>
              <w:rPr>
                <w:sz w:val="22"/>
              </w:rPr>
              <w:t>Restated</w:t>
            </w:r>
            <w:r w:rsidR="00B75118">
              <w:rPr>
                <w:sz w:val="22"/>
              </w:rPr>
              <w:t>*</w:t>
            </w:r>
          </w:p>
          <w:p w:rsidR="00B312EB" w:rsidRDefault="00B312EB" w:rsidP="0081421F">
            <w:pPr>
              <w:tabs>
                <w:tab w:val="left" w:pos="720"/>
                <w:tab w:val="right" w:pos="7920"/>
              </w:tabs>
              <w:jc w:val="center"/>
              <w:rPr>
                <w:sz w:val="22"/>
              </w:rPr>
            </w:pPr>
          </w:p>
          <w:p w:rsidR="00B312EB" w:rsidRDefault="00B312EB" w:rsidP="0081421F">
            <w:pPr>
              <w:tabs>
                <w:tab w:val="left" w:pos="720"/>
                <w:tab w:val="right" w:pos="7920"/>
              </w:tabs>
              <w:jc w:val="center"/>
              <w:rPr>
                <w:sz w:val="22"/>
              </w:rPr>
            </w:pPr>
          </w:p>
          <w:p w:rsidR="00B312EB" w:rsidRDefault="00B312EB" w:rsidP="0081421F">
            <w:pPr>
              <w:tabs>
                <w:tab w:val="left" w:pos="720"/>
                <w:tab w:val="right" w:pos="7920"/>
              </w:tabs>
              <w:jc w:val="center"/>
              <w:rPr>
                <w:sz w:val="22"/>
              </w:rPr>
            </w:pPr>
          </w:p>
          <w:p w:rsidR="00B312EB" w:rsidRDefault="00B312EB" w:rsidP="0081421F">
            <w:pPr>
              <w:tabs>
                <w:tab w:val="left" w:pos="720"/>
                <w:tab w:val="right" w:pos="7920"/>
              </w:tabs>
              <w:jc w:val="center"/>
              <w:rPr>
                <w:sz w:val="22"/>
              </w:rPr>
            </w:pPr>
          </w:p>
          <w:p w:rsidR="00456605" w:rsidRPr="00D72DD9" w:rsidRDefault="00456605" w:rsidP="004D7BAE">
            <w:pPr>
              <w:tabs>
                <w:tab w:val="left" w:pos="720"/>
                <w:tab w:val="right" w:pos="7920"/>
              </w:tabs>
              <w:rPr>
                <w:sz w:val="22"/>
              </w:rPr>
            </w:pPr>
          </w:p>
        </w:tc>
        <w:tc>
          <w:tcPr>
            <w:tcW w:w="1648" w:type="dxa"/>
            <w:shd w:val="clear" w:color="auto" w:fill="auto"/>
          </w:tcPr>
          <w:p w:rsidR="00D90216" w:rsidRDefault="00D90216" w:rsidP="00D72DD9">
            <w:pPr>
              <w:tabs>
                <w:tab w:val="left" w:pos="720"/>
                <w:tab w:val="right" w:pos="7920"/>
              </w:tabs>
              <w:rPr>
                <w:sz w:val="22"/>
              </w:rPr>
            </w:pPr>
            <w:r w:rsidRPr="00D72DD9">
              <w:rPr>
                <w:sz w:val="22"/>
              </w:rPr>
              <w:t>Total Remuneration excluding pension contributions</w:t>
            </w:r>
          </w:p>
          <w:p w:rsidR="00B312EB" w:rsidRDefault="00B312EB" w:rsidP="00D72DD9">
            <w:pPr>
              <w:tabs>
                <w:tab w:val="left" w:pos="720"/>
                <w:tab w:val="right" w:pos="7920"/>
              </w:tabs>
              <w:rPr>
                <w:sz w:val="22"/>
              </w:rPr>
            </w:pPr>
          </w:p>
          <w:p w:rsidR="00B312EB" w:rsidRPr="00D72DD9" w:rsidRDefault="00B312EB" w:rsidP="004D7BAE">
            <w:pPr>
              <w:tabs>
                <w:tab w:val="left" w:pos="720"/>
                <w:tab w:val="right" w:pos="7920"/>
              </w:tabs>
              <w:rPr>
                <w:sz w:val="22"/>
              </w:rPr>
            </w:pPr>
          </w:p>
        </w:tc>
        <w:tc>
          <w:tcPr>
            <w:tcW w:w="1612" w:type="dxa"/>
            <w:shd w:val="clear" w:color="auto" w:fill="auto"/>
          </w:tcPr>
          <w:p w:rsidR="00B312EB" w:rsidRPr="00D72DD9" w:rsidRDefault="00D90216" w:rsidP="004D7BAE">
            <w:pPr>
              <w:tabs>
                <w:tab w:val="left" w:pos="720"/>
                <w:tab w:val="right" w:pos="7920"/>
              </w:tabs>
              <w:ind w:left="19"/>
              <w:rPr>
                <w:sz w:val="22"/>
              </w:rPr>
            </w:pPr>
            <w:r w:rsidRPr="00D72DD9">
              <w:rPr>
                <w:sz w:val="22"/>
              </w:rPr>
              <w:t>Pension contributions</w:t>
            </w:r>
            <w:r w:rsidR="00E54BE5" w:rsidRPr="00D72DD9">
              <w:rPr>
                <w:sz w:val="22"/>
              </w:rPr>
              <w:t xml:space="preserve"> accrued at the standard employer rate for all senior officers</w:t>
            </w:r>
          </w:p>
        </w:tc>
        <w:tc>
          <w:tcPr>
            <w:tcW w:w="1614" w:type="dxa"/>
            <w:shd w:val="clear" w:color="auto" w:fill="auto"/>
          </w:tcPr>
          <w:p w:rsidR="00D90216" w:rsidRDefault="00D90216" w:rsidP="00D72DD9">
            <w:pPr>
              <w:tabs>
                <w:tab w:val="left" w:pos="720"/>
                <w:tab w:val="right" w:pos="7920"/>
              </w:tabs>
              <w:rPr>
                <w:sz w:val="22"/>
              </w:rPr>
            </w:pPr>
            <w:r w:rsidRPr="00D72DD9">
              <w:rPr>
                <w:sz w:val="22"/>
              </w:rPr>
              <w:t>Total Remuneration including pension contributions</w:t>
            </w:r>
          </w:p>
          <w:p w:rsidR="00B312EB" w:rsidRDefault="00B312EB" w:rsidP="00D72DD9">
            <w:pPr>
              <w:tabs>
                <w:tab w:val="left" w:pos="720"/>
                <w:tab w:val="right" w:pos="7920"/>
              </w:tabs>
              <w:rPr>
                <w:sz w:val="22"/>
              </w:rPr>
            </w:pPr>
          </w:p>
          <w:p w:rsidR="00B312EB" w:rsidRPr="00D72DD9" w:rsidRDefault="00B312EB" w:rsidP="004D7BAE">
            <w:pPr>
              <w:tabs>
                <w:tab w:val="left" w:pos="720"/>
                <w:tab w:val="right" w:pos="7920"/>
              </w:tabs>
              <w:rPr>
                <w:sz w:val="22"/>
              </w:rPr>
            </w:pPr>
          </w:p>
        </w:tc>
      </w:tr>
      <w:tr w:rsidR="00D90216" w:rsidRPr="00D72DD9" w:rsidTr="00A250F7">
        <w:tc>
          <w:tcPr>
            <w:tcW w:w="2976" w:type="dxa"/>
            <w:shd w:val="clear" w:color="auto" w:fill="auto"/>
          </w:tcPr>
          <w:p w:rsidR="00D90216" w:rsidRPr="00D72DD9" w:rsidRDefault="00D90216" w:rsidP="00D72DD9">
            <w:pPr>
              <w:tabs>
                <w:tab w:val="left" w:pos="720"/>
                <w:tab w:val="right" w:pos="7920"/>
              </w:tabs>
              <w:rPr>
                <w:sz w:val="16"/>
                <w:szCs w:val="16"/>
              </w:rPr>
            </w:pPr>
          </w:p>
        </w:tc>
        <w:tc>
          <w:tcPr>
            <w:tcW w:w="1026" w:type="dxa"/>
            <w:shd w:val="clear" w:color="auto" w:fill="auto"/>
          </w:tcPr>
          <w:p w:rsidR="00D90216" w:rsidRPr="00D72DD9" w:rsidRDefault="00D90216" w:rsidP="00D72DD9">
            <w:pPr>
              <w:tabs>
                <w:tab w:val="left" w:pos="720"/>
                <w:tab w:val="right" w:pos="7920"/>
              </w:tabs>
              <w:jc w:val="center"/>
              <w:rPr>
                <w:sz w:val="16"/>
                <w:szCs w:val="16"/>
              </w:rPr>
            </w:pPr>
          </w:p>
        </w:tc>
        <w:tc>
          <w:tcPr>
            <w:tcW w:w="1329" w:type="dxa"/>
            <w:shd w:val="clear" w:color="auto" w:fill="auto"/>
          </w:tcPr>
          <w:p w:rsidR="00D90216" w:rsidRPr="00D72DD9" w:rsidRDefault="00D90216" w:rsidP="00D72DD9">
            <w:pPr>
              <w:tabs>
                <w:tab w:val="left" w:pos="720"/>
                <w:tab w:val="right" w:pos="7920"/>
              </w:tabs>
              <w:rPr>
                <w:sz w:val="16"/>
                <w:szCs w:val="16"/>
              </w:rPr>
            </w:pPr>
          </w:p>
        </w:tc>
        <w:tc>
          <w:tcPr>
            <w:tcW w:w="1648" w:type="dxa"/>
            <w:shd w:val="clear" w:color="auto" w:fill="auto"/>
          </w:tcPr>
          <w:p w:rsidR="00D90216" w:rsidRPr="00D72DD9" w:rsidRDefault="00D90216" w:rsidP="00D72DD9">
            <w:pPr>
              <w:tabs>
                <w:tab w:val="left" w:pos="720"/>
                <w:tab w:val="right" w:pos="7920"/>
              </w:tabs>
              <w:rPr>
                <w:sz w:val="16"/>
                <w:szCs w:val="16"/>
              </w:rPr>
            </w:pPr>
          </w:p>
        </w:tc>
        <w:tc>
          <w:tcPr>
            <w:tcW w:w="1612" w:type="dxa"/>
            <w:shd w:val="clear" w:color="auto" w:fill="auto"/>
          </w:tcPr>
          <w:p w:rsidR="00D90216" w:rsidRPr="00D72DD9" w:rsidRDefault="00D90216" w:rsidP="00D72DD9">
            <w:pPr>
              <w:tabs>
                <w:tab w:val="left" w:pos="720"/>
                <w:tab w:val="right" w:pos="7920"/>
              </w:tabs>
              <w:rPr>
                <w:sz w:val="16"/>
                <w:szCs w:val="16"/>
              </w:rPr>
            </w:pPr>
          </w:p>
        </w:tc>
        <w:tc>
          <w:tcPr>
            <w:tcW w:w="1614" w:type="dxa"/>
            <w:shd w:val="clear" w:color="auto" w:fill="auto"/>
          </w:tcPr>
          <w:p w:rsidR="00D90216" w:rsidRPr="00D72DD9" w:rsidRDefault="00D90216" w:rsidP="00D72DD9">
            <w:pPr>
              <w:tabs>
                <w:tab w:val="left" w:pos="720"/>
                <w:tab w:val="right" w:pos="7920"/>
              </w:tabs>
              <w:rPr>
                <w:sz w:val="16"/>
                <w:szCs w:val="16"/>
              </w:rPr>
            </w:pPr>
          </w:p>
        </w:tc>
      </w:tr>
      <w:tr w:rsidR="002A6C30" w:rsidRPr="00D72DD9" w:rsidTr="00A250F7">
        <w:tc>
          <w:tcPr>
            <w:tcW w:w="2976" w:type="dxa"/>
            <w:shd w:val="clear" w:color="auto" w:fill="auto"/>
          </w:tcPr>
          <w:p w:rsidR="002A6C30" w:rsidRPr="001005AE" w:rsidRDefault="002A6C30" w:rsidP="00C22F02">
            <w:pPr>
              <w:tabs>
                <w:tab w:val="left" w:pos="720"/>
                <w:tab w:val="right" w:pos="7920"/>
              </w:tabs>
              <w:rPr>
                <w:sz w:val="20"/>
              </w:rPr>
            </w:pPr>
            <w:r w:rsidRPr="001005AE">
              <w:rPr>
                <w:sz w:val="20"/>
              </w:rPr>
              <w:t xml:space="preserve">Chief Fire Officer – Chris Kenny </w:t>
            </w:r>
          </w:p>
        </w:tc>
        <w:tc>
          <w:tcPr>
            <w:tcW w:w="1026" w:type="dxa"/>
            <w:shd w:val="clear" w:color="auto" w:fill="auto"/>
          </w:tcPr>
          <w:p w:rsidR="002A6C30" w:rsidRPr="00320422" w:rsidRDefault="002A6C30" w:rsidP="00C22F02">
            <w:pPr>
              <w:tabs>
                <w:tab w:val="left" w:pos="1168"/>
                <w:tab w:val="right" w:pos="7920"/>
              </w:tabs>
              <w:jc w:val="right"/>
              <w:rPr>
                <w:sz w:val="20"/>
              </w:rPr>
            </w:pPr>
            <w:r>
              <w:rPr>
                <w:sz w:val="20"/>
              </w:rPr>
              <w:t>155,704</w:t>
            </w:r>
          </w:p>
        </w:tc>
        <w:tc>
          <w:tcPr>
            <w:tcW w:w="1329" w:type="dxa"/>
            <w:shd w:val="clear" w:color="auto" w:fill="auto"/>
          </w:tcPr>
          <w:p w:rsidR="002A6C30" w:rsidRPr="002947D6" w:rsidRDefault="002947D6" w:rsidP="00C22F02">
            <w:pPr>
              <w:tabs>
                <w:tab w:val="left" w:pos="720"/>
                <w:tab w:val="right" w:pos="7920"/>
              </w:tabs>
              <w:jc w:val="right"/>
              <w:rPr>
                <w:sz w:val="20"/>
              </w:rPr>
            </w:pPr>
            <w:r w:rsidRPr="002947D6">
              <w:rPr>
                <w:sz w:val="20"/>
              </w:rPr>
              <w:t>2,459</w:t>
            </w:r>
          </w:p>
        </w:tc>
        <w:tc>
          <w:tcPr>
            <w:tcW w:w="1648" w:type="dxa"/>
            <w:shd w:val="clear" w:color="auto" w:fill="auto"/>
          </w:tcPr>
          <w:p w:rsidR="002A6C30" w:rsidRPr="002A6C30" w:rsidRDefault="002A6C30" w:rsidP="002947D6">
            <w:pPr>
              <w:tabs>
                <w:tab w:val="left" w:pos="720"/>
                <w:tab w:val="right" w:pos="7920"/>
              </w:tabs>
              <w:jc w:val="right"/>
              <w:rPr>
                <w:sz w:val="20"/>
                <w:highlight w:val="yellow"/>
              </w:rPr>
            </w:pPr>
            <w:r w:rsidRPr="002947D6">
              <w:rPr>
                <w:sz w:val="20"/>
              </w:rPr>
              <w:t>15</w:t>
            </w:r>
            <w:r w:rsidR="002947D6" w:rsidRPr="002947D6">
              <w:rPr>
                <w:sz w:val="20"/>
              </w:rPr>
              <w:t>8</w:t>
            </w:r>
            <w:r w:rsidRPr="002947D6">
              <w:rPr>
                <w:sz w:val="20"/>
              </w:rPr>
              <w:t>,</w:t>
            </w:r>
            <w:r w:rsidR="002947D6" w:rsidRPr="002947D6">
              <w:rPr>
                <w:sz w:val="20"/>
              </w:rPr>
              <w:t>163</w:t>
            </w:r>
          </w:p>
        </w:tc>
        <w:tc>
          <w:tcPr>
            <w:tcW w:w="1612" w:type="dxa"/>
            <w:shd w:val="clear" w:color="auto" w:fill="auto"/>
          </w:tcPr>
          <w:p w:rsidR="002A6C30" w:rsidRPr="00320422" w:rsidRDefault="002A6C30" w:rsidP="00C22F02">
            <w:pPr>
              <w:jc w:val="right"/>
              <w:rPr>
                <w:rFonts w:cs="Arial"/>
                <w:sz w:val="20"/>
              </w:rPr>
            </w:pPr>
            <w:r>
              <w:rPr>
                <w:rFonts w:cs="Arial"/>
                <w:sz w:val="20"/>
              </w:rPr>
              <w:t>33,788</w:t>
            </w:r>
          </w:p>
        </w:tc>
        <w:tc>
          <w:tcPr>
            <w:tcW w:w="1614" w:type="dxa"/>
            <w:shd w:val="clear" w:color="auto" w:fill="auto"/>
          </w:tcPr>
          <w:p w:rsidR="002A6C30" w:rsidRPr="002A6C30" w:rsidRDefault="002A6C30" w:rsidP="002947D6">
            <w:pPr>
              <w:jc w:val="right"/>
              <w:rPr>
                <w:rFonts w:cs="Arial"/>
                <w:sz w:val="20"/>
                <w:highlight w:val="yellow"/>
              </w:rPr>
            </w:pPr>
            <w:r w:rsidRPr="002947D6">
              <w:rPr>
                <w:rFonts w:cs="Arial"/>
                <w:sz w:val="20"/>
              </w:rPr>
              <w:t>191,</w:t>
            </w:r>
            <w:r w:rsidR="002947D6" w:rsidRPr="002947D6">
              <w:rPr>
                <w:rFonts w:cs="Arial"/>
                <w:sz w:val="20"/>
              </w:rPr>
              <w:t>951</w:t>
            </w:r>
          </w:p>
        </w:tc>
      </w:tr>
      <w:tr w:rsidR="002A6C30" w:rsidRPr="00D72DD9" w:rsidTr="00A250F7">
        <w:tc>
          <w:tcPr>
            <w:tcW w:w="2976" w:type="dxa"/>
            <w:shd w:val="clear" w:color="auto" w:fill="auto"/>
          </w:tcPr>
          <w:p w:rsidR="002A6C30" w:rsidRPr="001005AE" w:rsidRDefault="002A6C30" w:rsidP="00C22F02">
            <w:pPr>
              <w:tabs>
                <w:tab w:val="left" w:pos="720"/>
                <w:tab w:val="right" w:pos="7920"/>
              </w:tabs>
              <w:rPr>
                <w:sz w:val="20"/>
              </w:rPr>
            </w:pPr>
            <w:r w:rsidRPr="001005AE">
              <w:rPr>
                <w:sz w:val="20"/>
              </w:rPr>
              <w:t xml:space="preserve">Director of Service Delivery – Justin Johnston </w:t>
            </w:r>
          </w:p>
        </w:tc>
        <w:tc>
          <w:tcPr>
            <w:tcW w:w="1026" w:type="dxa"/>
            <w:shd w:val="clear" w:color="auto" w:fill="auto"/>
          </w:tcPr>
          <w:p w:rsidR="002A6C30" w:rsidRPr="00523689" w:rsidRDefault="002A6C30" w:rsidP="00C22F02">
            <w:pPr>
              <w:tabs>
                <w:tab w:val="left" w:pos="1168"/>
                <w:tab w:val="right" w:pos="7920"/>
              </w:tabs>
              <w:jc w:val="right"/>
              <w:rPr>
                <w:sz w:val="20"/>
              </w:rPr>
            </w:pPr>
            <w:r>
              <w:rPr>
                <w:sz w:val="20"/>
              </w:rPr>
              <w:t>132,349</w:t>
            </w:r>
          </w:p>
        </w:tc>
        <w:tc>
          <w:tcPr>
            <w:tcW w:w="1329" w:type="dxa"/>
            <w:shd w:val="clear" w:color="auto" w:fill="auto"/>
          </w:tcPr>
          <w:p w:rsidR="002A6C30" w:rsidRPr="002947D6" w:rsidRDefault="002947D6" w:rsidP="00C22F02">
            <w:pPr>
              <w:tabs>
                <w:tab w:val="left" w:pos="720"/>
                <w:tab w:val="right" w:pos="7920"/>
              </w:tabs>
              <w:jc w:val="right"/>
              <w:rPr>
                <w:sz w:val="20"/>
              </w:rPr>
            </w:pPr>
            <w:r w:rsidRPr="002947D6">
              <w:rPr>
                <w:sz w:val="20"/>
              </w:rPr>
              <w:t>2,670</w:t>
            </w:r>
          </w:p>
        </w:tc>
        <w:tc>
          <w:tcPr>
            <w:tcW w:w="1648" w:type="dxa"/>
            <w:shd w:val="clear" w:color="auto" w:fill="auto"/>
          </w:tcPr>
          <w:p w:rsidR="002A6C30" w:rsidRPr="002A6C30" w:rsidRDefault="002A6C30" w:rsidP="002947D6">
            <w:pPr>
              <w:tabs>
                <w:tab w:val="left" w:pos="720"/>
                <w:tab w:val="right" w:pos="7920"/>
              </w:tabs>
              <w:jc w:val="right"/>
              <w:rPr>
                <w:sz w:val="20"/>
                <w:highlight w:val="yellow"/>
              </w:rPr>
            </w:pPr>
            <w:r w:rsidRPr="002947D6">
              <w:rPr>
                <w:sz w:val="20"/>
              </w:rPr>
              <w:t>13</w:t>
            </w:r>
            <w:r w:rsidR="002947D6" w:rsidRPr="002947D6">
              <w:rPr>
                <w:sz w:val="20"/>
              </w:rPr>
              <w:t>5</w:t>
            </w:r>
            <w:r w:rsidRPr="002947D6">
              <w:rPr>
                <w:sz w:val="20"/>
              </w:rPr>
              <w:t>,</w:t>
            </w:r>
            <w:r w:rsidR="002947D6" w:rsidRPr="002947D6">
              <w:rPr>
                <w:sz w:val="20"/>
              </w:rPr>
              <w:t>019</w:t>
            </w:r>
          </w:p>
        </w:tc>
        <w:tc>
          <w:tcPr>
            <w:tcW w:w="1612" w:type="dxa"/>
            <w:shd w:val="clear" w:color="auto" w:fill="auto"/>
          </w:tcPr>
          <w:p w:rsidR="002A6C30" w:rsidRPr="00320422" w:rsidRDefault="002A6C30" w:rsidP="00C22F02">
            <w:pPr>
              <w:jc w:val="right"/>
              <w:rPr>
                <w:rFonts w:cs="Arial"/>
                <w:sz w:val="20"/>
              </w:rPr>
            </w:pPr>
            <w:r>
              <w:rPr>
                <w:rFonts w:cs="Arial"/>
                <w:sz w:val="20"/>
              </w:rPr>
              <w:t>18,926</w:t>
            </w:r>
          </w:p>
        </w:tc>
        <w:tc>
          <w:tcPr>
            <w:tcW w:w="1614" w:type="dxa"/>
            <w:shd w:val="clear" w:color="auto" w:fill="auto"/>
          </w:tcPr>
          <w:p w:rsidR="002A6C30" w:rsidRPr="002A6C30" w:rsidRDefault="002A6C30" w:rsidP="002947D6">
            <w:pPr>
              <w:jc w:val="right"/>
              <w:rPr>
                <w:rFonts w:cs="Arial"/>
                <w:sz w:val="20"/>
                <w:highlight w:val="yellow"/>
              </w:rPr>
            </w:pPr>
            <w:r w:rsidRPr="002947D6">
              <w:rPr>
                <w:rFonts w:cs="Arial"/>
                <w:sz w:val="20"/>
              </w:rPr>
              <w:t>153,</w:t>
            </w:r>
            <w:r w:rsidR="002947D6" w:rsidRPr="002947D6">
              <w:rPr>
                <w:rFonts w:cs="Arial"/>
                <w:sz w:val="20"/>
              </w:rPr>
              <w:t>945</w:t>
            </w:r>
          </w:p>
        </w:tc>
      </w:tr>
      <w:tr w:rsidR="002A6C30" w:rsidRPr="00D72DD9" w:rsidTr="00A250F7">
        <w:tc>
          <w:tcPr>
            <w:tcW w:w="2976" w:type="dxa"/>
            <w:shd w:val="clear" w:color="auto" w:fill="auto"/>
          </w:tcPr>
          <w:p w:rsidR="002A6C30" w:rsidRPr="001005AE" w:rsidRDefault="002A6C30" w:rsidP="00C22F02">
            <w:pPr>
              <w:tabs>
                <w:tab w:val="left" w:pos="720"/>
                <w:tab w:val="right" w:pos="7920"/>
              </w:tabs>
              <w:rPr>
                <w:sz w:val="20"/>
              </w:rPr>
            </w:pPr>
            <w:r w:rsidRPr="001005AE">
              <w:rPr>
                <w:sz w:val="20"/>
              </w:rPr>
              <w:t xml:space="preserve">Director of Strategy &amp; Planning – David Russel </w:t>
            </w:r>
          </w:p>
        </w:tc>
        <w:tc>
          <w:tcPr>
            <w:tcW w:w="1026" w:type="dxa"/>
            <w:shd w:val="clear" w:color="auto" w:fill="auto"/>
          </w:tcPr>
          <w:p w:rsidR="002A6C30" w:rsidRPr="00523689" w:rsidRDefault="002A6C30" w:rsidP="00C22F02">
            <w:pPr>
              <w:tabs>
                <w:tab w:val="left" w:pos="1168"/>
                <w:tab w:val="right" w:pos="7920"/>
              </w:tabs>
              <w:jc w:val="right"/>
              <w:rPr>
                <w:sz w:val="20"/>
              </w:rPr>
            </w:pPr>
            <w:r>
              <w:rPr>
                <w:sz w:val="20"/>
              </w:rPr>
              <w:t>124,563</w:t>
            </w:r>
          </w:p>
        </w:tc>
        <w:tc>
          <w:tcPr>
            <w:tcW w:w="1329" w:type="dxa"/>
            <w:shd w:val="clear" w:color="auto" w:fill="auto"/>
          </w:tcPr>
          <w:p w:rsidR="002A6C30" w:rsidRPr="002947D6" w:rsidRDefault="002947D6" w:rsidP="00C22F02">
            <w:pPr>
              <w:tabs>
                <w:tab w:val="left" w:pos="720"/>
                <w:tab w:val="right" w:pos="7920"/>
              </w:tabs>
              <w:jc w:val="right"/>
              <w:rPr>
                <w:sz w:val="20"/>
              </w:rPr>
            </w:pPr>
            <w:r w:rsidRPr="002947D6">
              <w:rPr>
                <w:sz w:val="20"/>
              </w:rPr>
              <w:t>3,710</w:t>
            </w:r>
          </w:p>
        </w:tc>
        <w:tc>
          <w:tcPr>
            <w:tcW w:w="1648" w:type="dxa"/>
            <w:shd w:val="clear" w:color="auto" w:fill="auto"/>
          </w:tcPr>
          <w:p w:rsidR="002A6C30" w:rsidRPr="002A6C30" w:rsidRDefault="002A6C30" w:rsidP="002947D6">
            <w:pPr>
              <w:tabs>
                <w:tab w:val="left" w:pos="720"/>
                <w:tab w:val="right" w:pos="7920"/>
              </w:tabs>
              <w:jc w:val="right"/>
              <w:rPr>
                <w:sz w:val="20"/>
                <w:highlight w:val="yellow"/>
              </w:rPr>
            </w:pPr>
            <w:r w:rsidRPr="002947D6">
              <w:rPr>
                <w:sz w:val="20"/>
              </w:rPr>
              <w:t>12</w:t>
            </w:r>
            <w:r w:rsidR="002947D6" w:rsidRPr="002947D6">
              <w:rPr>
                <w:sz w:val="20"/>
              </w:rPr>
              <w:t>8</w:t>
            </w:r>
            <w:r w:rsidRPr="002947D6">
              <w:rPr>
                <w:sz w:val="20"/>
              </w:rPr>
              <w:t>,2</w:t>
            </w:r>
            <w:r w:rsidR="002947D6" w:rsidRPr="002947D6">
              <w:rPr>
                <w:sz w:val="20"/>
              </w:rPr>
              <w:t>73</w:t>
            </w:r>
          </w:p>
        </w:tc>
        <w:tc>
          <w:tcPr>
            <w:tcW w:w="1612" w:type="dxa"/>
            <w:shd w:val="clear" w:color="auto" w:fill="auto"/>
          </w:tcPr>
          <w:p w:rsidR="002A6C30" w:rsidRPr="00320422" w:rsidRDefault="002A6C30" w:rsidP="00C22F02">
            <w:pPr>
              <w:jc w:val="right"/>
              <w:rPr>
                <w:rFonts w:cs="Arial"/>
                <w:sz w:val="20"/>
              </w:rPr>
            </w:pPr>
            <w:r>
              <w:rPr>
                <w:rFonts w:cs="Arial"/>
                <w:sz w:val="20"/>
              </w:rPr>
              <w:t>17,813</w:t>
            </w:r>
          </w:p>
        </w:tc>
        <w:tc>
          <w:tcPr>
            <w:tcW w:w="1614" w:type="dxa"/>
            <w:shd w:val="clear" w:color="auto" w:fill="auto"/>
          </w:tcPr>
          <w:p w:rsidR="002A6C30" w:rsidRPr="002A6C30" w:rsidRDefault="002A6C30" w:rsidP="002947D6">
            <w:pPr>
              <w:jc w:val="right"/>
              <w:rPr>
                <w:rFonts w:cs="Arial"/>
                <w:sz w:val="20"/>
                <w:highlight w:val="yellow"/>
              </w:rPr>
            </w:pPr>
            <w:r w:rsidRPr="002947D6">
              <w:rPr>
                <w:rFonts w:cs="Arial"/>
                <w:sz w:val="20"/>
              </w:rPr>
              <w:t>14</w:t>
            </w:r>
            <w:r w:rsidR="002947D6" w:rsidRPr="002947D6">
              <w:rPr>
                <w:rFonts w:cs="Arial"/>
                <w:sz w:val="20"/>
              </w:rPr>
              <w:t>6</w:t>
            </w:r>
            <w:r w:rsidRPr="002947D6">
              <w:rPr>
                <w:rFonts w:cs="Arial"/>
                <w:sz w:val="20"/>
              </w:rPr>
              <w:t>,0</w:t>
            </w:r>
            <w:r w:rsidR="002947D6" w:rsidRPr="002947D6">
              <w:rPr>
                <w:rFonts w:cs="Arial"/>
                <w:sz w:val="20"/>
              </w:rPr>
              <w:t>86</w:t>
            </w:r>
          </w:p>
        </w:tc>
      </w:tr>
      <w:tr w:rsidR="002A6C30" w:rsidRPr="00D72DD9" w:rsidTr="00A250F7">
        <w:tc>
          <w:tcPr>
            <w:tcW w:w="2976" w:type="dxa"/>
            <w:shd w:val="clear" w:color="auto" w:fill="auto"/>
          </w:tcPr>
          <w:p w:rsidR="002A6C30" w:rsidRPr="001005AE" w:rsidRDefault="002A6C30" w:rsidP="00C22F02">
            <w:pPr>
              <w:tabs>
                <w:tab w:val="left" w:pos="720"/>
                <w:tab w:val="right" w:pos="7920"/>
              </w:tabs>
              <w:rPr>
                <w:sz w:val="20"/>
              </w:rPr>
            </w:pPr>
            <w:r w:rsidRPr="001005AE">
              <w:rPr>
                <w:sz w:val="20"/>
              </w:rPr>
              <w:t>Director of People &amp; Development – Robert Warren</w:t>
            </w:r>
          </w:p>
        </w:tc>
        <w:tc>
          <w:tcPr>
            <w:tcW w:w="1026" w:type="dxa"/>
            <w:shd w:val="clear" w:color="auto" w:fill="auto"/>
          </w:tcPr>
          <w:p w:rsidR="002A6C30" w:rsidRPr="00523689" w:rsidRDefault="002A6C30" w:rsidP="00C22F02">
            <w:pPr>
              <w:tabs>
                <w:tab w:val="left" w:pos="1168"/>
                <w:tab w:val="right" w:pos="7920"/>
              </w:tabs>
              <w:jc w:val="right"/>
              <w:rPr>
                <w:sz w:val="20"/>
              </w:rPr>
            </w:pPr>
            <w:r>
              <w:rPr>
                <w:sz w:val="20"/>
              </w:rPr>
              <w:t>99,651</w:t>
            </w:r>
          </w:p>
        </w:tc>
        <w:tc>
          <w:tcPr>
            <w:tcW w:w="1329" w:type="dxa"/>
            <w:shd w:val="clear" w:color="auto" w:fill="auto"/>
          </w:tcPr>
          <w:p w:rsidR="002A6C30" w:rsidRPr="002947D6" w:rsidRDefault="002A6C30" w:rsidP="00C22F02">
            <w:pPr>
              <w:tabs>
                <w:tab w:val="left" w:pos="720"/>
                <w:tab w:val="right" w:pos="7920"/>
              </w:tabs>
              <w:jc w:val="right"/>
              <w:rPr>
                <w:sz w:val="20"/>
              </w:rPr>
            </w:pPr>
            <w:r w:rsidRPr="002947D6">
              <w:rPr>
                <w:sz w:val="20"/>
              </w:rPr>
              <w:t>-</w:t>
            </w:r>
          </w:p>
        </w:tc>
        <w:tc>
          <w:tcPr>
            <w:tcW w:w="1648" w:type="dxa"/>
            <w:shd w:val="clear" w:color="auto" w:fill="auto"/>
          </w:tcPr>
          <w:p w:rsidR="002A6C30" w:rsidRPr="002947D6" w:rsidRDefault="002A6C30" w:rsidP="00C22F02">
            <w:pPr>
              <w:tabs>
                <w:tab w:val="left" w:pos="1168"/>
                <w:tab w:val="right" w:pos="7920"/>
              </w:tabs>
              <w:jc w:val="right"/>
              <w:rPr>
                <w:sz w:val="20"/>
              </w:rPr>
            </w:pPr>
            <w:r w:rsidRPr="002947D6">
              <w:rPr>
                <w:sz w:val="20"/>
              </w:rPr>
              <w:t>99,651</w:t>
            </w:r>
          </w:p>
        </w:tc>
        <w:tc>
          <w:tcPr>
            <w:tcW w:w="1612" w:type="dxa"/>
            <w:shd w:val="clear" w:color="auto" w:fill="auto"/>
          </w:tcPr>
          <w:p w:rsidR="002A6C30" w:rsidRPr="00320422" w:rsidRDefault="002A6C30" w:rsidP="00C22F02">
            <w:pPr>
              <w:jc w:val="right"/>
              <w:rPr>
                <w:rFonts w:cs="Arial"/>
                <w:sz w:val="20"/>
              </w:rPr>
            </w:pPr>
            <w:r>
              <w:rPr>
                <w:rFonts w:cs="Arial"/>
                <w:sz w:val="20"/>
              </w:rPr>
              <w:t>12,755</w:t>
            </w:r>
          </w:p>
        </w:tc>
        <w:tc>
          <w:tcPr>
            <w:tcW w:w="1614" w:type="dxa"/>
            <w:shd w:val="clear" w:color="auto" w:fill="auto"/>
          </w:tcPr>
          <w:p w:rsidR="002A6C30" w:rsidRPr="002A6C30" w:rsidRDefault="002A6C30" w:rsidP="00C22F02">
            <w:pPr>
              <w:jc w:val="right"/>
              <w:rPr>
                <w:rFonts w:cs="Arial"/>
                <w:sz w:val="20"/>
                <w:highlight w:val="yellow"/>
              </w:rPr>
            </w:pPr>
            <w:r w:rsidRPr="002947D6">
              <w:rPr>
                <w:rFonts w:cs="Arial"/>
                <w:sz w:val="20"/>
              </w:rPr>
              <w:t>112,406</w:t>
            </w:r>
          </w:p>
        </w:tc>
      </w:tr>
      <w:tr w:rsidR="002A6C30" w:rsidRPr="00D72DD9" w:rsidTr="00A250F7">
        <w:tc>
          <w:tcPr>
            <w:tcW w:w="2976" w:type="dxa"/>
            <w:shd w:val="clear" w:color="auto" w:fill="auto"/>
          </w:tcPr>
          <w:p w:rsidR="002A6C30" w:rsidRPr="001005AE" w:rsidRDefault="002A6C30" w:rsidP="00C22F02">
            <w:pPr>
              <w:pStyle w:val="CommentText"/>
              <w:tabs>
                <w:tab w:val="left" w:pos="720"/>
                <w:tab w:val="right" w:pos="7920"/>
              </w:tabs>
            </w:pPr>
            <w:r w:rsidRPr="001005AE">
              <w:t>Director of Corporate Services – Keith Mattinson</w:t>
            </w:r>
          </w:p>
        </w:tc>
        <w:tc>
          <w:tcPr>
            <w:tcW w:w="1026" w:type="dxa"/>
            <w:shd w:val="clear" w:color="auto" w:fill="auto"/>
          </w:tcPr>
          <w:p w:rsidR="002A6C30" w:rsidRPr="00523689" w:rsidRDefault="002A6C30" w:rsidP="00C22F02">
            <w:pPr>
              <w:tabs>
                <w:tab w:val="left" w:pos="1168"/>
                <w:tab w:val="right" w:pos="7920"/>
              </w:tabs>
              <w:jc w:val="right"/>
              <w:rPr>
                <w:sz w:val="20"/>
              </w:rPr>
            </w:pPr>
            <w:r>
              <w:rPr>
                <w:sz w:val="20"/>
              </w:rPr>
              <w:t>99,651</w:t>
            </w:r>
          </w:p>
        </w:tc>
        <w:tc>
          <w:tcPr>
            <w:tcW w:w="1329" w:type="dxa"/>
            <w:shd w:val="clear" w:color="auto" w:fill="auto"/>
          </w:tcPr>
          <w:p w:rsidR="002A6C30" w:rsidRPr="002947D6" w:rsidRDefault="002947D6" w:rsidP="00C22F02">
            <w:pPr>
              <w:tabs>
                <w:tab w:val="left" w:pos="720"/>
                <w:tab w:val="right" w:pos="7920"/>
              </w:tabs>
              <w:jc w:val="right"/>
              <w:rPr>
                <w:sz w:val="20"/>
              </w:rPr>
            </w:pPr>
            <w:r w:rsidRPr="002947D6">
              <w:rPr>
                <w:sz w:val="20"/>
              </w:rPr>
              <w:t>-</w:t>
            </w:r>
          </w:p>
        </w:tc>
        <w:tc>
          <w:tcPr>
            <w:tcW w:w="1648" w:type="dxa"/>
            <w:shd w:val="clear" w:color="auto" w:fill="auto"/>
          </w:tcPr>
          <w:p w:rsidR="002A6C30" w:rsidRPr="002947D6" w:rsidRDefault="002A6C30" w:rsidP="002947D6">
            <w:pPr>
              <w:tabs>
                <w:tab w:val="left" w:pos="720"/>
                <w:tab w:val="right" w:pos="7920"/>
              </w:tabs>
              <w:jc w:val="right"/>
              <w:rPr>
                <w:sz w:val="20"/>
              </w:rPr>
            </w:pPr>
            <w:r w:rsidRPr="002947D6">
              <w:rPr>
                <w:sz w:val="20"/>
              </w:rPr>
              <w:t>99,</w:t>
            </w:r>
            <w:r w:rsidR="002947D6" w:rsidRPr="002947D6">
              <w:rPr>
                <w:sz w:val="20"/>
              </w:rPr>
              <w:t>651</w:t>
            </w:r>
          </w:p>
        </w:tc>
        <w:tc>
          <w:tcPr>
            <w:tcW w:w="1612" w:type="dxa"/>
            <w:shd w:val="clear" w:color="auto" w:fill="auto"/>
          </w:tcPr>
          <w:p w:rsidR="002A6C30" w:rsidRPr="00320422" w:rsidRDefault="002A6C30" w:rsidP="00C22F02">
            <w:pPr>
              <w:jc w:val="right"/>
              <w:rPr>
                <w:rFonts w:cs="Arial"/>
                <w:sz w:val="20"/>
              </w:rPr>
            </w:pPr>
            <w:r>
              <w:rPr>
                <w:rFonts w:cs="Arial"/>
                <w:sz w:val="20"/>
              </w:rPr>
              <w:t>12,755</w:t>
            </w:r>
          </w:p>
        </w:tc>
        <w:tc>
          <w:tcPr>
            <w:tcW w:w="1614" w:type="dxa"/>
            <w:shd w:val="clear" w:color="auto" w:fill="auto"/>
          </w:tcPr>
          <w:p w:rsidR="002A6C30" w:rsidRPr="002A6C30" w:rsidRDefault="002947D6" w:rsidP="00C22F02">
            <w:pPr>
              <w:jc w:val="right"/>
              <w:rPr>
                <w:rFonts w:cs="Arial"/>
                <w:sz w:val="20"/>
                <w:highlight w:val="yellow"/>
              </w:rPr>
            </w:pPr>
            <w:r w:rsidRPr="002947D6">
              <w:rPr>
                <w:rFonts w:cs="Arial"/>
                <w:sz w:val="20"/>
              </w:rPr>
              <w:t>112,406</w:t>
            </w:r>
          </w:p>
        </w:tc>
      </w:tr>
      <w:tr w:rsidR="002A6C30" w:rsidRPr="002947D6" w:rsidTr="00A250F7">
        <w:tc>
          <w:tcPr>
            <w:tcW w:w="2976" w:type="dxa"/>
            <w:shd w:val="clear" w:color="auto" w:fill="auto"/>
          </w:tcPr>
          <w:p w:rsidR="002A6C30" w:rsidRPr="00DC5C97" w:rsidRDefault="002A6C30" w:rsidP="00C22F02">
            <w:pPr>
              <w:tabs>
                <w:tab w:val="left" w:pos="720"/>
                <w:tab w:val="right" w:pos="7920"/>
              </w:tabs>
              <w:rPr>
                <w:sz w:val="20"/>
                <w:highlight w:val="yellow"/>
              </w:rPr>
            </w:pPr>
          </w:p>
        </w:tc>
        <w:tc>
          <w:tcPr>
            <w:tcW w:w="1026" w:type="dxa"/>
            <w:tcBorders>
              <w:top w:val="single" w:sz="4" w:space="0" w:color="auto"/>
              <w:bottom w:val="double" w:sz="4" w:space="0" w:color="auto"/>
            </w:tcBorders>
            <w:shd w:val="clear" w:color="auto" w:fill="auto"/>
          </w:tcPr>
          <w:p w:rsidR="002A6C30" w:rsidRPr="00523689" w:rsidRDefault="002A6C30" w:rsidP="00C22F02">
            <w:pPr>
              <w:tabs>
                <w:tab w:val="left" w:pos="1168"/>
                <w:tab w:val="right" w:pos="7920"/>
              </w:tabs>
              <w:jc w:val="right"/>
              <w:rPr>
                <w:sz w:val="20"/>
              </w:rPr>
            </w:pPr>
            <w:r>
              <w:rPr>
                <w:sz w:val="20"/>
              </w:rPr>
              <w:t>611,917</w:t>
            </w:r>
          </w:p>
        </w:tc>
        <w:tc>
          <w:tcPr>
            <w:tcW w:w="1329" w:type="dxa"/>
            <w:tcBorders>
              <w:top w:val="single" w:sz="4" w:space="0" w:color="auto"/>
              <w:bottom w:val="double" w:sz="4" w:space="0" w:color="auto"/>
            </w:tcBorders>
            <w:shd w:val="clear" w:color="auto" w:fill="auto"/>
          </w:tcPr>
          <w:p w:rsidR="002A6C30" w:rsidRPr="002947D6" w:rsidRDefault="002947D6" w:rsidP="00C22F02">
            <w:pPr>
              <w:tabs>
                <w:tab w:val="left" w:pos="720"/>
                <w:tab w:val="right" w:pos="7920"/>
              </w:tabs>
              <w:jc w:val="right"/>
              <w:rPr>
                <w:sz w:val="20"/>
              </w:rPr>
            </w:pPr>
            <w:r w:rsidRPr="002947D6">
              <w:rPr>
                <w:sz w:val="20"/>
              </w:rPr>
              <w:t>8,838</w:t>
            </w:r>
          </w:p>
        </w:tc>
        <w:tc>
          <w:tcPr>
            <w:tcW w:w="1648" w:type="dxa"/>
            <w:tcBorders>
              <w:top w:val="single" w:sz="4" w:space="0" w:color="auto"/>
              <w:bottom w:val="double" w:sz="4" w:space="0" w:color="auto"/>
            </w:tcBorders>
            <w:shd w:val="clear" w:color="auto" w:fill="auto"/>
          </w:tcPr>
          <w:p w:rsidR="002A6C30" w:rsidRPr="002A6C30" w:rsidRDefault="002947D6" w:rsidP="002947D6">
            <w:pPr>
              <w:tabs>
                <w:tab w:val="left" w:pos="720"/>
                <w:tab w:val="right" w:pos="7920"/>
              </w:tabs>
              <w:jc w:val="right"/>
              <w:rPr>
                <w:sz w:val="20"/>
                <w:highlight w:val="yellow"/>
              </w:rPr>
            </w:pPr>
            <w:r w:rsidRPr="002947D6">
              <w:rPr>
                <w:sz w:val="20"/>
              </w:rPr>
              <w:t>620</w:t>
            </w:r>
            <w:r w:rsidR="002A6C30" w:rsidRPr="002947D6">
              <w:rPr>
                <w:sz w:val="20"/>
              </w:rPr>
              <w:t>,</w:t>
            </w:r>
            <w:r w:rsidRPr="002947D6">
              <w:rPr>
                <w:sz w:val="20"/>
              </w:rPr>
              <w:t>757</w:t>
            </w:r>
          </w:p>
        </w:tc>
        <w:tc>
          <w:tcPr>
            <w:tcW w:w="1612" w:type="dxa"/>
            <w:tcBorders>
              <w:top w:val="single" w:sz="4" w:space="0" w:color="auto"/>
              <w:bottom w:val="double" w:sz="4" w:space="0" w:color="auto"/>
            </w:tcBorders>
            <w:shd w:val="clear" w:color="auto" w:fill="auto"/>
            <w:vAlign w:val="bottom"/>
          </w:tcPr>
          <w:p w:rsidR="002A6C30" w:rsidRPr="00320422" w:rsidRDefault="002A6C30" w:rsidP="00C22F02">
            <w:pPr>
              <w:jc w:val="right"/>
              <w:rPr>
                <w:rFonts w:cs="Arial"/>
                <w:sz w:val="20"/>
              </w:rPr>
            </w:pPr>
            <w:r>
              <w:rPr>
                <w:rFonts w:cs="Arial"/>
                <w:sz w:val="20"/>
              </w:rPr>
              <w:t>96,037</w:t>
            </w:r>
          </w:p>
        </w:tc>
        <w:tc>
          <w:tcPr>
            <w:tcW w:w="1614" w:type="dxa"/>
            <w:tcBorders>
              <w:top w:val="single" w:sz="4" w:space="0" w:color="auto"/>
              <w:bottom w:val="double" w:sz="4" w:space="0" w:color="auto"/>
            </w:tcBorders>
            <w:shd w:val="clear" w:color="auto" w:fill="auto"/>
            <w:vAlign w:val="bottom"/>
          </w:tcPr>
          <w:p w:rsidR="002A6C30" w:rsidRPr="002947D6" w:rsidRDefault="002A6C30" w:rsidP="002947D6">
            <w:pPr>
              <w:jc w:val="right"/>
              <w:rPr>
                <w:rFonts w:cs="Arial"/>
                <w:sz w:val="20"/>
              </w:rPr>
            </w:pPr>
            <w:r w:rsidRPr="002947D6">
              <w:rPr>
                <w:rFonts w:cs="Arial"/>
                <w:sz w:val="20"/>
              </w:rPr>
              <w:t>71</w:t>
            </w:r>
            <w:r w:rsidR="002947D6" w:rsidRPr="002947D6">
              <w:rPr>
                <w:rFonts w:cs="Arial"/>
                <w:sz w:val="20"/>
              </w:rPr>
              <w:t>6</w:t>
            </w:r>
            <w:r w:rsidRPr="002947D6">
              <w:rPr>
                <w:rFonts w:cs="Arial"/>
                <w:sz w:val="20"/>
              </w:rPr>
              <w:t>,</w:t>
            </w:r>
            <w:r w:rsidR="002947D6" w:rsidRPr="002947D6">
              <w:rPr>
                <w:rFonts w:cs="Arial"/>
                <w:sz w:val="20"/>
              </w:rPr>
              <w:t>794</w:t>
            </w:r>
          </w:p>
        </w:tc>
      </w:tr>
    </w:tbl>
    <w:p w:rsidR="004A2156" w:rsidRDefault="004A2156" w:rsidP="00DC5C97">
      <w:pPr>
        <w:tabs>
          <w:tab w:val="left" w:pos="720"/>
          <w:tab w:val="right" w:pos="7920"/>
        </w:tabs>
        <w:ind w:left="426"/>
        <w:rPr>
          <w:sz w:val="22"/>
          <w:highlight w:val="cyan"/>
        </w:rPr>
      </w:pPr>
    </w:p>
    <w:p w:rsidR="00B75118" w:rsidRPr="00B75118" w:rsidRDefault="00B75118" w:rsidP="00DC5C97">
      <w:pPr>
        <w:tabs>
          <w:tab w:val="left" w:pos="720"/>
          <w:tab w:val="right" w:pos="7920"/>
        </w:tabs>
        <w:ind w:left="426"/>
        <w:rPr>
          <w:sz w:val="22"/>
        </w:rPr>
      </w:pPr>
      <w:r w:rsidRPr="00B75118">
        <w:rPr>
          <w:sz w:val="22"/>
        </w:rPr>
        <w:t>* The 201</w:t>
      </w:r>
      <w:r w:rsidR="002A6C30">
        <w:rPr>
          <w:sz w:val="22"/>
        </w:rPr>
        <w:t>6</w:t>
      </w:r>
      <w:r w:rsidRPr="00B75118">
        <w:rPr>
          <w:sz w:val="22"/>
        </w:rPr>
        <w:t>/1</w:t>
      </w:r>
      <w:r w:rsidR="002A6C30">
        <w:rPr>
          <w:sz w:val="22"/>
        </w:rPr>
        <w:t>7</w:t>
      </w:r>
      <w:r w:rsidRPr="00B75118">
        <w:rPr>
          <w:sz w:val="22"/>
        </w:rPr>
        <w:t xml:space="preserve"> allowances have been restated to include the actual amounts reported </w:t>
      </w:r>
      <w:r>
        <w:rPr>
          <w:sz w:val="22"/>
        </w:rPr>
        <w:t>to HMRC as taxable benefits since the approval of the 201</w:t>
      </w:r>
      <w:r w:rsidR="002A6C30">
        <w:rPr>
          <w:sz w:val="22"/>
        </w:rPr>
        <w:t>6</w:t>
      </w:r>
      <w:r>
        <w:rPr>
          <w:sz w:val="22"/>
        </w:rPr>
        <w:t>/1</w:t>
      </w:r>
      <w:r w:rsidR="002A6C30">
        <w:rPr>
          <w:sz w:val="22"/>
        </w:rPr>
        <w:t>7</w:t>
      </w:r>
      <w:r>
        <w:rPr>
          <w:sz w:val="22"/>
        </w:rPr>
        <w:t xml:space="preserve"> Statement of Accounts.</w:t>
      </w:r>
    </w:p>
    <w:p w:rsidR="00B75118" w:rsidRDefault="00B75118" w:rsidP="00DC5C97">
      <w:pPr>
        <w:tabs>
          <w:tab w:val="left" w:pos="720"/>
          <w:tab w:val="right" w:pos="7920"/>
        </w:tabs>
        <w:ind w:left="426"/>
        <w:rPr>
          <w:sz w:val="22"/>
          <w:highlight w:val="cyan"/>
        </w:rPr>
      </w:pPr>
    </w:p>
    <w:p w:rsidR="00595C0D" w:rsidRDefault="00595C0D">
      <w:pPr>
        <w:rPr>
          <w:b/>
          <w:sz w:val="22"/>
        </w:rPr>
      </w:pPr>
      <w:r>
        <w:rPr>
          <w:b/>
          <w:sz w:val="22"/>
        </w:rPr>
        <w:br w:type="page"/>
      </w:r>
    </w:p>
    <w:p w:rsidR="002035C7" w:rsidRDefault="002035C7" w:rsidP="002035C7">
      <w:pPr>
        <w:ind w:left="720"/>
        <w:jc w:val="both"/>
        <w:rPr>
          <w:b/>
          <w:sz w:val="22"/>
        </w:rPr>
      </w:pPr>
      <w:r>
        <w:rPr>
          <w:b/>
          <w:sz w:val="22"/>
        </w:rPr>
        <w:lastRenderedPageBreak/>
        <w:t>Exit Packages</w:t>
      </w:r>
    </w:p>
    <w:p w:rsidR="002035C7" w:rsidRDefault="002035C7" w:rsidP="002035C7">
      <w:pPr>
        <w:ind w:left="720"/>
        <w:jc w:val="both"/>
        <w:rPr>
          <w:sz w:val="22"/>
        </w:rPr>
      </w:pPr>
    </w:p>
    <w:p w:rsidR="002035C7" w:rsidRDefault="00470E03" w:rsidP="002035C7">
      <w:pPr>
        <w:ind w:left="720"/>
        <w:jc w:val="both"/>
        <w:rPr>
          <w:sz w:val="22"/>
        </w:rPr>
      </w:pPr>
      <w:r w:rsidRPr="00470E03">
        <w:rPr>
          <w:sz w:val="22"/>
        </w:rPr>
        <w:t xml:space="preserve">The number of exit packages with a total cost per band and total cost of </w:t>
      </w:r>
      <w:r w:rsidR="00E97866" w:rsidRPr="00E97866">
        <w:rPr>
          <w:sz w:val="22"/>
        </w:rPr>
        <w:t>voluntary</w:t>
      </w:r>
      <w:r w:rsidR="009807B3" w:rsidRPr="00E97866">
        <w:rPr>
          <w:sz w:val="22"/>
        </w:rPr>
        <w:t xml:space="preserve"> </w:t>
      </w:r>
      <w:r w:rsidRPr="00E97866">
        <w:rPr>
          <w:sz w:val="22"/>
        </w:rPr>
        <w:t>r</w:t>
      </w:r>
      <w:r w:rsidRPr="00470E03">
        <w:rPr>
          <w:sz w:val="22"/>
        </w:rPr>
        <w:t>edundancies are set out in the table below:</w:t>
      </w:r>
    </w:p>
    <w:p w:rsidR="00470E03" w:rsidRDefault="00470E03" w:rsidP="002035C7">
      <w:pPr>
        <w:ind w:left="720"/>
        <w:jc w:val="both"/>
        <w:rPr>
          <w:sz w:val="22"/>
        </w:rPr>
      </w:pPr>
    </w:p>
    <w:tbl>
      <w:tblPr>
        <w:tblW w:w="9923" w:type="dxa"/>
        <w:tblInd w:w="817" w:type="dxa"/>
        <w:tblLook w:val="01E0" w:firstRow="1" w:lastRow="1" w:firstColumn="1" w:lastColumn="1" w:noHBand="0" w:noVBand="0"/>
      </w:tblPr>
      <w:tblGrid>
        <w:gridCol w:w="3663"/>
        <w:gridCol w:w="1582"/>
        <w:gridCol w:w="1701"/>
        <w:gridCol w:w="1275"/>
        <w:gridCol w:w="1702"/>
      </w:tblGrid>
      <w:tr w:rsidR="008346F4" w:rsidRPr="00985667" w:rsidTr="00A250F7">
        <w:tc>
          <w:tcPr>
            <w:tcW w:w="3663" w:type="dxa"/>
            <w:shd w:val="clear" w:color="auto" w:fill="auto"/>
            <w:vAlign w:val="bottom"/>
          </w:tcPr>
          <w:p w:rsidR="008346F4" w:rsidRPr="00985667" w:rsidRDefault="008346F4">
            <w:pPr>
              <w:rPr>
                <w:rFonts w:cs="Arial"/>
                <w:sz w:val="22"/>
                <w:szCs w:val="22"/>
              </w:rPr>
            </w:pPr>
          </w:p>
        </w:tc>
        <w:tc>
          <w:tcPr>
            <w:tcW w:w="3283" w:type="dxa"/>
            <w:gridSpan w:val="2"/>
            <w:shd w:val="clear" w:color="auto" w:fill="auto"/>
            <w:vAlign w:val="bottom"/>
          </w:tcPr>
          <w:p w:rsidR="008346F4" w:rsidRPr="00985667" w:rsidRDefault="008346F4" w:rsidP="00282914">
            <w:pPr>
              <w:jc w:val="center"/>
              <w:rPr>
                <w:rFonts w:cs="Arial"/>
                <w:sz w:val="22"/>
                <w:szCs w:val="22"/>
              </w:rPr>
            </w:pPr>
            <w:r>
              <w:rPr>
                <w:rFonts w:cs="Arial"/>
                <w:sz w:val="22"/>
                <w:szCs w:val="22"/>
              </w:rPr>
              <w:t>201</w:t>
            </w:r>
            <w:r w:rsidR="00282914">
              <w:rPr>
                <w:rFonts w:cs="Arial"/>
                <w:sz w:val="22"/>
                <w:szCs w:val="22"/>
              </w:rPr>
              <w:t>7</w:t>
            </w:r>
            <w:r>
              <w:rPr>
                <w:rFonts w:cs="Arial"/>
                <w:sz w:val="22"/>
                <w:szCs w:val="22"/>
              </w:rPr>
              <w:t>/1</w:t>
            </w:r>
            <w:r w:rsidR="00282914">
              <w:rPr>
                <w:rFonts w:cs="Arial"/>
                <w:sz w:val="22"/>
                <w:szCs w:val="22"/>
              </w:rPr>
              <w:t>8</w:t>
            </w:r>
          </w:p>
        </w:tc>
        <w:tc>
          <w:tcPr>
            <w:tcW w:w="2977" w:type="dxa"/>
            <w:gridSpan w:val="2"/>
            <w:vAlign w:val="bottom"/>
          </w:tcPr>
          <w:p w:rsidR="008346F4" w:rsidRPr="00985667" w:rsidRDefault="00282914" w:rsidP="00812378">
            <w:pPr>
              <w:jc w:val="center"/>
              <w:rPr>
                <w:rFonts w:cs="Arial"/>
                <w:sz w:val="22"/>
                <w:szCs w:val="22"/>
              </w:rPr>
            </w:pPr>
            <w:r>
              <w:rPr>
                <w:rFonts w:cs="Arial"/>
                <w:sz w:val="22"/>
                <w:szCs w:val="22"/>
              </w:rPr>
              <w:t>2016/17</w:t>
            </w:r>
          </w:p>
        </w:tc>
      </w:tr>
      <w:tr w:rsidR="001E4146" w:rsidRPr="00985667" w:rsidTr="00A250F7">
        <w:tc>
          <w:tcPr>
            <w:tcW w:w="3663" w:type="dxa"/>
            <w:shd w:val="clear" w:color="auto" w:fill="auto"/>
            <w:vAlign w:val="bottom"/>
          </w:tcPr>
          <w:p w:rsidR="001E4146" w:rsidRPr="00985667" w:rsidRDefault="001E4146">
            <w:pPr>
              <w:rPr>
                <w:rFonts w:cs="Arial"/>
                <w:sz w:val="22"/>
                <w:szCs w:val="22"/>
              </w:rPr>
            </w:pPr>
            <w:r w:rsidRPr="00985667">
              <w:rPr>
                <w:rFonts w:cs="Arial"/>
                <w:sz w:val="22"/>
                <w:szCs w:val="22"/>
              </w:rPr>
              <w:t>Exit package cost band (including special payments)</w:t>
            </w:r>
          </w:p>
        </w:tc>
        <w:tc>
          <w:tcPr>
            <w:tcW w:w="1582" w:type="dxa"/>
            <w:shd w:val="clear" w:color="auto" w:fill="auto"/>
            <w:vAlign w:val="bottom"/>
          </w:tcPr>
          <w:p w:rsidR="001E4146" w:rsidRPr="00985667" w:rsidRDefault="001E4146" w:rsidP="00985667">
            <w:pPr>
              <w:jc w:val="center"/>
              <w:rPr>
                <w:rFonts w:cs="Arial"/>
                <w:sz w:val="22"/>
                <w:szCs w:val="22"/>
              </w:rPr>
            </w:pPr>
            <w:r w:rsidRPr="00985667">
              <w:rPr>
                <w:rFonts w:cs="Arial"/>
                <w:sz w:val="22"/>
                <w:szCs w:val="22"/>
              </w:rPr>
              <w:t>Number of departures agreed</w:t>
            </w:r>
          </w:p>
        </w:tc>
        <w:tc>
          <w:tcPr>
            <w:tcW w:w="1701" w:type="dxa"/>
            <w:shd w:val="clear" w:color="auto" w:fill="auto"/>
            <w:vAlign w:val="bottom"/>
          </w:tcPr>
          <w:p w:rsidR="001E4146" w:rsidRPr="00985667" w:rsidRDefault="001E4146" w:rsidP="00985667">
            <w:pPr>
              <w:jc w:val="center"/>
              <w:rPr>
                <w:rFonts w:cs="Arial"/>
                <w:sz w:val="22"/>
                <w:szCs w:val="22"/>
              </w:rPr>
            </w:pPr>
            <w:r w:rsidRPr="00985667">
              <w:rPr>
                <w:rFonts w:cs="Arial"/>
                <w:sz w:val="22"/>
                <w:szCs w:val="22"/>
              </w:rPr>
              <w:t>Total cost of exit packages in each band</w:t>
            </w:r>
          </w:p>
        </w:tc>
        <w:tc>
          <w:tcPr>
            <w:tcW w:w="1275" w:type="dxa"/>
            <w:vAlign w:val="bottom"/>
          </w:tcPr>
          <w:p w:rsidR="001E4146" w:rsidRPr="00985667" w:rsidRDefault="001E4146" w:rsidP="00355430">
            <w:pPr>
              <w:jc w:val="center"/>
              <w:rPr>
                <w:rFonts w:cs="Arial"/>
                <w:sz w:val="22"/>
                <w:szCs w:val="22"/>
              </w:rPr>
            </w:pPr>
            <w:r w:rsidRPr="00985667">
              <w:rPr>
                <w:rFonts w:cs="Arial"/>
                <w:sz w:val="22"/>
                <w:szCs w:val="22"/>
              </w:rPr>
              <w:t>Number of departures agreed</w:t>
            </w:r>
          </w:p>
        </w:tc>
        <w:tc>
          <w:tcPr>
            <w:tcW w:w="1702" w:type="dxa"/>
            <w:vAlign w:val="bottom"/>
          </w:tcPr>
          <w:p w:rsidR="001E4146" w:rsidRPr="00985667" w:rsidRDefault="001E4146" w:rsidP="00355430">
            <w:pPr>
              <w:jc w:val="center"/>
              <w:rPr>
                <w:rFonts w:cs="Arial"/>
                <w:sz w:val="22"/>
                <w:szCs w:val="22"/>
              </w:rPr>
            </w:pPr>
            <w:r w:rsidRPr="00985667">
              <w:rPr>
                <w:rFonts w:cs="Arial"/>
                <w:sz w:val="22"/>
                <w:szCs w:val="22"/>
              </w:rPr>
              <w:t>Total cost of exit packages in each band</w:t>
            </w:r>
          </w:p>
        </w:tc>
      </w:tr>
      <w:tr w:rsidR="001E4146" w:rsidRPr="00985667" w:rsidTr="00A250F7">
        <w:tc>
          <w:tcPr>
            <w:tcW w:w="3663" w:type="dxa"/>
            <w:shd w:val="clear" w:color="auto" w:fill="auto"/>
          </w:tcPr>
          <w:p w:rsidR="001E4146" w:rsidRPr="00985667" w:rsidRDefault="001E4146" w:rsidP="00985667">
            <w:pPr>
              <w:jc w:val="both"/>
              <w:rPr>
                <w:sz w:val="22"/>
                <w:szCs w:val="22"/>
              </w:rPr>
            </w:pPr>
          </w:p>
        </w:tc>
        <w:tc>
          <w:tcPr>
            <w:tcW w:w="1582" w:type="dxa"/>
            <w:shd w:val="clear" w:color="auto" w:fill="auto"/>
          </w:tcPr>
          <w:p w:rsidR="001E4146" w:rsidRPr="00985667" w:rsidRDefault="001E4146" w:rsidP="00985667">
            <w:pPr>
              <w:jc w:val="both"/>
              <w:rPr>
                <w:sz w:val="22"/>
                <w:szCs w:val="22"/>
              </w:rPr>
            </w:pPr>
          </w:p>
        </w:tc>
        <w:tc>
          <w:tcPr>
            <w:tcW w:w="1701" w:type="dxa"/>
            <w:shd w:val="clear" w:color="auto" w:fill="auto"/>
          </w:tcPr>
          <w:p w:rsidR="001E4146" w:rsidRPr="00985667" w:rsidRDefault="001E4146" w:rsidP="00985667">
            <w:pPr>
              <w:jc w:val="center"/>
              <w:rPr>
                <w:sz w:val="22"/>
                <w:szCs w:val="22"/>
              </w:rPr>
            </w:pPr>
            <w:r w:rsidRPr="00985667">
              <w:rPr>
                <w:sz w:val="22"/>
                <w:szCs w:val="22"/>
              </w:rPr>
              <w:t>£000</w:t>
            </w:r>
          </w:p>
        </w:tc>
        <w:tc>
          <w:tcPr>
            <w:tcW w:w="1275" w:type="dxa"/>
          </w:tcPr>
          <w:p w:rsidR="001E4146" w:rsidRPr="00985667" w:rsidRDefault="001E4146" w:rsidP="00355430">
            <w:pPr>
              <w:jc w:val="both"/>
              <w:rPr>
                <w:sz w:val="22"/>
                <w:szCs w:val="22"/>
              </w:rPr>
            </w:pPr>
          </w:p>
        </w:tc>
        <w:tc>
          <w:tcPr>
            <w:tcW w:w="1702" w:type="dxa"/>
          </w:tcPr>
          <w:p w:rsidR="001E4146" w:rsidRPr="00985667" w:rsidRDefault="001E4146" w:rsidP="00355430">
            <w:pPr>
              <w:jc w:val="center"/>
              <w:rPr>
                <w:sz w:val="22"/>
                <w:szCs w:val="22"/>
              </w:rPr>
            </w:pPr>
            <w:r w:rsidRPr="00985667">
              <w:rPr>
                <w:sz w:val="22"/>
                <w:szCs w:val="22"/>
              </w:rPr>
              <w:t>£000</w:t>
            </w:r>
          </w:p>
        </w:tc>
      </w:tr>
      <w:tr w:rsidR="001E4146" w:rsidRPr="00985667" w:rsidTr="00A250F7">
        <w:tc>
          <w:tcPr>
            <w:tcW w:w="3663" w:type="dxa"/>
            <w:shd w:val="clear" w:color="auto" w:fill="auto"/>
          </w:tcPr>
          <w:p w:rsidR="001E4146" w:rsidRPr="00985667" w:rsidRDefault="001E4146" w:rsidP="00985667">
            <w:pPr>
              <w:jc w:val="both"/>
              <w:rPr>
                <w:sz w:val="22"/>
                <w:szCs w:val="22"/>
              </w:rPr>
            </w:pPr>
          </w:p>
        </w:tc>
        <w:tc>
          <w:tcPr>
            <w:tcW w:w="1582" w:type="dxa"/>
            <w:shd w:val="clear" w:color="auto" w:fill="auto"/>
          </w:tcPr>
          <w:p w:rsidR="001E4146" w:rsidRPr="00985667" w:rsidRDefault="001E4146" w:rsidP="00985667">
            <w:pPr>
              <w:jc w:val="both"/>
              <w:rPr>
                <w:sz w:val="22"/>
                <w:szCs w:val="22"/>
              </w:rPr>
            </w:pPr>
          </w:p>
        </w:tc>
        <w:tc>
          <w:tcPr>
            <w:tcW w:w="1701" w:type="dxa"/>
            <w:shd w:val="clear" w:color="auto" w:fill="auto"/>
          </w:tcPr>
          <w:p w:rsidR="001E4146" w:rsidRPr="00985667" w:rsidRDefault="001E4146" w:rsidP="00985667">
            <w:pPr>
              <w:jc w:val="both"/>
              <w:rPr>
                <w:sz w:val="22"/>
                <w:szCs w:val="22"/>
              </w:rPr>
            </w:pPr>
          </w:p>
        </w:tc>
        <w:tc>
          <w:tcPr>
            <w:tcW w:w="1275" w:type="dxa"/>
          </w:tcPr>
          <w:p w:rsidR="001E4146" w:rsidRPr="00985667" w:rsidRDefault="001E4146" w:rsidP="00985667">
            <w:pPr>
              <w:jc w:val="both"/>
              <w:rPr>
                <w:sz w:val="22"/>
                <w:szCs w:val="22"/>
              </w:rPr>
            </w:pPr>
          </w:p>
        </w:tc>
        <w:tc>
          <w:tcPr>
            <w:tcW w:w="1702" w:type="dxa"/>
          </w:tcPr>
          <w:p w:rsidR="001E4146" w:rsidRPr="00985667" w:rsidRDefault="001E4146" w:rsidP="00985667">
            <w:pPr>
              <w:jc w:val="both"/>
              <w:rPr>
                <w:sz w:val="22"/>
                <w:szCs w:val="22"/>
              </w:rPr>
            </w:pPr>
          </w:p>
        </w:tc>
      </w:tr>
      <w:tr w:rsidR="00282914" w:rsidRPr="00985667" w:rsidTr="00A250F7">
        <w:tc>
          <w:tcPr>
            <w:tcW w:w="3663" w:type="dxa"/>
            <w:shd w:val="clear" w:color="auto" w:fill="auto"/>
            <w:vAlign w:val="bottom"/>
          </w:tcPr>
          <w:p w:rsidR="00282914" w:rsidRPr="00985667" w:rsidRDefault="00282914">
            <w:pPr>
              <w:rPr>
                <w:rFonts w:cs="Arial"/>
                <w:sz w:val="22"/>
                <w:szCs w:val="22"/>
              </w:rPr>
            </w:pPr>
            <w:r w:rsidRPr="00985667">
              <w:rPr>
                <w:rFonts w:cs="Arial"/>
                <w:sz w:val="22"/>
                <w:szCs w:val="22"/>
              </w:rPr>
              <w:t>£0 - £20,000</w:t>
            </w:r>
          </w:p>
        </w:tc>
        <w:tc>
          <w:tcPr>
            <w:tcW w:w="1582" w:type="dxa"/>
            <w:shd w:val="clear" w:color="auto" w:fill="auto"/>
            <w:vAlign w:val="bottom"/>
          </w:tcPr>
          <w:p w:rsidR="00282914" w:rsidRPr="008C7A4B" w:rsidRDefault="00282914" w:rsidP="001937A3">
            <w:pPr>
              <w:tabs>
                <w:tab w:val="decimal" w:pos="1049"/>
              </w:tabs>
              <w:rPr>
                <w:rFonts w:cs="Arial"/>
                <w:sz w:val="22"/>
                <w:szCs w:val="22"/>
              </w:rPr>
            </w:pPr>
            <w:r>
              <w:rPr>
                <w:rFonts w:cs="Arial"/>
                <w:sz w:val="22"/>
                <w:szCs w:val="22"/>
              </w:rPr>
              <w:t>-</w:t>
            </w:r>
          </w:p>
        </w:tc>
        <w:tc>
          <w:tcPr>
            <w:tcW w:w="1701" w:type="dxa"/>
            <w:shd w:val="clear" w:color="auto" w:fill="auto"/>
          </w:tcPr>
          <w:p w:rsidR="00282914" w:rsidRPr="008C7A4B" w:rsidRDefault="00282914" w:rsidP="00985667">
            <w:pPr>
              <w:tabs>
                <w:tab w:val="decimal" w:pos="1264"/>
              </w:tabs>
              <w:jc w:val="both"/>
              <w:rPr>
                <w:sz w:val="22"/>
                <w:szCs w:val="22"/>
              </w:rPr>
            </w:pPr>
            <w:r>
              <w:rPr>
                <w:sz w:val="22"/>
                <w:szCs w:val="22"/>
              </w:rPr>
              <w:t>-</w:t>
            </w:r>
          </w:p>
        </w:tc>
        <w:tc>
          <w:tcPr>
            <w:tcW w:w="1275" w:type="dxa"/>
            <w:vAlign w:val="bottom"/>
          </w:tcPr>
          <w:p w:rsidR="00282914" w:rsidRPr="008C7A4B" w:rsidRDefault="00282914" w:rsidP="00C22F02">
            <w:pPr>
              <w:tabs>
                <w:tab w:val="decimal" w:pos="1049"/>
              </w:tabs>
              <w:rPr>
                <w:rFonts w:cs="Arial"/>
                <w:sz w:val="22"/>
                <w:szCs w:val="22"/>
              </w:rPr>
            </w:pPr>
            <w:r>
              <w:rPr>
                <w:rFonts w:cs="Arial"/>
                <w:sz w:val="22"/>
                <w:szCs w:val="22"/>
              </w:rPr>
              <w:t>1</w:t>
            </w:r>
          </w:p>
        </w:tc>
        <w:tc>
          <w:tcPr>
            <w:tcW w:w="1702" w:type="dxa"/>
          </w:tcPr>
          <w:p w:rsidR="00282914" w:rsidRPr="008C7A4B" w:rsidRDefault="00282914" w:rsidP="00C22F02">
            <w:pPr>
              <w:tabs>
                <w:tab w:val="decimal" w:pos="1264"/>
              </w:tabs>
              <w:jc w:val="both"/>
              <w:rPr>
                <w:sz w:val="22"/>
                <w:szCs w:val="22"/>
              </w:rPr>
            </w:pPr>
            <w:r>
              <w:rPr>
                <w:sz w:val="22"/>
                <w:szCs w:val="22"/>
              </w:rPr>
              <w:t>7</w:t>
            </w:r>
          </w:p>
        </w:tc>
      </w:tr>
      <w:tr w:rsidR="00282914" w:rsidRPr="00985667" w:rsidTr="00A250F7">
        <w:tc>
          <w:tcPr>
            <w:tcW w:w="3663" w:type="dxa"/>
            <w:shd w:val="clear" w:color="auto" w:fill="auto"/>
            <w:vAlign w:val="bottom"/>
          </w:tcPr>
          <w:p w:rsidR="00282914" w:rsidRPr="00985667" w:rsidRDefault="00282914">
            <w:pPr>
              <w:rPr>
                <w:rFonts w:cs="Arial"/>
                <w:sz w:val="22"/>
                <w:szCs w:val="22"/>
              </w:rPr>
            </w:pPr>
            <w:r w:rsidRPr="00985667">
              <w:rPr>
                <w:rFonts w:cs="Arial"/>
                <w:sz w:val="22"/>
                <w:szCs w:val="22"/>
              </w:rPr>
              <w:t>£20,001 - £40,000</w:t>
            </w:r>
          </w:p>
        </w:tc>
        <w:tc>
          <w:tcPr>
            <w:tcW w:w="1582" w:type="dxa"/>
            <w:shd w:val="clear" w:color="auto" w:fill="auto"/>
            <w:vAlign w:val="bottom"/>
          </w:tcPr>
          <w:p w:rsidR="00282914" w:rsidRPr="008C7A4B" w:rsidRDefault="001B1222" w:rsidP="00584687">
            <w:pPr>
              <w:tabs>
                <w:tab w:val="decimal" w:pos="1049"/>
              </w:tabs>
              <w:rPr>
                <w:rFonts w:cs="Arial"/>
                <w:sz w:val="22"/>
                <w:szCs w:val="22"/>
              </w:rPr>
            </w:pPr>
            <w:r>
              <w:rPr>
                <w:rFonts w:cs="Arial"/>
                <w:sz w:val="22"/>
                <w:szCs w:val="22"/>
              </w:rPr>
              <w:t>1</w:t>
            </w:r>
          </w:p>
        </w:tc>
        <w:tc>
          <w:tcPr>
            <w:tcW w:w="1701" w:type="dxa"/>
            <w:shd w:val="clear" w:color="auto" w:fill="auto"/>
          </w:tcPr>
          <w:p w:rsidR="00282914" w:rsidRPr="008C7A4B" w:rsidRDefault="001B1222" w:rsidP="00584687">
            <w:pPr>
              <w:tabs>
                <w:tab w:val="decimal" w:pos="1264"/>
              </w:tabs>
              <w:jc w:val="both"/>
              <w:rPr>
                <w:sz w:val="22"/>
                <w:szCs w:val="22"/>
              </w:rPr>
            </w:pPr>
            <w:r>
              <w:rPr>
                <w:sz w:val="22"/>
                <w:szCs w:val="22"/>
              </w:rPr>
              <w:t>38</w:t>
            </w:r>
          </w:p>
        </w:tc>
        <w:tc>
          <w:tcPr>
            <w:tcW w:w="1275" w:type="dxa"/>
            <w:vAlign w:val="bottom"/>
          </w:tcPr>
          <w:p w:rsidR="00282914" w:rsidRPr="008C7A4B" w:rsidRDefault="00282914" w:rsidP="00C22F02">
            <w:pPr>
              <w:tabs>
                <w:tab w:val="decimal" w:pos="1049"/>
              </w:tabs>
              <w:rPr>
                <w:rFonts w:cs="Arial"/>
                <w:sz w:val="22"/>
                <w:szCs w:val="22"/>
              </w:rPr>
            </w:pPr>
            <w:r w:rsidRPr="008C7A4B">
              <w:rPr>
                <w:rFonts w:cs="Arial"/>
                <w:sz w:val="22"/>
                <w:szCs w:val="22"/>
              </w:rPr>
              <w:t>-</w:t>
            </w:r>
          </w:p>
        </w:tc>
        <w:tc>
          <w:tcPr>
            <w:tcW w:w="1702" w:type="dxa"/>
          </w:tcPr>
          <w:p w:rsidR="00282914" w:rsidRPr="008C7A4B" w:rsidRDefault="00282914" w:rsidP="00C22F02">
            <w:pPr>
              <w:tabs>
                <w:tab w:val="decimal" w:pos="1264"/>
              </w:tabs>
              <w:jc w:val="both"/>
              <w:rPr>
                <w:sz w:val="22"/>
                <w:szCs w:val="22"/>
              </w:rPr>
            </w:pPr>
            <w:r w:rsidRPr="008C7A4B">
              <w:rPr>
                <w:sz w:val="22"/>
                <w:szCs w:val="22"/>
              </w:rPr>
              <w:t>-</w:t>
            </w:r>
          </w:p>
        </w:tc>
      </w:tr>
      <w:tr w:rsidR="00282914" w:rsidRPr="00985667" w:rsidTr="00A250F7">
        <w:tc>
          <w:tcPr>
            <w:tcW w:w="3663" w:type="dxa"/>
            <w:shd w:val="clear" w:color="auto" w:fill="auto"/>
            <w:vAlign w:val="bottom"/>
          </w:tcPr>
          <w:p w:rsidR="00282914" w:rsidRPr="00985667" w:rsidRDefault="00282914">
            <w:pPr>
              <w:rPr>
                <w:rFonts w:cs="Arial"/>
                <w:sz w:val="22"/>
                <w:szCs w:val="22"/>
              </w:rPr>
            </w:pPr>
            <w:r w:rsidRPr="00985667">
              <w:rPr>
                <w:rFonts w:cs="Arial"/>
                <w:sz w:val="22"/>
                <w:szCs w:val="22"/>
              </w:rPr>
              <w:t>£40,001 - £60,000</w:t>
            </w:r>
          </w:p>
        </w:tc>
        <w:tc>
          <w:tcPr>
            <w:tcW w:w="1582" w:type="dxa"/>
            <w:shd w:val="clear" w:color="auto" w:fill="auto"/>
            <w:vAlign w:val="bottom"/>
          </w:tcPr>
          <w:p w:rsidR="00282914" w:rsidRPr="008C7A4B" w:rsidRDefault="00282914" w:rsidP="00584687">
            <w:pPr>
              <w:tabs>
                <w:tab w:val="decimal" w:pos="1049"/>
              </w:tabs>
              <w:rPr>
                <w:rFonts w:cs="Arial"/>
                <w:sz w:val="22"/>
                <w:szCs w:val="22"/>
              </w:rPr>
            </w:pPr>
            <w:r w:rsidRPr="008C7A4B">
              <w:rPr>
                <w:rFonts w:cs="Arial"/>
                <w:sz w:val="22"/>
                <w:szCs w:val="22"/>
              </w:rPr>
              <w:t>-</w:t>
            </w:r>
          </w:p>
        </w:tc>
        <w:tc>
          <w:tcPr>
            <w:tcW w:w="1701" w:type="dxa"/>
            <w:shd w:val="clear" w:color="auto" w:fill="auto"/>
          </w:tcPr>
          <w:p w:rsidR="00282914" w:rsidRPr="008C7A4B" w:rsidRDefault="00282914" w:rsidP="00584687">
            <w:pPr>
              <w:tabs>
                <w:tab w:val="decimal" w:pos="1264"/>
              </w:tabs>
              <w:jc w:val="both"/>
              <w:rPr>
                <w:sz w:val="22"/>
                <w:szCs w:val="22"/>
              </w:rPr>
            </w:pPr>
            <w:r w:rsidRPr="008C7A4B">
              <w:rPr>
                <w:sz w:val="22"/>
                <w:szCs w:val="22"/>
              </w:rPr>
              <w:t>-</w:t>
            </w:r>
          </w:p>
        </w:tc>
        <w:tc>
          <w:tcPr>
            <w:tcW w:w="1275" w:type="dxa"/>
            <w:vAlign w:val="bottom"/>
          </w:tcPr>
          <w:p w:rsidR="00282914" w:rsidRPr="008C7A4B" w:rsidRDefault="00282914" w:rsidP="00C22F02">
            <w:pPr>
              <w:tabs>
                <w:tab w:val="decimal" w:pos="1049"/>
              </w:tabs>
              <w:rPr>
                <w:rFonts w:cs="Arial"/>
                <w:sz w:val="22"/>
                <w:szCs w:val="22"/>
              </w:rPr>
            </w:pPr>
            <w:r w:rsidRPr="008C7A4B">
              <w:rPr>
                <w:rFonts w:cs="Arial"/>
                <w:sz w:val="22"/>
                <w:szCs w:val="22"/>
              </w:rPr>
              <w:t>-</w:t>
            </w:r>
          </w:p>
        </w:tc>
        <w:tc>
          <w:tcPr>
            <w:tcW w:w="1702" w:type="dxa"/>
          </w:tcPr>
          <w:p w:rsidR="00282914" w:rsidRPr="008C7A4B" w:rsidRDefault="00282914" w:rsidP="00C22F02">
            <w:pPr>
              <w:tabs>
                <w:tab w:val="decimal" w:pos="1264"/>
              </w:tabs>
              <w:jc w:val="both"/>
              <w:rPr>
                <w:sz w:val="22"/>
                <w:szCs w:val="22"/>
              </w:rPr>
            </w:pPr>
            <w:r w:rsidRPr="008C7A4B">
              <w:rPr>
                <w:sz w:val="22"/>
                <w:szCs w:val="22"/>
              </w:rPr>
              <w:t>-</w:t>
            </w:r>
          </w:p>
        </w:tc>
      </w:tr>
      <w:tr w:rsidR="00282914" w:rsidRPr="00985667" w:rsidTr="00A250F7">
        <w:tc>
          <w:tcPr>
            <w:tcW w:w="3663" w:type="dxa"/>
            <w:shd w:val="clear" w:color="auto" w:fill="auto"/>
            <w:vAlign w:val="bottom"/>
          </w:tcPr>
          <w:p w:rsidR="00282914" w:rsidRPr="00985667" w:rsidRDefault="00282914">
            <w:pPr>
              <w:rPr>
                <w:rFonts w:cs="Arial"/>
                <w:sz w:val="22"/>
                <w:szCs w:val="22"/>
              </w:rPr>
            </w:pPr>
          </w:p>
        </w:tc>
        <w:tc>
          <w:tcPr>
            <w:tcW w:w="1582" w:type="dxa"/>
            <w:tcBorders>
              <w:bottom w:val="single" w:sz="4" w:space="0" w:color="auto"/>
            </w:tcBorders>
            <w:shd w:val="clear" w:color="auto" w:fill="auto"/>
          </w:tcPr>
          <w:p w:rsidR="00282914" w:rsidRPr="008C7A4B" w:rsidRDefault="00282914" w:rsidP="001937A3">
            <w:pPr>
              <w:tabs>
                <w:tab w:val="decimal" w:pos="1049"/>
              </w:tabs>
              <w:rPr>
                <w:rFonts w:cs="Arial"/>
                <w:sz w:val="22"/>
                <w:szCs w:val="22"/>
              </w:rPr>
            </w:pPr>
          </w:p>
        </w:tc>
        <w:tc>
          <w:tcPr>
            <w:tcW w:w="1701" w:type="dxa"/>
            <w:tcBorders>
              <w:bottom w:val="single" w:sz="4" w:space="0" w:color="auto"/>
            </w:tcBorders>
            <w:shd w:val="clear" w:color="auto" w:fill="auto"/>
          </w:tcPr>
          <w:p w:rsidR="00282914" w:rsidRPr="008C7A4B" w:rsidRDefault="00282914" w:rsidP="00985667">
            <w:pPr>
              <w:tabs>
                <w:tab w:val="decimal" w:pos="1264"/>
              </w:tabs>
              <w:jc w:val="both"/>
              <w:rPr>
                <w:sz w:val="22"/>
                <w:szCs w:val="22"/>
              </w:rPr>
            </w:pPr>
          </w:p>
        </w:tc>
        <w:tc>
          <w:tcPr>
            <w:tcW w:w="1275" w:type="dxa"/>
            <w:tcBorders>
              <w:bottom w:val="single" w:sz="4" w:space="0" w:color="auto"/>
            </w:tcBorders>
          </w:tcPr>
          <w:p w:rsidR="00282914" w:rsidRPr="008C7A4B" w:rsidRDefault="00282914" w:rsidP="00C22F02">
            <w:pPr>
              <w:tabs>
                <w:tab w:val="decimal" w:pos="1049"/>
              </w:tabs>
              <w:rPr>
                <w:rFonts w:cs="Arial"/>
                <w:sz w:val="22"/>
                <w:szCs w:val="22"/>
              </w:rPr>
            </w:pPr>
          </w:p>
        </w:tc>
        <w:tc>
          <w:tcPr>
            <w:tcW w:w="1702" w:type="dxa"/>
            <w:tcBorders>
              <w:bottom w:val="single" w:sz="4" w:space="0" w:color="auto"/>
            </w:tcBorders>
          </w:tcPr>
          <w:p w:rsidR="00282914" w:rsidRPr="008C7A4B" w:rsidRDefault="00282914" w:rsidP="00C22F02">
            <w:pPr>
              <w:tabs>
                <w:tab w:val="decimal" w:pos="1264"/>
              </w:tabs>
              <w:jc w:val="both"/>
              <w:rPr>
                <w:sz w:val="22"/>
                <w:szCs w:val="22"/>
              </w:rPr>
            </w:pPr>
          </w:p>
        </w:tc>
      </w:tr>
      <w:tr w:rsidR="00282914" w:rsidRPr="00985667" w:rsidTr="00A250F7">
        <w:tc>
          <w:tcPr>
            <w:tcW w:w="3663" w:type="dxa"/>
            <w:shd w:val="clear" w:color="auto" w:fill="auto"/>
            <w:vAlign w:val="bottom"/>
          </w:tcPr>
          <w:p w:rsidR="00282914" w:rsidRPr="00985667" w:rsidRDefault="00282914">
            <w:pPr>
              <w:rPr>
                <w:rFonts w:cs="Arial"/>
                <w:bCs/>
                <w:sz w:val="22"/>
                <w:szCs w:val="22"/>
              </w:rPr>
            </w:pPr>
          </w:p>
        </w:tc>
        <w:tc>
          <w:tcPr>
            <w:tcW w:w="1582" w:type="dxa"/>
            <w:tcBorders>
              <w:top w:val="single" w:sz="4" w:space="0" w:color="auto"/>
              <w:bottom w:val="double" w:sz="4" w:space="0" w:color="auto"/>
            </w:tcBorders>
            <w:shd w:val="clear" w:color="auto" w:fill="auto"/>
          </w:tcPr>
          <w:p w:rsidR="00282914" w:rsidRPr="008C7A4B" w:rsidRDefault="001B1222" w:rsidP="001937A3">
            <w:pPr>
              <w:tabs>
                <w:tab w:val="decimal" w:pos="1049"/>
              </w:tabs>
              <w:rPr>
                <w:rFonts w:cs="Arial"/>
                <w:sz w:val="22"/>
                <w:szCs w:val="22"/>
              </w:rPr>
            </w:pPr>
            <w:r>
              <w:rPr>
                <w:rFonts w:cs="Arial"/>
                <w:sz w:val="22"/>
                <w:szCs w:val="22"/>
              </w:rPr>
              <w:t>1</w:t>
            </w:r>
          </w:p>
        </w:tc>
        <w:tc>
          <w:tcPr>
            <w:tcW w:w="1701" w:type="dxa"/>
            <w:tcBorders>
              <w:top w:val="single" w:sz="4" w:space="0" w:color="auto"/>
              <w:bottom w:val="double" w:sz="4" w:space="0" w:color="auto"/>
            </w:tcBorders>
            <w:shd w:val="clear" w:color="auto" w:fill="auto"/>
          </w:tcPr>
          <w:p w:rsidR="00282914" w:rsidRPr="008C7A4B" w:rsidRDefault="001B1222" w:rsidP="00985667">
            <w:pPr>
              <w:tabs>
                <w:tab w:val="decimal" w:pos="1264"/>
              </w:tabs>
              <w:jc w:val="both"/>
              <w:rPr>
                <w:sz w:val="22"/>
                <w:szCs w:val="22"/>
              </w:rPr>
            </w:pPr>
            <w:r>
              <w:rPr>
                <w:sz w:val="22"/>
                <w:szCs w:val="22"/>
              </w:rPr>
              <w:t>38</w:t>
            </w:r>
          </w:p>
        </w:tc>
        <w:tc>
          <w:tcPr>
            <w:tcW w:w="1275" w:type="dxa"/>
            <w:tcBorders>
              <w:top w:val="single" w:sz="4" w:space="0" w:color="auto"/>
              <w:bottom w:val="double" w:sz="4" w:space="0" w:color="auto"/>
            </w:tcBorders>
          </w:tcPr>
          <w:p w:rsidR="00282914" w:rsidRPr="008C7A4B" w:rsidRDefault="00282914" w:rsidP="00C22F02">
            <w:pPr>
              <w:tabs>
                <w:tab w:val="decimal" w:pos="1049"/>
              </w:tabs>
              <w:rPr>
                <w:rFonts w:cs="Arial"/>
                <w:sz w:val="22"/>
                <w:szCs w:val="22"/>
              </w:rPr>
            </w:pPr>
            <w:r>
              <w:rPr>
                <w:rFonts w:cs="Arial"/>
                <w:sz w:val="22"/>
                <w:szCs w:val="22"/>
              </w:rPr>
              <w:t>1</w:t>
            </w:r>
          </w:p>
        </w:tc>
        <w:tc>
          <w:tcPr>
            <w:tcW w:w="1702" w:type="dxa"/>
            <w:tcBorders>
              <w:top w:val="single" w:sz="4" w:space="0" w:color="auto"/>
              <w:bottom w:val="double" w:sz="4" w:space="0" w:color="auto"/>
            </w:tcBorders>
          </w:tcPr>
          <w:p w:rsidR="00282914" w:rsidRPr="008C7A4B" w:rsidRDefault="00282914" w:rsidP="00C22F02">
            <w:pPr>
              <w:tabs>
                <w:tab w:val="decimal" w:pos="1264"/>
              </w:tabs>
              <w:jc w:val="both"/>
              <w:rPr>
                <w:sz w:val="22"/>
                <w:szCs w:val="22"/>
              </w:rPr>
            </w:pPr>
            <w:r>
              <w:rPr>
                <w:sz w:val="22"/>
                <w:szCs w:val="22"/>
              </w:rPr>
              <w:t>7</w:t>
            </w:r>
          </w:p>
        </w:tc>
      </w:tr>
    </w:tbl>
    <w:p w:rsidR="002035C7" w:rsidRDefault="002035C7" w:rsidP="00D90216">
      <w:pPr>
        <w:jc w:val="both"/>
        <w:rPr>
          <w:b/>
          <w:sz w:val="22"/>
        </w:rPr>
      </w:pPr>
    </w:p>
    <w:p w:rsidR="001937A3" w:rsidRDefault="001937A3" w:rsidP="00D90216">
      <w:pPr>
        <w:jc w:val="both"/>
        <w:rPr>
          <w:b/>
          <w:sz w:val="22"/>
        </w:rPr>
      </w:pPr>
    </w:p>
    <w:p w:rsidR="00D90216" w:rsidRPr="00752342" w:rsidRDefault="001B72DF" w:rsidP="00D90216">
      <w:pPr>
        <w:jc w:val="both"/>
        <w:rPr>
          <w:b/>
          <w:sz w:val="22"/>
        </w:rPr>
      </w:pPr>
      <w:r>
        <w:rPr>
          <w:b/>
          <w:sz w:val="22"/>
        </w:rPr>
        <w:t>4</w:t>
      </w:r>
      <w:r w:rsidR="00D90216" w:rsidRPr="00752342">
        <w:rPr>
          <w:b/>
          <w:sz w:val="22"/>
        </w:rPr>
        <w:tab/>
        <w:t>External Auditors Fees</w:t>
      </w:r>
    </w:p>
    <w:p w:rsidR="00D90216" w:rsidRPr="00752342" w:rsidRDefault="00D90216" w:rsidP="00D90216">
      <w:pPr>
        <w:jc w:val="both"/>
        <w:rPr>
          <w:b/>
          <w:sz w:val="22"/>
        </w:rPr>
      </w:pPr>
    </w:p>
    <w:p w:rsidR="00D90216" w:rsidRPr="00752342" w:rsidRDefault="00D90216" w:rsidP="00D90216">
      <w:pPr>
        <w:pStyle w:val="BodyTextIndent"/>
        <w:jc w:val="both"/>
        <w:rPr>
          <w:sz w:val="22"/>
          <w:lang w:val="en-GB"/>
        </w:rPr>
      </w:pPr>
      <w:r w:rsidRPr="00752342">
        <w:rPr>
          <w:sz w:val="22"/>
          <w:lang w:val="en-GB"/>
        </w:rPr>
        <w:t xml:space="preserve">In </w:t>
      </w:r>
      <w:r w:rsidR="004A2156">
        <w:rPr>
          <w:caps/>
          <w:sz w:val="22"/>
          <w:lang w:val="en-GB"/>
        </w:rPr>
        <w:t>201</w:t>
      </w:r>
      <w:r w:rsidR="00282914">
        <w:rPr>
          <w:caps/>
          <w:sz w:val="22"/>
          <w:lang w:val="en-GB"/>
        </w:rPr>
        <w:t>7</w:t>
      </w:r>
      <w:r w:rsidR="002C5D98">
        <w:rPr>
          <w:caps/>
          <w:sz w:val="22"/>
          <w:lang w:val="en-GB"/>
        </w:rPr>
        <w:t>/1</w:t>
      </w:r>
      <w:r w:rsidR="00282914">
        <w:rPr>
          <w:caps/>
          <w:sz w:val="22"/>
          <w:lang w:val="en-GB"/>
        </w:rPr>
        <w:t>8</w:t>
      </w:r>
      <w:r w:rsidRPr="00752342">
        <w:rPr>
          <w:sz w:val="22"/>
          <w:lang w:val="en-GB"/>
        </w:rPr>
        <w:t xml:space="preserve">, the Fire Authority paid a total </w:t>
      </w:r>
      <w:r w:rsidRPr="00DB2D11">
        <w:rPr>
          <w:sz w:val="22"/>
          <w:lang w:val="en-GB"/>
        </w:rPr>
        <w:t xml:space="preserve">of </w:t>
      </w:r>
      <w:r w:rsidRPr="00BA2C82">
        <w:rPr>
          <w:sz w:val="22"/>
          <w:lang w:val="en-GB"/>
        </w:rPr>
        <w:t>£0.</w:t>
      </w:r>
      <w:r w:rsidR="00244A12">
        <w:rPr>
          <w:sz w:val="22"/>
          <w:lang w:val="en-GB"/>
        </w:rPr>
        <w:t>031</w:t>
      </w:r>
      <w:r w:rsidRPr="00BA2C82">
        <w:rPr>
          <w:sz w:val="22"/>
          <w:lang w:val="en-GB"/>
        </w:rPr>
        <w:t>m</w:t>
      </w:r>
      <w:r w:rsidRPr="00E01707">
        <w:rPr>
          <w:sz w:val="22"/>
          <w:lang w:val="en-GB"/>
        </w:rPr>
        <w:t xml:space="preserve"> to its external</w:t>
      </w:r>
      <w:r w:rsidRPr="00752342">
        <w:rPr>
          <w:sz w:val="22"/>
          <w:lang w:val="en-GB"/>
        </w:rPr>
        <w:t xml:space="preserve"> auditors, </w:t>
      </w:r>
      <w:r w:rsidR="00B20B8E">
        <w:rPr>
          <w:sz w:val="22"/>
          <w:lang w:val="en-GB"/>
        </w:rPr>
        <w:t>Grant Thornton (201</w:t>
      </w:r>
      <w:r w:rsidR="00282914">
        <w:rPr>
          <w:sz w:val="22"/>
          <w:lang w:val="en-GB"/>
        </w:rPr>
        <w:t>6</w:t>
      </w:r>
      <w:r w:rsidR="002C5D98">
        <w:rPr>
          <w:sz w:val="22"/>
          <w:lang w:val="en-GB"/>
        </w:rPr>
        <w:t>/1</w:t>
      </w:r>
      <w:r w:rsidR="00282914">
        <w:rPr>
          <w:sz w:val="22"/>
          <w:lang w:val="en-GB"/>
        </w:rPr>
        <w:t>7</w:t>
      </w:r>
      <w:r w:rsidR="00A01C10">
        <w:rPr>
          <w:sz w:val="22"/>
          <w:lang w:val="en-GB"/>
        </w:rPr>
        <w:t>: £0.0</w:t>
      </w:r>
      <w:r w:rsidR="00812378">
        <w:rPr>
          <w:sz w:val="22"/>
          <w:lang w:val="en-GB"/>
        </w:rPr>
        <w:t>3</w:t>
      </w:r>
      <w:r w:rsidR="00C5659D">
        <w:rPr>
          <w:sz w:val="22"/>
          <w:lang w:val="en-GB"/>
        </w:rPr>
        <w:t>1</w:t>
      </w:r>
      <w:r w:rsidR="00A01C10">
        <w:rPr>
          <w:sz w:val="22"/>
          <w:lang w:val="en-GB"/>
        </w:rPr>
        <w:t>m</w:t>
      </w:r>
      <w:r w:rsidR="00B20B8E">
        <w:rPr>
          <w:sz w:val="22"/>
          <w:lang w:val="en-GB"/>
        </w:rPr>
        <w:t>)</w:t>
      </w:r>
      <w:r w:rsidRPr="00752342">
        <w:rPr>
          <w:sz w:val="22"/>
          <w:lang w:val="en-GB"/>
        </w:rPr>
        <w:t>, as follows:</w:t>
      </w:r>
    </w:p>
    <w:p w:rsidR="00D90216" w:rsidRPr="00A60775" w:rsidRDefault="00D90216" w:rsidP="00D90216">
      <w:pPr>
        <w:ind w:left="720" w:hanging="720"/>
        <w:jc w:val="both"/>
        <w:rPr>
          <w:b/>
          <w:sz w:val="22"/>
          <w:highlight w:val="cyan"/>
        </w:rPr>
      </w:pPr>
    </w:p>
    <w:tbl>
      <w:tblPr>
        <w:tblW w:w="8550" w:type="dxa"/>
        <w:tblInd w:w="817" w:type="dxa"/>
        <w:tblLayout w:type="fixed"/>
        <w:tblLook w:val="0000" w:firstRow="0" w:lastRow="0" w:firstColumn="0" w:lastColumn="0" w:noHBand="0" w:noVBand="0"/>
      </w:tblPr>
      <w:tblGrid>
        <w:gridCol w:w="4770"/>
        <w:gridCol w:w="1890"/>
        <w:gridCol w:w="1890"/>
      </w:tblGrid>
      <w:tr w:rsidR="00812378" w:rsidRPr="00A60775" w:rsidTr="009807B3">
        <w:trPr>
          <w:trHeight w:hRule="exact" w:val="300"/>
        </w:trPr>
        <w:tc>
          <w:tcPr>
            <w:tcW w:w="4770" w:type="dxa"/>
          </w:tcPr>
          <w:p w:rsidR="00812378" w:rsidRPr="00A60775" w:rsidRDefault="00812378" w:rsidP="00CD62E6">
            <w:pPr>
              <w:pStyle w:val="Footer"/>
              <w:tabs>
                <w:tab w:val="clear" w:pos="4153"/>
                <w:tab w:val="clear" w:pos="8306"/>
              </w:tabs>
              <w:spacing w:line="360" w:lineRule="auto"/>
              <w:rPr>
                <w:sz w:val="22"/>
                <w:highlight w:val="cyan"/>
              </w:rPr>
            </w:pPr>
          </w:p>
        </w:tc>
        <w:tc>
          <w:tcPr>
            <w:tcW w:w="1890" w:type="dxa"/>
          </w:tcPr>
          <w:p w:rsidR="00812378" w:rsidRDefault="00812378" w:rsidP="00282914">
            <w:pPr>
              <w:pStyle w:val="BodyTextIndent"/>
              <w:ind w:left="0"/>
              <w:jc w:val="center"/>
              <w:rPr>
                <w:sz w:val="22"/>
                <w:lang w:val="en-GB"/>
              </w:rPr>
            </w:pPr>
            <w:r>
              <w:rPr>
                <w:sz w:val="22"/>
                <w:lang w:val="en-GB"/>
              </w:rPr>
              <w:t>201</w:t>
            </w:r>
            <w:r w:rsidR="00282914">
              <w:rPr>
                <w:sz w:val="22"/>
                <w:lang w:val="en-GB"/>
              </w:rPr>
              <w:t>7</w:t>
            </w:r>
            <w:r>
              <w:rPr>
                <w:sz w:val="22"/>
                <w:lang w:val="en-GB"/>
              </w:rPr>
              <w:t>/1</w:t>
            </w:r>
            <w:r w:rsidR="00282914">
              <w:rPr>
                <w:sz w:val="22"/>
                <w:lang w:val="en-GB"/>
              </w:rPr>
              <w:t>8</w:t>
            </w:r>
          </w:p>
        </w:tc>
        <w:tc>
          <w:tcPr>
            <w:tcW w:w="1890" w:type="dxa"/>
          </w:tcPr>
          <w:p w:rsidR="00812378" w:rsidRDefault="00282914" w:rsidP="00812378">
            <w:pPr>
              <w:pStyle w:val="BodyTextIndent"/>
              <w:ind w:left="0"/>
              <w:jc w:val="center"/>
              <w:rPr>
                <w:sz w:val="22"/>
                <w:lang w:val="en-GB"/>
              </w:rPr>
            </w:pPr>
            <w:r>
              <w:rPr>
                <w:sz w:val="22"/>
                <w:lang w:val="en-GB"/>
              </w:rPr>
              <w:t>2016/17</w:t>
            </w:r>
          </w:p>
        </w:tc>
      </w:tr>
      <w:tr w:rsidR="00D90216" w:rsidRPr="00A60775" w:rsidTr="009807B3">
        <w:trPr>
          <w:trHeight w:hRule="exact" w:val="300"/>
        </w:trPr>
        <w:tc>
          <w:tcPr>
            <w:tcW w:w="4770" w:type="dxa"/>
          </w:tcPr>
          <w:p w:rsidR="00D90216" w:rsidRPr="00A60775" w:rsidRDefault="00D90216" w:rsidP="00CD62E6">
            <w:pPr>
              <w:pStyle w:val="Footer"/>
              <w:tabs>
                <w:tab w:val="clear" w:pos="4153"/>
                <w:tab w:val="clear" w:pos="8306"/>
                <w:tab w:val="left" w:pos="702"/>
              </w:tabs>
              <w:rPr>
                <w:sz w:val="22"/>
                <w:highlight w:val="cyan"/>
              </w:rPr>
            </w:pPr>
          </w:p>
        </w:tc>
        <w:tc>
          <w:tcPr>
            <w:tcW w:w="1890" w:type="dxa"/>
          </w:tcPr>
          <w:p w:rsidR="00D90216" w:rsidRPr="00752342" w:rsidRDefault="00D90216" w:rsidP="00CD62E6">
            <w:pPr>
              <w:tabs>
                <w:tab w:val="decimal" w:pos="1080"/>
              </w:tabs>
              <w:jc w:val="both"/>
              <w:rPr>
                <w:sz w:val="22"/>
              </w:rPr>
            </w:pPr>
            <w:r w:rsidRPr="00752342">
              <w:rPr>
                <w:sz w:val="22"/>
              </w:rPr>
              <w:t>£000</w:t>
            </w:r>
          </w:p>
        </w:tc>
        <w:tc>
          <w:tcPr>
            <w:tcW w:w="1890" w:type="dxa"/>
          </w:tcPr>
          <w:p w:rsidR="00D90216" w:rsidRPr="00752342" w:rsidRDefault="00D90216" w:rsidP="00CD62E6">
            <w:pPr>
              <w:tabs>
                <w:tab w:val="decimal" w:pos="1080"/>
              </w:tabs>
              <w:jc w:val="both"/>
              <w:rPr>
                <w:sz w:val="22"/>
              </w:rPr>
            </w:pPr>
            <w:r w:rsidRPr="00752342">
              <w:rPr>
                <w:sz w:val="22"/>
              </w:rPr>
              <w:t>£000</w:t>
            </w:r>
          </w:p>
        </w:tc>
      </w:tr>
      <w:tr w:rsidR="00D90216" w:rsidRPr="00A60775" w:rsidTr="009807B3">
        <w:trPr>
          <w:trHeight w:hRule="exact" w:val="300"/>
        </w:trPr>
        <w:tc>
          <w:tcPr>
            <w:tcW w:w="4770" w:type="dxa"/>
          </w:tcPr>
          <w:p w:rsidR="00D90216" w:rsidRPr="00572894" w:rsidRDefault="00D90216" w:rsidP="00CD62E6">
            <w:pPr>
              <w:pStyle w:val="Footer"/>
              <w:tabs>
                <w:tab w:val="clear" w:pos="4153"/>
                <w:tab w:val="clear" w:pos="8306"/>
                <w:tab w:val="left" w:pos="702"/>
              </w:tabs>
              <w:rPr>
                <w:sz w:val="22"/>
              </w:rPr>
            </w:pPr>
            <w:r w:rsidRPr="00572894">
              <w:rPr>
                <w:sz w:val="22"/>
              </w:rPr>
              <w:t>Audit fees</w:t>
            </w:r>
            <w:r w:rsidR="00C5659D" w:rsidRPr="00572894">
              <w:rPr>
                <w:sz w:val="22"/>
              </w:rPr>
              <w:t xml:space="preserve"> – Grant Thornton</w:t>
            </w:r>
          </w:p>
        </w:tc>
        <w:tc>
          <w:tcPr>
            <w:tcW w:w="1890" w:type="dxa"/>
          </w:tcPr>
          <w:p w:rsidR="00D90216" w:rsidRPr="00BA2C82" w:rsidRDefault="00244A12" w:rsidP="00CD62E6">
            <w:pPr>
              <w:pStyle w:val="Footer"/>
              <w:tabs>
                <w:tab w:val="clear" w:pos="4153"/>
                <w:tab w:val="clear" w:pos="8306"/>
                <w:tab w:val="decimal" w:pos="1080"/>
              </w:tabs>
              <w:rPr>
                <w:sz w:val="22"/>
              </w:rPr>
            </w:pPr>
            <w:r w:rsidRPr="007851E4">
              <w:rPr>
                <w:sz w:val="22"/>
              </w:rPr>
              <w:t>31</w:t>
            </w:r>
          </w:p>
        </w:tc>
        <w:tc>
          <w:tcPr>
            <w:tcW w:w="1890" w:type="dxa"/>
          </w:tcPr>
          <w:p w:rsidR="00D90216" w:rsidRPr="00572894" w:rsidRDefault="00812378" w:rsidP="00CD62E6">
            <w:pPr>
              <w:pStyle w:val="Footer"/>
              <w:tabs>
                <w:tab w:val="clear" w:pos="4153"/>
                <w:tab w:val="clear" w:pos="8306"/>
                <w:tab w:val="decimal" w:pos="1080"/>
              </w:tabs>
              <w:rPr>
                <w:sz w:val="22"/>
              </w:rPr>
            </w:pPr>
            <w:r>
              <w:rPr>
                <w:sz w:val="22"/>
              </w:rPr>
              <w:t>3</w:t>
            </w:r>
            <w:r w:rsidR="00A01C10" w:rsidRPr="00572894">
              <w:rPr>
                <w:sz w:val="22"/>
              </w:rPr>
              <w:t>1</w:t>
            </w:r>
          </w:p>
        </w:tc>
      </w:tr>
    </w:tbl>
    <w:p w:rsidR="00B11ED2" w:rsidRDefault="00B11ED2">
      <w:pPr>
        <w:rPr>
          <w:b/>
          <w:sz w:val="22"/>
        </w:rPr>
      </w:pPr>
    </w:p>
    <w:p w:rsidR="00595C0D" w:rsidRDefault="00595C0D">
      <w:pPr>
        <w:rPr>
          <w:b/>
          <w:sz w:val="22"/>
        </w:rPr>
      </w:pPr>
    </w:p>
    <w:p w:rsidR="00D90216" w:rsidRPr="00EB19F6" w:rsidRDefault="001B72DF" w:rsidP="00D90216">
      <w:pPr>
        <w:jc w:val="both"/>
        <w:rPr>
          <w:b/>
          <w:sz w:val="22"/>
        </w:rPr>
      </w:pPr>
      <w:r>
        <w:rPr>
          <w:b/>
          <w:sz w:val="22"/>
        </w:rPr>
        <w:t>5</w:t>
      </w:r>
      <w:r w:rsidR="00D90216" w:rsidRPr="00EB19F6">
        <w:rPr>
          <w:b/>
          <w:sz w:val="22"/>
        </w:rPr>
        <w:tab/>
        <w:t>Related Parties Transactions</w:t>
      </w:r>
    </w:p>
    <w:p w:rsidR="00D90216" w:rsidRPr="00EB19F6" w:rsidRDefault="00D90216" w:rsidP="00D90216">
      <w:pPr>
        <w:jc w:val="both"/>
        <w:rPr>
          <w:b/>
          <w:sz w:val="22"/>
          <w:u w:val="single"/>
        </w:rPr>
      </w:pPr>
    </w:p>
    <w:p w:rsidR="00D90216" w:rsidRDefault="00D90216" w:rsidP="00D90216">
      <w:pPr>
        <w:pStyle w:val="BodyTextIndent"/>
        <w:jc w:val="both"/>
        <w:rPr>
          <w:sz w:val="22"/>
          <w:lang w:val="en-GB"/>
        </w:rPr>
      </w:pPr>
      <w:r w:rsidRPr="00EB19F6">
        <w:rPr>
          <w:sz w:val="22"/>
          <w:lang w:val="en-GB"/>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r w:rsidR="00000C47">
        <w:rPr>
          <w:sz w:val="22"/>
          <w:lang w:val="en-GB"/>
        </w:rPr>
        <w:t xml:space="preserve">   Consideration must be given to materiality from both the viewpoint of the Authority and the related party.</w:t>
      </w:r>
    </w:p>
    <w:p w:rsidR="00D90216" w:rsidRPr="00A60775" w:rsidRDefault="00D90216" w:rsidP="00D90216">
      <w:pPr>
        <w:pStyle w:val="BodyTextIndent"/>
        <w:ind w:left="0"/>
        <w:jc w:val="both"/>
        <w:rPr>
          <w:sz w:val="22"/>
          <w:highlight w:val="cyan"/>
          <w:lang w:val="en-GB"/>
        </w:rPr>
      </w:pPr>
    </w:p>
    <w:p w:rsidR="00D90216" w:rsidRPr="00EB19F6" w:rsidRDefault="00D90216" w:rsidP="00D90216">
      <w:pPr>
        <w:pStyle w:val="BodyTextIndent"/>
        <w:jc w:val="both"/>
        <w:rPr>
          <w:b/>
          <w:sz w:val="22"/>
          <w:lang w:val="en-GB"/>
        </w:rPr>
      </w:pPr>
      <w:r w:rsidRPr="00EB19F6">
        <w:rPr>
          <w:b/>
          <w:sz w:val="22"/>
          <w:lang w:val="en-GB"/>
        </w:rPr>
        <w:t>Central Government</w:t>
      </w:r>
    </w:p>
    <w:p w:rsidR="00D90216" w:rsidRPr="00EB19F6" w:rsidRDefault="00D90216" w:rsidP="00D90216">
      <w:pPr>
        <w:pStyle w:val="BodyTextIndent"/>
        <w:jc w:val="both"/>
        <w:rPr>
          <w:sz w:val="22"/>
          <w:lang w:val="en-GB"/>
        </w:rPr>
      </w:pPr>
    </w:p>
    <w:p w:rsidR="00D90216" w:rsidRPr="00EB19F6" w:rsidRDefault="00D90216" w:rsidP="00D90216">
      <w:pPr>
        <w:pStyle w:val="BodyTextIndent"/>
        <w:jc w:val="both"/>
        <w:rPr>
          <w:sz w:val="22"/>
          <w:lang w:val="en-GB"/>
        </w:rPr>
      </w:pPr>
      <w:r w:rsidRPr="00EB19F6">
        <w:rPr>
          <w:sz w:val="22"/>
          <w:lang w:val="en-GB"/>
        </w:rPr>
        <w:t xml:space="preserve">Central government has effective control over the general operations of the Authority – it is responsible for providing the statutory </w:t>
      </w:r>
      <w:proofErr w:type="gramStart"/>
      <w:r w:rsidRPr="00EB19F6">
        <w:rPr>
          <w:sz w:val="22"/>
          <w:lang w:val="en-GB"/>
        </w:rPr>
        <w:t>framework</w:t>
      </w:r>
      <w:proofErr w:type="gramEnd"/>
      <w:r w:rsidRPr="00EB19F6">
        <w:rPr>
          <w:sz w:val="22"/>
          <w:lang w:val="en-GB"/>
        </w:rPr>
        <w:t xml:space="preserve"> within which the Authority operates, provides the majority of its funding in the form of grants and prescribes the terms of many of the transactions that the Authority has with other parties (</w:t>
      </w:r>
      <w:r w:rsidR="001D3299" w:rsidRPr="00EB19F6">
        <w:rPr>
          <w:sz w:val="22"/>
          <w:lang w:val="en-GB"/>
        </w:rPr>
        <w:t>e.g.</w:t>
      </w:r>
      <w:r w:rsidRPr="00EB19F6">
        <w:rPr>
          <w:sz w:val="22"/>
          <w:lang w:val="en-GB"/>
        </w:rPr>
        <w:t xml:space="preserve"> council tax bills).  </w:t>
      </w:r>
    </w:p>
    <w:p w:rsidR="00D90216" w:rsidRPr="00A60775" w:rsidRDefault="00D90216" w:rsidP="00D90216">
      <w:pPr>
        <w:pStyle w:val="BodyTextIndent"/>
        <w:ind w:left="0"/>
        <w:jc w:val="both"/>
        <w:rPr>
          <w:sz w:val="22"/>
          <w:highlight w:val="cyan"/>
          <w:lang w:val="en-GB"/>
        </w:rPr>
      </w:pPr>
    </w:p>
    <w:p w:rsidR="00D90216" w:rsidRPr="00EB19F6" w:rsidRDefault="00D90216" w:rsidP="00D90216">
      <w:pPr>
        <w:pStyle w:val="BodyTextIndent"/>
        <w:jc w:val="both"/>
        <w:rPr>
          <w:b/>
          <w:sz w:val="22"/>
          <w:lang w:val="en-GB"/>
        </w:rPr>
      </w:pPr>
      <w:r w:rsidRPr="00EB19F6">
        <w:rPr>
          <w:b/>
          <w:sz w:val="22"/>
          <w:lang w:val="en-GB"/>
        </w:rPr>
        <w:t>Members</w:t>
      </w:r>
    </w:p>
    <w:p w:rsidR="00D90216" w:rsidRPr="00EB19F6" w:rsidRDefault="00D90216" w:rsidP="00D90216">
      <w:pPr>
        <w:pStyle w:val="BodyTextIndent"/>
        <w:jc w:val="both"/>
        <w:rPr>
          <w:sz w:val="22"/>
          <w:lang w:val="en-GB"/>
        </w:rPr>
      </w:pPr>
    </w:p>
    <w:p w:rsidR="00D90216" w:rsidRPr="00EB19F6" w:rsidRDefault="00D90216" w:rsidP="00D90216">
      <w:pPr>
        <w:pStyle w:val="BodyTextIndent"/>
        <w:jc w:val="both"/>
        <w:rPr>
          <w:sz w:val="22"/>
          <w:lang w:val="en-GB"/>
        </w:rPr>
      </w:pPr>
      <w:r w:rsidRPr="00EB19F6">
        <w:rPr>
          <w:sz w:val="22"/>
          <w:lang w:val="en-GB"/>
        </w:rPr>
        <w:t xml:space="preserve">Members of the Authority have direct control over the Authority’s financial and operating policies.  </w:t>
      </w:r>
      <w:r>
        <w:rPr>
          <w:sz w:val="22"/>
          <w:lang w:val="en-GB"/>
        </w:rPr>
        <w:t xml:space="preserve">The total of members’ </w:t>
      </w:r>
      <w:r w:rsidRPr="00EB19F6">
        <w:rPr>
          <w:sz w:val="22"/>
          <w:lang w:val="en-GB"/>
        </w:rPr>
        <w:t>allowances paid in 201</w:t>
      </w:r>
      <w:r w:rsidR="001B72DF">
        <w:rPr>
          <w:sz w:val="22"/>
          <w:lang w:val="en-GB"/>
        </w:rPr>
        <w:t>7</w:t>
      </w:r>
      <w:r w:rsidR="002C5D98">
        <w:rPr>
          <w:sz w:val="22"/>
          <w:lang w:val="en-GB"/>
        </w:rPr>
        <w:t>/1</w:t>
      </w:r>
      <w:r w:rsidR="001B72DF">
        <w:rPr>
          <w:sz w:val="22"/>
          <w:lang w:val="en-GB"/>
        </w:rPr>
        <w:t>8</w:t>
      </w:r>
      <w:r w:rsidRPr="00EB19F6">
        <w:rPr>
          <w:sz w:val="22"/>
          <w:lang w:val="en-GB"/>
        </w:rPr>
        <w:t xml:space="preserve"> is </w:t>
      </w:r>
      <w:r w:rsidRPr="00F91927">
        <w:rPr>
          <w:sz w:val="22"/>
          <w:lang w:val="en-GB"/>
        </w:rPr>
        <w:t xml:space="preserve">shown </w:t>
      </w:r>
      <w:r w:rsidRPr="001B72DF">
        <w:rPr>
          <w:sz w:val="22"/>
          <w:lang w:val="en-GB"/>
        </w:rPr>
        <w:t xml:space="preserve">in note </w:t>
      </w:r>
      <w:r w:rsidR="001B72DF" w:rsidRPr="001B72DF">
        <w:rPr>
          <w:sz w:val="22"/>
          <w:lang w:val="en-GB"/>
        </w:rPr>
        <w:t>2</w:t>
      </w:r>
      <w:r w:rsidRPr="001B72DF">
        <w:rPr>
          <w:sz w:val="22"/>
          <w:lang w:val="en-GB"/>
        </w:rPr>
        <w:t>.</w:t>
      </w:r>
      <w:r w:rsidRPr="00EB19F6">
        <w:rPr>
          <w:sz w:val="22"/>
          <w:lang w:val="en-GB"/>
        </w:rPr>
        <w:t xml:space="preserve">  As required under Section 81 of the Local Government Act 2000, members’ outside interests are recorded in a formal register and the Code of Conduct operated by the Authority requires members to declare any related interests they have, and to take no part in meetings or decisions on issues concerning those related interests. </w:t>
      </w:r>
    </w:p>
    <w:p w:rsidR="00D90216" w:rsidRPr="00EB19F6" w:rsidRDefault="00D90216" w:rsidP="00D90216">
      <w:pPr>
        <w:pStyle w:val="BodyTextIndent"/>
        <w:jc w:val="both"/>
        <w:rPr>
          <w:sz w:val="22"/>
          <w:lang w:val="en-GB"/>
        </w:rPr>
      </w:pPr>
    </w:p>
    <w:p w:rsidR="00D90216" w:rsidRPr="00EB19F6" w:rsidRDefault="00D90216" w:rsidP="00D90216">
      <w:pPr>
        <w:pStyle w:val="BodyTextIndent"/>
        <w:jc w:val="both"/>
        <w:rPr>
          <w:sz w:val="22"/>
          <w:lang w:val="en-GB"/>
        </w:rPr>
      </w:pPr>
      <w:r w:rsidRPr="00EB19F6">
        <w:rPr>
          <w:sz w:val="22"/>
          <w:lang w:val="en-GB"/>
        </w:rPr>
        <w:t>In addition, a survey of the related party interests of members and their immediate family members was carried out in preparing the Statement of Accounts. This survey showed that members have outside interests in bodies that have transactions with the Authority, such as:</w:t>
      </w:r>
    </w:p>
    <w:p w:rsidR="00D90216" w:rsidRPr="002D4A1B" w:rsidRDefault="00D90216" w:rsidP="00D90216">
      <w:pPr>
        <w:pStyle w:val="BodyTextIndent"/>
        <w:jc w:val="both"/>
        <w:rPr>
          <w:sz w:val="22"/>
          <w:lang w:val="en-GB"/>
        </w:rPr>
      </w:pPr>
    </w:p>
    <w:p w:rsidR="00D90216" w:rsidRPr="002D4A1B" w:rsidRDefault="00D90216" w:rsidP="00D90216">
      <w:pPr>
        <w:pStyle w:val="BodyTextIndent"/>
        <w:jc w:val="both"/>
        <w:rPr>
          <w:sz w:val="22"/>
          <w:lang w:val="en-GB"/>
        </w:rPr>
      </w:pPr>
      <w:r w:rsidRPr="002D4A1B">
        <w:rPr>
          <w:sz w:val="22"/>
          <w:lang w:val="en-GB"/>
        </w:rPr>
        <w:t xml:space="preserve">- </w:t>
      </w:r>
      <w:proofErr w:type="gramStart"/>
      <w:r w:rsidRPr="002D4A1B">
        <w:rPr>
          <w:sz w:val="22"/>
          <w:lang w:val="en-GB"/>
        </w:rPr>
        <w:t>roles</w:t>
      </w:r>
      <w:proofErr w:type="gramEnd"/>
      <w:r w:rsidRPr="002D4A1B">
        <w:rPr>
          <w:sz w:val="22"/>
          <w:lang w:val="en-GB"/>
        </w:rPr>
        <w:t xml:space="preserve"> as members of Lancashire County Council, the district and unitary authorities;</w:t>
      </w:r>
    </w:p>
    <w:p w:rsidR="00D90216" w:rsidRPr="002D4A1B" w:rsidRDefault="00D90216" w:rsidP="00D90216">
      <w:pPr>
        <w:pStyle w:val="BodyTextIndent"/>
        <w:jc w:val="both"/>
        <w:rPr>
          <w:sz w:val="22"/>
          <w:lang w:val="en-GB"/>
        </w:rPr>
      </w:pPr>
      <w:r w:rsidRPr="002D4A1B">
        <w:rPr>
          <w:sz w:val="22"/>
          <w:lang w:val="en-GB"/>
        </w:rPr>
        <w:lastRenderedPageBreak/>
        <w:t xml:space="preserve">- </w:t>
      </w:r>
      <w:proofErr w:type="gramStart"/>
      <w:r w:rsidRPr="002D4A1B">
        <w:rPr>
          <w:sz w:val="22"/>
          <w:lang w:val="en-GB"/>
        </w:rPr>
        <w:t>roles</w:t>
      </w:r>
      <w:proofErr w:type="gramEnd"/>
      <w:r w:rsidRPr="002D4A1B">
        <w:rPr>
          <w:sz w:val="22"/>
          <w:lang w:val="en-GB"/>
        </w:rPr>
        <w:t xml:space="preserve"> with voluntary organisations;</w:t>
      </w:r>
    </w:p>
    <w:p w:rsidR="00D90216" w:rsidRPr="002D4A1B" w:rsidRDefault="00D90216" w:rsidP="00D90216">
      <w:pPr>
        <w:pStyle w:val="BodyTextIndent"/>
        <w:jc w:val="both"/>
        <w:rPr>
          <w:sz w:val="22"/>
          <w:lang w:val="en-GB"/>
        </w:rPr>
      </w:pPr>
    </w:p>
    <w:p w:rsidR="00D90216" w:rsidRPr="00587D18" w:rsidRDefault="00D90216" w:rsidP="00D90216">
      <w:pPr>
        <w:pStyle w:val="BodyTextIndent"/>
        <w:jc w:val="both"/>
        <w:rPr>
          <w:sz w:val="22"/>
          <w:lang w:val="en-GB"/>
        </w:rPr>
      </w:pPr>
      <w:r w:rsidRPr="007E0560">
        <w:rPr>
          <w:sz w:val="22"/>
          <w:lang w:val="en-GB"/>
        </w:rPr>
        <w:t>In none of these cases is there evidence either of control of one party by the other, or of any related material transaction which would require disclosure in this note.</w:t>
      </w:r>
    </w:p>
    <w:p w:rsidR="00D90216" w:rsidRPr="00587D18" w:rsidRDefault="00D90216" w:rsidP="00D90216">
      <w:pPr>
        <w:pStyle w:val="BodyTextIndent"/>
        <w:jc w:val="both"/>
        <w:rPr>
          <w:sz w:val="22"/>
          <w:lang w:val="en-GB"/>
        </w:rPr>
      </w:pPr>
    </w:p>
    <w:p w:rsidR="00D90216" w:rsidRPr="00F61286" w:rsidRDefault="00D90216" w:rsidP="00D90216">
      <w:pPr>
        <w:pStyle w:val="BodyTextIndent"/>
        <w:jc w:val="both"/>
        <w:rPr>
          <w:b/>
          <w:sz w:val="22"/>
          <w:lang w:val="en-GB"/>
        </w:rPr>
      </w:pPr>
      <w:r w:rsidRPr="00F61286">
        <w:rPr>
          <w:b/>
          <w:sz w:val="22"/>
          <w:lang w:val="en-GB"/>
        </w:rPr>
        <w:t>Officers</w:t>
      </w:r>
    </w:p>
    <w:p w:rsidR="00D90216" w:rsidRPr="00F61286" w:rsidRDefault="00D90216" w:rsidP="00D90216">
      <w:pPr>
        <w:pStyle w:val="BodyTextIndent"/>
        <w:jc w:val="both"/>
        <w:rPr>
          <w:sz w:val="22"/>
          <w:lang w:val="en-GB"/>
        </w:rPr>
      </w:pPr>
    </w:p>
    <w:p w:rsidR="00D90216" w:rsidRDefault="00965249" w:rsidP="00D90216">
      <w:pPr>
        <w:pStyle w:val="BodyTextIndent"/>
        <w:jc w:val="both"/>
        <w:rPr>
          <w:sz w:val="22"/>
          <w:lang w:val="en-GB"/>
        </w:rPr>
      </w:pPr>
      <w:r w:rsidRPr="005C5684">
        <w:rPr>
          <w:sz w:val="22"/>
          <w:lang w:val="en-GB"/>
        </w:rPr>
        <w:t>In</w:t>
      </w:r>
      <w:r w:rsidR="00D90216" w:rsidRPr="005C5684">
        <w:rPr>
          <w:sz w:val="22"/>
          <w:lang w:val="en-GB"/>
        </w:rPr>
        <w:t xml:space="preserve"> 201</w:t>
      </w:r>
      <w:r w:rsidR="001B72DF">
        <w:rPr>
          <w:sz w:val="22"/>
          <w:lang w:val="en-GB"/>
        </w:rPr>
        <w:t>7</w:t>
      </w:r>
      <w:r w:rsidR="002C5D98" w:rsidRPr="005C5684">
        <w:rPr>
          <w:sz w:val="22"/>
          <w:lang w:val="en-GB"/>
        </w:rPr>
        <w:t>/1</w:t>
      </w:r>
      <w:r w:rsidR="001B72DF">
        <w:rPr>
          <w:sz w:val="22"/>
          <w:lang w:val="en-GB"/>
        </w:rPr>
        <w:t>8</w:t>
      </w:r>
      <w:r w:rsidRPr="005C5684">
        <w:rPr>
          <w:sz w:val="22"/>
          <w:lang w:val="en-GB"/>
        </w:rPr>
        <w:t xml:space="preserve"> </w:t>
      </w:r>
      <w:r w:rsidR="00D90216" w:rsidRPr="005C5684">
        <w:rPr>
          <w:sz w:val="22"/>
          <w:lang w:val="en-GB"/>
        </w:rPr>
        <w:t xml:space="preserve">one Senior Officer declared </w:t>
      </w:r>
      <w:r w:rsidRPr="005C5684">
        <w:rPr>
          <w:sz w:val="22"/>
          <w:lang w:val="en-GB"/>
        </w:rPr>
        <w:t>a family relationship with a Senior Officer in one of our major precepting authorities</w:t>
      </w:r>
      <w:r w:rsidR="00D90216" w:rsidRPr="005C5684">
        <w:rPr>
          <w:sz w:val="22"/>
          <w:lang w:val="en-GB"/>
        </w:rPr>
        <w:t>.</w:t>
      </w:r>
      <w:r w:rsidRPr="00983509">
        <w:rPr>
          <w:sz w:val="22"/>
          <w:lang w:val="en-GB"/>
        </w:rPr>
        <w:t xml:space="preserve">  Although there are significant transactions between the two parties in relation to business rates </w:t>
      </w:r>
      <w:r w:rsidR="00AF24E8" w:rsidRPr="007851E4">
        <w:rPr>
          <w:sz w:val="22"/>
          <w:lang w:val="en-GB"/>
        </w:rPr>
        <w:t>(£0.</w:t>
      </w:r>
      <w:r w:rsidR="007851E4" w:rsidRPr="007851E4">
        <w:rPr>
          <w:sz w:val="22"/>
          <w:lang w:val="en-GB"/>
        </w:rPr>
        <w:t>393</w:t>
      </w:r>
      <w:r w:rsidR="00AF24E8" w:rsidRPr="007851E4">
        <w:rPr>
          <w:sz w:val="22"/>
          <w:lang w:val="en-GB"/>
        </w:rPr>
        <w:t>m</w:t>
      </w:r>
      <w:r w:rsidR="00AF24E8" w:rsidRPr="00983509">
        <w:rPr>
          <w:sz w:val="22"/>
          <w:lang w:val="en-GB"/>
        </w:rPr>
        <w:t xml:space="preserve"> received from the precepting authority</w:t>
      </w:r>
      <w:r w:rsidR="00595C0D">
        <w:rPr>
          <w:sz w:val="22"/>
          <w:lang w:val="en-GB"/>
        </w:rPr>
        <w:t>, 201</w:t>
      </w:r>
      <w:r w:rsidR="001B72DF">
        <w:rPr>
          <w:sz w:val="22"/>
          <w:lang w:val="en-GB"/>
        </w:rPr>
        <w:t>6</w:t>
      </w:r>
      <w:r w:rsidR="00595C0D">
        <w:rPr>
          <w:sz w:val="22"/>
          <w:lang w:val="en-GB"/>
        </w:rPr>
        <w:t>/1</w:t>
      </w:r>
      <w:r w:rsidR="001B72DF">
        <w:rPr>
          <w:sz w:val="22"/>
          <w:lang w:val="en-GB"/>
        </w:rPr>
        <w:t>7</w:t>
      </w:r>
      <w:r w:rsidR="00595C0D">
        <w:rPr>
          <w:sz w:val="22"/>
          <w:lang w:val="en-GB"/>
        </w:rPr>
        <w:t>: £0.4</w:t>
      </w:r>
      <w:r w:rsidR="00566E5C">
        <w:rPr>
          <w:sz w:val="22"/>
          <w:lang w:val="en-GB"/>
        </w:rPr>
        <w:t>6</w:t>
      </w:r>
      <w:r w:rsidR="001B72DF">
        <w:rPr>
          <w:sz w:val="22"/>
          <w:lang w:val="en-GB"/>
        </w:rPr>
        <w:t>8</w:t>
      </w:r>
      <w:r w:rsidR="00566E5C">
        <w:rPr>
          <w:sz w:val="22"/>
          <w:lang w:val="en-GB"/>
        </w:rPr>
        <w:t>m</w:t>
      </w:r>
      <w:r w:rsidR="00AF24E8" w:rsidRPr="00983509">
        <w:rPr>
          <w:sz w:val="22"/>
          <w:lang w:val="en-GB"/>
        </w:rPr>
        <w:t xml:space="preserve">), </w:t>
      </w:r>
      <w:r w:rsidRPr="00983509">
        <w:rPr>
          <w:sz w:val="22"/>
          <w:lang w:val="en-GB"/>
        </w:rPr>
        <w:t>and council tax</w:t>
      </w:r>
      <w:r w:rsidR="00AF24E8" w:rsidRPr="00983509">
        <w:rPr>
          <w:sz w:val="22"/>
          <w:lang w:val="en-GB"/>
        </w:rPr>
        <w:t xml:space="preserve"> </w:t>
      </w:r>
      <w:r w:rsidR="004F6E00" w:rsidRPr="007851E4">
        <w:rPr>
          <w:sz w:val="22"/>
          <w:lang w:val="en-GB"/>
        </w:rPr>
        <w:t>(£2.</w:t>
      </w:r>
      <w:r w:rsidR="007851E4" w:rsidRPr="007851E4">
        <w:rPr>
          <w:sz w:val="22"/>
          <w:lang w:val="en-GB"/>
        </w:rPr>
        <w:t>221</w:t>
      </w:r>
      <w:r w:rsidR="00AF24E8" w:rsidRPr="007851E4">
        <w:rPr>
          <w:sz w:val="22"/>
          <w:lang w:val="en-GB"/>
        </w:rPr>
        <w:t>m</w:t>
      </w:r>
      <w:r w:rsidR="00AF24E8" w:rsidRPr="00983509">
        <w:rPr>
          <w:sz w:val="22"/>
          <w:lang w:val="en-GB"/>
        </w:rPr>
        <w:t xml:space="preserve"> received from the precepting authority</w:t>
      </w:r>
      <w:r w:rsidR="00566E5C">
        <w:rPr>
          <w:sz w:val="22"/>
          <w:lang w:val="en-GB"/>
        </w:rPr>
        <w:t>, 201</w:t>
      </w:r>
      <w:r w:rsidR="001B72DF">
        <w:rPr>
          <w:sz w:val="22"/>
          <w:lang w:val="en-GB"/>
        </w:rPr>
        <w:t>6</w:t>
      </w:r>
      <w:r w:rsidR="00566E5C">
        <w:rPr>
          <w:sz w:val="22"/>
          <w:lang w:val="en-GB"/>
        </w:rPr>
        <w:t>/1</w:t>
      </w:r>
      <w:r w:rsidR="001B72DF">
        <w:rPr>
          <w:sz w:val="22"/>
          <w:lang w:val="en-GB"/>
        </w:rPr>
        <w:t>7</w:t>
      </w:r>
      <w:r w:rsidR="00566E5C">
        <w:rPr>
          <w:sz w:val="22"/>
          <w:lang w:val="en-GB"/>
        </w:rPr>
        <w:t xml:space="preserve"> £2.1</w:t>
      </w:r>
      <w:r w:rsidR="001B72DF">
        <w:rPr>
          <w:sz w:val="22"/>
          <w:lang w:val="en-GB"/>
        </w:rPr>
        <w:t>8</w:t>
      </w:r>
      <w:r w:rsidR="00566E5C">
        <w:rPr>
          <w:sz w:val="22"/>
          <w:lang w:val="en-GB"/>
        </w:rPr>
        <w:t>4m</w:t>
      </w:r>
      <w:r w:rsidR="00AF24E8" w:rsidRPr="00983509">
        <w:rPr>
          <w:sz w:val="22"/>
          <w:lang w:val="en-GB"/>
        </w:rPr>
        <w:t>)</w:t>
      </w:r>
      <w:r w:rsidRPr="00983509">
        <w:rPr>
          <w:sz w:val="22"/>
          <w:lang w:val="en-GB"/>
        </w:rPr>
        <w:t>, the administration</w:t>
      </w:r>
      <w:r w:rsidRPr="00FC7E63">
        <w:rPr>
          <w:sz w:val="22"/>
          <w:lang w:val="en-GB"/>
        </w:rPr>
        <w:t xml:space="preserve"> of these is strictly defined by a statutory framework.</w:t>
      </w:r>
    </w:p>
    <w:p w:rsidR="00FC7E63" w:rsidRDefault="00FC7E63" w:rsidP="00D90216">
      <w:pPr>
        <w:pStyle w:val="BodyTextIndent"/>
        <w:jc w:val="both"/>
        <w:rPr>
          <w:sz w:val="22"/>
          <w:lang w:val="en-GB"/>
        </w:rPr>
      </w:pPr>
    </w:p>
    <w:p w:rsidR="00D90216" w:rsidRPr="00510E97" w:rsidRDefault="00D90216" w:rsidP="003A41FC">
      <w:pPr>
        <w:pStyle w:val="BodyTextIndent"/>
        <w:ind w:left="0"/>
        <w:jc w:val="both"/>
        <w:rPr>
          <w:sz w:val="22"/>
          <w:lang w:val="en-GB"/>
        </w:rPr>
      </w:pPr>
    </w:p>
    <w:p w:rsidR="00BE4AD1" w:rsidRDefault="003A41FC" w:rsidP="00DE22C7">
      <w:pPr>
        <w:pStyle w:val="Footer"/>
        <w:tabs>
          <w:tab w:val="clear" w:pos="4153"/>
          <w:tab w:val="clear" w:pos="8306"/>
        </w:tabs>
        <w:rPr>
          <w:b/>
          <w:sz w:val="22"/>
          <w:szCs w:val="22"/>
        </w:rPr>
      </w:pPr>
      <w:r>
        <w:rPr>
          <w:b/>
          <w:sz w:val="22"/>
        </w:rPr>
        <w:br w:type="page"/>
      </w:r>
    </w:p>
    <w:p w:rsidR="00D90216" w:rsidRPr="00DE22C7" w:rsidRDefault="00C22F02" w:rsidP="00DE22C7">
      <w:pPr>
        <w:pStyle w:val="Footer"/>
        <w:tabs>
          <w:tab w:val="clear" w:pos="4153"/>
          <w:tab w:val="clear" w:pos="8306"/>
        </w:tabs>
        <w:rPr>
          <w:b/>
          <w:sz w:val="22"/>
          <w:szCs w:val="22"/>
        </w:rPr>
      </w:pPr>
      <w:r>
        <w:rPr>
          <w:b/>
          <w:sz w:val="22"/>
          <w:szCs w:val="22"/>
        </w:rPr>
        <w:lastRenderedPageBreak/>
        <w:t>6</w:t>
      </w:r>
      <w:r w:rsidR="00D90216" w:rsidRPr="00DE22C7">
        <w:rPr>
          <w:b/>
          <w:sz w:val="22"/>
          <w:szCs w:val="22"/>
        </w:rPr>
        <w:tab/>
        <w:t>Property, Plant &amp; Equipment</w:t>
      </w:r>
    </w:p>
    <w:p w:rsidR="00D90216" w:rsidRPr="00CC0566" w:rsidRDefault="00D90216" w:rsidP="00D90216">
      <w:pPr>
        <w:ind w:left="720"/>
        <w:jc w:val="both"/>
        <w:rPr>
          <w:sz w:val="16"/>
          <w:szCs w:val="16"/>
        </w:rPr>
      </w:pPr>
    </w:p>
    <w:p w:rsidR="00D90216" w:rsidRPr="009E5576" w:rsidRDefault="00D90216" w:rsidP="00D90216">
      <w:pPr>
        <w:ind w:left="720"/>
        <w:jc w:val="both"/>
        <w:rPr>
          <w:sz w:val="22"/>
        </w:rPr>
      </w:pPr>
      <w:r w:rsidRPr="009E5576">
        <w:rPr>
          <w:sz w:val="22"/>
        </w:rPr>
        <w:t xml:space="preserve">Details on policies can be seen in </w:t>
      </w:r>
      <w:r w:rsidR="00C459A3" w:rsidRPr="00C459A3">
        <w:rPr>
          <w:sz w:val="22"/>
        </w:rPr>
        <w:t>n</w:t>
      </w:r>
      <w:r w:rsidRPr="00C459A3">
        <w:rPr>
          <w:sz w:val="22"/>
        </w:rPr>
        <w:t xml:space="preserve">ote </w:t>
      </w:r>
      <w:r w:rsidR="00091649" w:rsidRPr="00C459A3">
        <w:rPr>
          <w:sz w:val="22"/>
        </w:rPr>
        <w:t>2</w:t>
      </w:r>
      <w:r w:rsidR="008628EC" w:rsidRPr="00C459A3">
        <w:rPr>
          <w:sz w:val="22"/>
        </w:rPr>
        <w:t>8</w:t>
      </w:r>
      <w:r w:rsidR="00B16EF7" w:rsidRPr="00C459A3">
        <w:rPr>
          <w:sz w:val="22"/>
        </w:rPr>
        <w:t>,</w:t>
      </w:r>
      <w:r w:rsidRPr="009E5576">
        <w:rPr>
          <w:sz w:val="22"/>
        </w:rPr>
        <w:t xml:space="preserve"> Accounting Policies.</w:t>
      </w:r>
    </w:p>
    <w:p w:rsidR="00D90216" w:rsidRPr="00CC0566" w:rsidRDefault="00D90216" w:rsidP="00D90216">
      <w:pPr>
        <w:ind w:left="720"/>
        <w:jc w:val="both"/>
        <w:rPr>
          <w:sz w:val="16"/>
          <w:szCs w:val="16"/>
        </w:rPr>
      </w:pPr>
    </w:p>
    <w:p w:rsidR="00D90216" w:rsidRPr="00375D77" w:rsidRDefault="00D90216" w:rsidP="00D90216">
      <w:pPr>
        <w:ind w:left="720"/>
        <w:jc w:val="both"/>
        <w:rPr>
          <w:b/>
          <w:sz w:val="22"/>
        </w:rPr>
      </w:pPr>
      <w:r w:rsidRPr="00375D77">
        <w:rPr>
          <w:b/>
          <w:sz w:val="22"/>
        </w:rPr>
        <w:t>Movements during the Year</w:t>
      </w:r>
    </w:p>
    <w:p w:rsidR="00D90216" w:rsidRPr="00CC0566" w:rsidRDefault="00D90216" w:rsidP="00D90216">
      <w:pPr>
        <w:ind w:left="720"/>
        <w:jc w:val="both"/>
        <w:rPr>
          <w:sz w:val="16"/>
          <w:szCs w:val="16"/>
        </w:rPr>
      </w:pPr>
    </w:p>
    <w:p w:rsidR="00D90216" w:rsidRPr="00375D77" w:rsidRDefault="00D90216" w:rsidP="00D90216">
      <w:pPr>
        <w:pStyle w:val="BodyTextIndent"/>
        <w:jc w:val="both"/>
        <w:rPr>
          <w:sz w:val="22"/>
          <w:lang w:val="en-GB"/>
        </w:rPr>
      </w:pPr>
      <w:r w:rsidRPr="00375D77">
        <w:rPr>
          <w:sz w:val="22"/>
          <w:lang w:val="en-GB"/>
        </w:rPr>
        <w:t xml:space="preserve">The table below summarises the movements in </w:t>
      </w:r>
      <w:r>
        <w:rPr>
          <w:sz w:val="22"/>
          <w:lang w:val="en-GB"/>
        </w:rPr>
        <w:t>Property, Plant and Equipment</w:t>
      </w:r>
      <w:r w:rsidRPr="00375D77">
        <w:rPr>
          <w:sz w:val="22"/>
          <w:lang w:val="en-GB"/>
        </w:rPr>
        <w:t xml:space="preserve"> during the year.  Land and buildings, vehicles, plant, furniture and equipment are all disclosed at their net current value.  All additions (i.e. new expenditure) are shown at cost.</w:t>
      </w:r>
    </w:p>
    <w:p w:rsidR="00D90216" w:rsidRPr="00CC0566" w:rsidRDefault="00D90216" w:rsidP="00D90216">
      <w:pPr>
        <w:ind w:left="720"/>
        <w:jc w:val="both"/>
        <w:rPr>
          <w:sz w:val="16"/>
          <w:szCs w:val="16"/>
        </w:rPr>
      </w:pPr>
    </w:p>
    <w:p w:rsidR="00D90216" w:rsidRDefault="00D90216" w:rsidP="0014172A">
      <w:pPr>
        <w:ind w:left="709"/>
        <w:jc w:val="both"/>
        <w:rPr>
          <w:sz w:val="22"/>
        </w:rPr>
      </w:pPr>
      <w:r w:rsidRPr="00375D77">
        <w:rPr>
          <w:sz w:val="22"/>
        </w:rPr>
        <w:t>Movements in Property, Plant and Equipment analysed into their different categories</w:t>
      </w:r>
      <w:r w:rsidR="00B16EF7">
        <w:rPr>
          <w:sz w:val="22"/>
        </w:rPr>
        <w:t xml:space="preserve"> for 201</w:t>
      </w:r>
      <w:r w:rsidR="001B72DF">
        <w:rPr>
          <w:sz w:val="22"/>
        </w:rPr>
        <w:t>7</w:t>
      </w:r>
      <w:r w:rsidR="002C5D98">
        <w:rPr>
          <w:sz w:val="22"/>
        </w:rPr>
        <w:t>/1</w:t>
      </w:r>
      <w:r w:rsidR="001B72DF">
        <w:rPr>
          <w:sz w:val="22"/>
        </w:rPr>
        <w:t>8</w:t>
      </w:r>
      <w:r w:rsidRPr="00375D77">
        <w:rPr>
          <w:sz w:val="22"/>
        </w:rPr>
        <w:t xml:space="preserve"> are:</w:t>
      </w:r>
    </w:p>
    <w:p w:rsidR="002C5D98" w:rsidRPr="00CC0566" w:rsidRDefault="002C5D98" w:rsidP="0014172A">
      <w:pPr>
        <w:ind w:left="709"/>
        <w:jc w:val="both"/>
        <w:rPr>
          <w:sz w:val="16"/>
          <w:szCs w:val="16"/>
          <w:highlight w:val="cyan"/>
        </w:rPr>
      </w:pPr>
    </w:p>
    <w:tbl>
      <w:tblPr>
        <w:tblW w:w="10347" w:type="dxa"/>
        <w:tblInd w:w="534" w:type="dxa"/>
        <w:tblLayout w:type="fixed"/>
        <w:tblLook w:val="0000" w:firstRow="0" w:lastRow="0" w:firstColumn="0" w:lastColumn="0" w:noHBand="0" w:noVBand="0"/>
      </w:tblPr>
      <w:tblGrid>
        <w:gridCol w:w="3827"/>
        <w:gridCol w:w="1418"/>
        <w:gridCol w:w="1275"/>
        <w:gridCol w:w="1417"/>
        <w:gridCol w:w="1134"/>
        <w:gridCol w:w="1276"/>
      </w:tblGrid>
      <w:tr w:rsidR="00B42FD1" w:rsidRPr="00A60775" w:rsidTr="00A250F7">
        <w:trPr>
          <w:trHeight w:val="510"/>
        </w:trPr>
        <w:tc>
          <w:tcPr>
            <w:tcW w:w="3827" w:type="dxa"/>
            <w:tcBorders>
              <w:top w:val="nil"/>
              <w:left w:val="nil"/>
              <w:bottom w:val="nil"/>
              <w:right w:val="nil"/>
            </w:tcBorders>
            <w:shd w:val="clear" w:color="auto" w:fill="auto"/>
            <w:noWrap/>
            <w:vAlign w:val="bottom"/>
          </w:tcPr>
          <w:p w:rsidR="00B42FD1" w:rsidRPr="00375D77" w:rsidRDefault="00B42FD1" w:rsidP="0014172A">
            <w:pPr>
              <w:ind w:left="175"/>
              <w:rPr>
                <w:rFonts w:cs="Arial"/>
                <w:sz w:val="20"/>
                <w:lang w:eastAsia="en-GB"/>
              </w:rPr>
            </w:pPr>
            <w:r w:rsidRPr="00375D77">
              <w:rPr>
                <w:rFonts w:cs="Arial"/>
                <w:b/>
                <w:bCs/>
                <w:sz w:val="20"/>
                <w:lang w:eastAsia="en-GB"/>
              </w:rPr>
              <w:t>Movement during the year</w:t>
            </w:r>
          </w:p>
        </w:tc>
        <w:tc>
          <w:tcPr>
            <w:tcW w:w="1418" w:type="dxa"/>
            <w:tcBorders>
              <w:top w:val="nil"/>
              <w:left w:val="nil"/>
              <w:bottom w:val="nil"/>
              <w:right w:val="nil"/>
            </w:tcBorders>
            <w:shd w:val="clear" w:color="auto" w:fill="auto"/>
            <w:vAlign w:val="bottom"/>
          </w:tcPr>
          <w:p w:rsidR="00B42FD1" w:rsidRPr="005A4CB4" w:rsidRDefault="00B42FD1" w:rsidP="00675076">
            <w:pPr>
              <w:jc w:val="center"/>
              <w:rPr>
                <w:rFonts w:cs="Arial"/>
                <w:b/>
                <w:bCs/>
                <w:sz w:val="20"/>
                <w:lang w:eastAsia="en-GB"/>
              </w:rPr>
            </w:pPr>
            <w:r w:rsidRPr="005A4CB4">
              <w:rPr>
                <w:rFonts w:cs="Arial"/>
                <w:b/>
                <w:bCs/>
                <w:sz w:val="20"/>
                <w:lang w:eastAsia="en-GB"/>
              </w:rPr>
              <w:t>Other Land &amp; Buildings</w:t>
            </w:r>
          </w:p>
        </w:tc>
        <w:tc>
          <w:tcPr>
            <w:tcW w:w="1275" w:type="dxa"/>
            <w:tcBorders>
              <w:top w:val="nil"/>
              <w:left w:val="nil"/>
              <w:bottom w:val="nil"/>
              <w:right w:val="nil"/>
            </w:tcBorders>
            <w:vAlign w:val="bottom"/>
          </w:tcPr>
          <w:p w:rsidR="00B42FD1" w:rsidRPr="00731E25" w:rsidRDefault="00436DA6" w:rsidP="00675076">
            <w:pPr>
              <w:jc w:val="center"/>
              <w:rPr>
                <w:rFonts w:cs="Arial"/>
                <w:b/>
                <w:bCs/>
                <w:sz w:val="20"/>
                <w:lang w:eastAsia="en-GB"/>
              </w:rPr>
            </w:pPr>
            <w:r>
              <w:rPr>
                <w:rFonts w:cs="Arial"/>
                <w:b/>
                <w:bCs/>
                <w:sz w:val="20"/>
                <w:lang w:eastAsia="en-GB"/>
              </w:rPr>
              <w:t>PFI Assets</w:t>
            </w:r>
            <w:r w:rsidR="00CF037A">
              <w:rPr>
                <w:rFonts w:cs="Arial"/>
                <w:b/>
                <w:bCs/>
                <w:sz w:val="20"/>
                <w:lang w:eastAsia="en-GB"/>
              </w:rPr>
              <w:t xml:space="preserve"> – land &amp; buildings</w:t>
            </w:r>
          </w:p>
        </w:tc>
        <w:tc>
          <w:tcPr>
            <w:tcW w:w="1417" w:type="dxa"/>
            <w:tcBorders>
              <w:top w:val="nil"/>
              <w:left w:val="nil"/>
              <w:bottom w:val="nil"/>
              <w:right w:val="nil"/>
            </w:tcBorders>
            <w:vAlign w:val="bottom"/>
          </w:tcPr>
          <w:p w:rsidR="00B42FD1" w:rsidRPr="005A4CB4" w:rsidRDefault="00B42FD1" w:rsidP="00675076">
            <w:pPr>
              <w:jc w:val="center"/>
              <w:rPr>
                <w:rFonts w:cs="Arial"/>
                <w:b/>
                <w:bCs/>
                <w:sz w:val="20"/>
                <w:lang w:eastAsia="en-GB"/>
              </w:rPr>
            </w:pPr>
            <w:r w:rsidRPr="005A4CB4">
              <w:rPr>
                <w:rFonts w:cs="Arial"/>
                <w:b/>
                <w:bCs/>
                <w:sz w:val="20"/>
                <w:lang w:eastAsia="en-GB"/>
              </w:rPr>
              <w:t>Vehicles, Plant &amp; Equipment</w:t>
            </w:r>
          </w:p>
        </w:tc>
        <w:tc>
          <w:tcPr>
            <w:tcW w:w="1134" w:type="dxa"/>
            <w:tcBorders>
              <w:top w:val="nil"/>
              <w:left w:val="nil"/>
              <w:bottom w:val="nil"/>
              <w:right w:val="nil"/>
            </w:tcBorders>
            <w:shd w:val="clear" w:color="auto" w:fill="auto"/>
            <w:noWrap/>
            <w:vAlign w:val="bottom"/>
          </w:tcPr>
          <w:p w:rsidR="00B42FD1" w:rsidRPr="005A4CB4" w:rsidRDefault="001B72DF" w:rsidP="00675076">
            <w:pPr>
              <w:jc w:val="center"/>
              <w:rPr>
                <w:rFonts w:cs="Arial"/>
                <w:b/>
                <w:sz w:val="20"/>
                <w:lang w:eastAsia="en-GB"/>
              </w:rPr>
            </w:pPr>
            <w:r>
              <w:rPr>
                <w:rFonts w:cs="Arial"/>
                <w:b/>
                <w:sz w:val="20"/>
                <w:lang w:eastAsia="en-GB"/>
              </w:rPr>
              <w:t>Assets under construction</w:t>
            </w:r>
          </w:p>
        </w:tc>
        <w:tc>
          <w:tcPr>
            <w:tcW w:w="1276" w:type="dxa"/>
            <w:tcBorders>
              <w:top w:val="nil"/>
              <w:left w:val="nil"/>
              <w:bottom w:val="nil"/>
              <w:right w:val="nil"/>
            </w:tcBorders>
            <w:shd w:val="clear" w:color="auto" w:fill="auto"/>
            <w:noWrap/>
            <w:vAlign w:val="bottom"/>
          </w:tcPr>
          <w:p w:rsidR="00B42FD1" w:rsidRPr="005A4CB4" w:rsidRDefault="00B42FD1" w:rsidP="00675076">
            <w:pPr>
              <w:pStyle w:val="CommentSubject"/>
              <w:jc w:val="center"/>
              <w:rPr>
                <w:rFonts w:ascii="Arial" w:hAnsi="Arial" w:cs="Arial"/>
                <w:lang w:eastAsia="en-GB"/>
              </w:rPr>
            </w:pPr>
            <w:r w:rsidRPr="005A4CB4">
              <w:rPr>
                <w:rFonts w:ascii="Arial" w:hAnsi="Arial" w:cs="Arial"/>
                <w:lang w:eastAsia="en-GB"/>
              </w:rPr>
              <w:t>Total Property, Plant &amp; Equipment</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375D77" w:rsidRDefault="00B42FD1" w:rsidP="0014172A">
            <w:pPr>
              <w:ind w:left="175"/>
              <w:rPr>
                <w:rFonts w:cs="Arial"/>
                <w:b/>
                <w:bCs/>
                <w:sz w:val="20"/>
                <w:lang w:eastAsia="en-GB"/>
              </w:rPr>
            </w:pPr>
          </w:p>
        </w:tc>
        <w:tc>
          <w:tcPr>
            <w:tcW w:w="1418" w:type="dxa"/>
            <w:tcBorders>
              <w:top w:val="nil"/>
              <w:left w:val="nil"/>
              <w:bottom w:val="nil"/>
              <w:right w:val="nil"/>
            </w:tcBorders>
            <w:shd w:val="clear" w:color="auto" w:fill="auto"/>
            <w:noWrap/>
            <w:vAlign w:val="bottom"/>
          </w:tcPr>
          <w:p w:rsidR="00B42FD1" w:rsidRPr="00EB1671" w:rsidRDefault="00B42FD1" w:rsidP="00064235">
            <w:pPr>
              <w:jc w:val="center"/>
              <w:rPr>
                <w:rFonts w:cs="Arial"/>
                <w:sz w:val="20"/>
                <w:lang w:eastAsia="en-GB"/>
              </w:rPr>
            </w:pPr>
            <w:r>
              <w:rPr>
                <w:rFonts w:cs="Arial"/>
                <w:sz w:val="20"/>
                <w:lang w:eastAsia="en-GB"/>
              </w:rPr>
              <w:t>£000</w:t>
            </w:r>
          </w:p>
        </w:tc>
        <w:tc>
          <w:tcPr>
            <w:tcW w:w="1275" w:type="dxa"/>
            <w:tcBorders>
              <w:top w:val="nil"/>
              <w:left w:val="nil"/>
              <w:bottom w:val="nil"/>
              <w:right w:val="nil"/>
            </w:tcBorders>
          </w:tcPr>
          <w:p w:rsidR="00B42FD1" w:rsidRDefault="00436DA6" w:rsidP="00807885">
            <w:pPr>
              <w:jc w:val="center"/>
              <w:rPr>
                <w:rFonts w:cs="Arial"/>
                <w:sz w:val="20"/>
                <w:lang w:eastAsia="en-GB"/>
              </w:rPr>
            </w:pPr>
            <w:r>
              <w:rPr>
                <w:rFonts w:cs="Arial"/>
                <w:sz w:val="20"/>
                <w:lang w:eastAsia="en-GB"/>
              </w:rPr>
              <w:t>£000</w:t>
            </w:r>
          </w:p>
        </w:tc>
        <w:tc>
          <w:tcPr>
            <w:tcW w:w="1417" w:type="dxa"/>
            <w:tcBorders>
              <w:top w:val="nil"/>
              <w:left w:val="nil"/>
              <w:bottom w:val="nil"/>
              <w:right w:val="nil"/>
            </w:tcBorders>
            <w:vAlign w:val="bottom"/>
          </w:tcPr>
          <w:p w:rsidR="00B42FD1" w:rsidRPr="00EB1671" w:rsidRDefault="00B42FD1" w:rsidP="00807885">
            <w:pPr>
              <w:jc w:val="center"/>
              <w:rPr>
                <w:rFonts w:cs="Arial"/>
                <w:sz w:val="20"/>
                <w:lang w:eastAsia="en-GB"/>
              </w:rPr>
            </w:pPr>
            <w:r>
              <w:rPr>
                <w:rFonts w:cs="Arial"/>
                <w:sz w:val="20"/>
                <w:lang w:eastAsia="en-GB"/>
              </w:rPr>
              <w:t>£000</w:t>
            </w:r>
          </w:p>
        </w:tc>
        <w:tc>
          <w:tcPr>
            <w:tcW w:w="1134" w:type="dxa"/>
            <w:tcBorders>
              <w:top w:val="nil"/>
              <w:left w:val="nil"/>
              <w:bottom w:val="nil"/>
              <w:right w:val="nil"/>
            </w:tcBorders>
            <w:shd w:val="clear" w:color="auto" w:fill="auto"/>
            <w:noWrap/>
            <w:vAlign w:val="bottom"/>
          </w:tcPr>
          <w:p w:rsidR="00B42FD1" w:rsidRPr="00EB1671" w:rsidRDefault="00B42FD1" w:rsidP="00807885">
            <w:pPr>
              <w:jc w:val="center"/>
              <w:rPr>
                <w:rFonts w:cs="Arial"/>
                <w:sz w:val="20"/>
                <w:lang w:eastAsia="en-GB"/>
              </w:rPr>
            </w:pPr>
            <w:r>
              <w:rPr>
                <w:rFonts w:cs="Arial"/>
                <w:sz w:val="20"/>
                <w:lang w:eastAsia="en-GB"/>
              </w:rPr>
              <w:t>£000</w:t>
            </w:r>
          </w:p>
        </w:tc>
        <w:tc>
          <w:tcPr>
            <w:tcW w:w="1276" w:type="dxa"/>
            <w:tcBorders>
              <w:top w:val="nil"/>
              <w:left w:val="nil"/>
              <w:bottom w:val="nil"/>
              <w:right w:val="nil"/>
            </w:tcBorders>
            <w:shd w:val="clear" w:color="auto" w:fill="auto"/>
            <w:noWrap/>
            <w:vAlign w:val="bottom"/>
          </w:tcPr>
          <w:p w:rsidR="00B42FD1" w:rsidRPr="00EB1671" w:rsidRDefault="00B42FD1" w:rsidP="00807885">
            <w:pPr>
              <w:jc w:val="center"/>
              <w:rPr>
                <w:rFonts w:cs="Arial"/>
                <w:sz w:val="20"/>
                <w:lang w:eastAsia="en-GB"/>
              </w:rPr>
            </w:pPr>
            <w:r>
              <w:rPr>
                <w:rFonts w:cs="Arial"/>
                <w:sz w:val="20"/>
                <w:lang w:eastAsia="en-GB"/>
              </w:rPr>
              <w:t>£000</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375D77" w:rsidRDefault="00B42FD1" w:rsidP="0014172A">
            <w:pPr>
              <w:ind w:left="175"/>
              <w:rPr>
                <w:rFonts w:cs="Arial"/>
                <w:b/>
                <w:bCs/>
                <w:sz w:val="20"/>
                <w:lang w:eastAsia="en-GB"/>
              </w:rPr>
            </w:pPr>
            <w:r w:rsidRPr="00375D77">
              <w:rPr>
                <w:rFonts w:cs="Arial"/>
                <w:b/>
                <w:bCs/>
                <w:sz w:val="20"/>
                <w:lang w:eastAsia="en-GB"/>
              </w:rPr>
              <w:t>Cost or valuation</w:t>
            </w:r>
          </w:p>
        </w:tc>
        <w:tc>
          <w:tcPr>
            <w:tcW w:w="1418" w:type="dxa"/>
            <w:tcBorders>
              <w:top w:val="nil"/>
              <w:left w:val="nil"/>
              <w:bottom w:val="nil"/>
              <w:right w:val="nil"/>
            </w:tcBorders>
            <w:shd w:val="clear" w:color="auto" w:fill="auto"/>
            <w:noWrap/>
            <w:vAlign w:val="bottom"/>
          </w:tcPr>
          <w:p w:rsidR="00B42FD1" w:rsidRPr="00EB1671" w:rsidRDefault="00B42FD1" w:rsidP="00CD62E6">
            <w:pPr>
              <w:rPr>
                <w:rFonts w:cs="Arial"/>
                <w:sz w:val="20"/>
                <w:lang w:eastAsia="en-GB"/>
              </w:rPr>
            </w:pPr>
          </w:p>
        </w:tc>
        <w:tc>
          <w:tcPr>
            <w:tcW w:w="1275" w:type="dxa"/>
            <w:tcBorders>
              <w:top w:val="nil"/>
              <w:left w:val="nil"/>
              <w:bottom w:val="nil"/>
              <w:right w:val="nil"/>
            </w:tcBorders>
          </w:tcPr>
          <w:p w:rsidR="00B42FD1" w:rsidRPr="00EB1671" w:rsidRDefault="00B42FD1" w:rsidP="00CD62E6">
            <w:pPr>
              <w:rPr>
                <w:rFonts w:cs="Arial"/>
                <w:sz w:val="20"/>
                <w:lang w:eastAsia="en-GB"/>
              </w:rPr>
            </w:pPr>
          </w:p>
        </w:tc>
        <w:tc>
          <w:tcPr>
            <w:tcW w:w="1417" w:type="dxa"/>
            <w:tcBorders>
              <w:top w:val="nil"/>
              <w:left w:val="nil"/>
              <w:bottom w:val="nil"/>
              <w:right w:val="nil"/>
            </w:tcBorders>
            <w:vAlign w:val="bottom"/>
          </w:tcPr>
          <w:p w:rsidR="00B42FD1" w:rsidRPr="00EB1671" w:rsidRDefault="00B42FD1" w:rsidP="00CD62E6">
            <w:pPr>
              <w:rPr>
                <w:rFonts w:cs="Arial"/>
                <w:sz w:val="20"/>
                <w:lang w:eastAsia="en-GB"/>
              </w:rPr>
            </w:pPr>
          </w:p>
        </w:tc>
        <w:tc>
          <w:tcPr>
            <w:tcW w:w="1134" w:type="dxa"/>
            <w:tcBorders>
              <w:top w:val="nil"/>
              <w:left w:val="nil"/>
              <w:bottom w:val="nil"/>
              <w:right w:val="nil"/>
            </w:tcBorders>
            <w:shd w:val="clear" w:color="auto" w:fill="auto"/>
            <w:noWrap/>
            <w:vAlign w:val="bottom"/>
          </w:tcPr>
          <w:p w:rsidR="00B42FD1" w:rsidRPr="00EB1671" w:rsidRDefault="00B42FD1" w:rsidP="00CD62E6">
            <w:pPr>
              <w:rPr>
                <w:rFonts w:cs="Arial"/>
                <w:sz w:val="20"/>
                <w:lang w:eastAsia="en-GB"/>
              </w:rPr>
            </w:pPr>
          </w:p>
        </w:tc>
        <w:tc>
          <w:tcPr>
            <w:tcW w:w="1276" w:type="dxa"/>
            <w:tcBorders>
              <w:top w:val="nil"/>
              <w:left w:val="nil"/>
              <w:bottom w:val="nil"/>
              <w:right w:val="nil"/>
            </w:tcBorders>
            <w:shd w:val="clear" w:color="auto" w:fill="auto"/>
            <w:noWrap/>
            <w:vAlign w:val="bottom"/>
          </w:tcPr>
          <w:p w:rsidR="00B42FD1" w:rsidRPr="00EB1671" w:rsidRDefault="00B42FD1" w:rsidP="00CD62E6">
            <w:pPr>
              <w:rPr>
                <w:rFonts w:cs="Arial"/>
                <w:sz w:val="20"/>
                <w:lang w:eastAsia="en-GB"/>
              </w:rPr>
            </w:pPr>
          </w:p>
        </w:tc>
      </w:tr>
      <w:tr w:rsidR="001B72DF" w:rsidRPr="00A60775" w:rsidTr="00A250F7">
        <w:trPr>
          <w:trHeight w:val="255"/>
        </w:trPr>
        <w:tc>
          <w:tcPr>
            <w:tcW w:w="3827" w:type="dxa"/>
            <w:tcBorders>
              <w:top w:val="nil"/>
              <w:left w:val="nil"/>
              <w:bottom w:val="nil"/>
              <w:right w:val="nil"/>
            </w:tcBorders>
            <w:shd w:val="clear" w:color="auto" w:fill="auto"/>
            <w:noWrap/>
            <w:vAlign w:val="bottom"/>
          </w:tcPr>
          <w:p w:rsidR="001B72DF" w:rsidRPr="00375D77" w:rsidRDefault="001B72DF" w:rsidP="001B72DF">
            <w:pPr>
              <w:ind w:left="175"/>
              <w:rPr>
                <w:rFonts w:cs="Arial"/>
                <w:sz w:val="20"/>
                <w:lang w:eastAsia="en-GB"/>
              </w:rPr>
            </w:pPr>
            <w:r w:rsidRPr="00375D77">
              <w:rPr>
                <w:rFonts w:cs="Arial"/>
                <w:sz w:val="20"/>
                <w:lang w:eastAsia="en-GB"/>
              </w:rPr>
              <w:t>At 1 April</w:t>
            </w:r>
            <w:r>
              <w:rPr>
                <w:rFonts w:cs="Arial"/>
                <w:sz w:val="20"/>
                <w:lang w:eastAsia="en-GB"/>
              </w:rPr>
              <w:t xml:space="preserve"> 2017</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53,256</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21,</w:t>
            </w:r>
            <w:r w:rsidR="00AA094D">
              <w:rPr>
                <w:rFonts w:cs="Arial"/>
                <w:sz w:val="20"/>
                <w:lang w:eastAsia="en-GB"/>
              </w:rPr>
              <w:t>445</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100,</w:t>
            </w:r>
            <w:r w:rsidR="00AA094D">
              <w:rPr>
                <w:rFonts w:cs="Arial"/>
                <w:sz w:val="20"/>
                <w:lang w:eastAsia="en-GB"/>
              </w:rPr>
              <w:t>310</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5A4CB4" w:rsidRDefault="00B42FD1" w:rsidP="0014172A">
            <w:pPr>
              <w:ind w:left="175"/>
              <w:rPr>
                <w:rFonts w:cs="Arial"/>
                <w:sz w:val="20"/>
                <w:lang w:eastAsia="en-GB"/>
              </w:rPr>
            </w:pPr>
            <w:r w:rsidRPr="005A4CB4">
              <w:rPr>
                <w:rFonts w:cs="Arial"/>
                <w:sz w:val="20"/>
                <w:lang w:eastAsia="en-GB"/>
              </w:rPr>
              <w:t>Additions</w:t>
            </w:r>
          </w:p>
        </w:tc>
        <w:tc>
          <w:tcPr>
            <w:tcW w:w="1418" w:type="dxa"/>
            <w:tcBorders>
              <w:top w:val="nil"/>
              <w:left w:val="nil"/>
              <w:bottom w:val="nil"/>
              <w:right w:val="nil"/>
            </w:tcBorders>
            <w:shd w:val="clear" w:color="auto" w:fill="auto"/>
            <w:noWrap/>
            <w:vAlign w:val="bottom"/>
          </w:tcPr>
          <w:p w:rsidR="00B42FD1" w:rsidRPr="003D62DA" w:rsidRDefault="005C13EC" w:rsidP="003D62DA">
            <w:pPr>
              <w:jc w:val="right"/>
              <w:rPr>
                <w:rFonts w:cs="Arial"/>
                <w:sz w:val="20"/>
                <w:lang w:eastAsia="en-GB"/>
              </w:rPr>
            </w:pPr>
            <w:r>
              <w:rPr>
                <w:rFonts w:cs="Arial"/>
                <w:sz w:val="20"/>
                <w:lang w:eastAsia="en-GB"/>
              </w:rPr>
              <w:t>375</w:t>
            </w:r>
          </w:p>
        </w:tc>
        <w:tc>
          <w:tcPr>
            <w:tcW w:w="1275" w:type="dxa"/>
            <w:tcBorders>
              <w:top w:val="nil"/>
              <w:left w:val="nil"/>
              <w:bottom w:val="nil"/>
              <w:right w:val="nil"/>
            </w:tcBorders>
          </w:tcPr>
          <w:p w:rsidR="00B42FD1" w:rsidRDefault="008628EC" w:rsidP="00CD62E6">
            <w:pPr>
              <w:jc w:val="right"/>
              <w:rPr>
                <w:rFonts w:cs="Arial"/>
                <w:sz w:val="20"/>
                <w:lang w:eastAsia="en-GB"/>
              </w:rPr>
            </w:pPr>
            <w:r>
              <w:rPr>
                <w:rFonts w:cs="Arial"/>
                <w:sz w:val="20"/>
                <w:lang w:eastAsia="en-GB"/>
              </w:rPr>
              <w:t>-</w:t>
            </w:r>
          </w:p>
        </w:tc>
        <w:tc>
          <w:tcPr>
            <w:tcW w:w="1417" w:type="dxa"/>
            <w:tcBorders>
              <w:top w:val="nil"/>
              <w:left w:val="nil"/>
              <w:bottom w:val="nil"/>
              <w:right w:val="nil"/>
            </w:tcBorders>
            <w:vAlign w:val="bottom"/>
          </w:tcPr>
          <w:p w:rsidR="00B42FD1" w:rsidRPr="003D62DA" w:rsidRDefault="008628EC" w:rsidP="00CA025A">
            <w:pPr>
              <w:jc w:val="right"/>
              <w:rPr>
                <w:rFonts w:cs="Arial"/>
                <w:sz w:val="20"/>
                <w:lang w:eastAsia="en-GB"/>
              </w:rPr>
            </w:pPr>
            <w:r>
              <w:rPr>
                <w:rFonts w:cs="Arial"/>
                <w:sz w:val="20"/>
                <w:lang w:eastAsia="en-GB"/>
              </w:rPr>
              <w:t>2,</w:t>
            </w:r>
            <w:r w:rsidR="00AA094D">
              <w:rPr>
                <w:rFonts w:cs="Arial"/>
                <w:sz w:val="20"/>
                <w:lang w:eastAsia="en-GB"/>
              </w:rPr>
              <w:t>767</w:t>
            </w:r>
          </w:p>
        </w:tc>
        <w:tc>
          <w:tcPr>
            <w:tcW w:w="1134" w:type="dxa"/>
            <w:tcBorders>
              <w:top w:val="nil"/>
              <w:left w:val="nil"/>
              <w:bottom w:val="nil"/>
              <w:right w:val="nil"/>
            </w:tcBorders>
            <w:shd w:val="clear" w:color="auto" w:fill="auto"/>
            <w:noWrap/>
            <w:vAlign w:val="bottom"/>
          </w:tcPr>
          <w:p w:rsidR="00B42FD1" w:rsidRPr="003D62DA" w:rsidRDefault="005C13EC" w:rsidP="00CD62E6">
            <w:pPr>
              <w:jc w:val="right"/>
              <w:rPr>
                <w:rFonts w:cs="Arial"/>
                <w:sz w:val="20"/>
                <w:lang w:eastAsia="en-GB"/>
              </w:rPr>
            </w:pPr>
            <w:r>
              <w:rPr>
                <w:rFonts w:cs="Arial"/>
                <w:sz w:val="20"/>
                <w:lang w:eastAsia="en-GB"/>
              </w:rPr>
              <w:t>1,498</w:t>
            </w:r>
          </w:p>
        </w:tc>
        <w:tc>
          <w:tcPr>
            <w:tcW w:w="1276" w:type="dxa"/>
            <w:tcBorders>
              <w:top w:val="nil"/>
              <w:left w:val="nil"/>
              <w:bottom w:val="nil"/>
              <w:right w:val="nil"/>
            </w:tcBorders>
            <w:shd w:val="clear" w:color="auto" w:fill="auto"/>
            <w:noWrap/>
            <w:vAlign w:val="bottom"/>
          </w:tcPr>
          <w:p w:rsidR="00B42FD1" w:rsidRPr="003D62DA" w:rsidRDefault="008628EC" w:rsidP="00CD62E6">
            <w:pPr>
              <w:jc w:val="right"/>
              <w:rPr>
                <w:rFonts w:cs="Arial"/>
                <w:sz w:val="20"/>
                <w:lang w:eastAsia="en-GB"/>
              </w:rPr>
            </w:pPr>
            <w:r>
              <w:rPr>
                <w:rFonts w:cs="Arial"/>
                <w:sz w:val="20"/>
                <w:lang w:eastAsia="en-GB"/>
              </w:rPr>
              <w:t>4,63</w:t>
            </w:r>
            <w:r w:rsidR="00AA094D">
              <w:rPr>
                <w:rFonts w:cs="Arial"/>
                <w:sz w:val="20"/>
                <w:lang w:eastAsia="en-GB"/>
              </w:rPr>
              <w:t>9</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5A4CB4" w:rsidRDefault="00B42FD1" w:rsidP="0014172A">
            <w:pPr>
              <w:ind w:left="175"/>
              <w:rPr>
                <w:rFonts w:cs="Arial"/>
                <w:sz w:val="20"/>
                <w:lang w:eastAsia="en-GB"/>
              </w:rPr>
            </w:pPr>
            <w:r w:rsidRPr="005A4CB4">
              <w:rPr>
                <w:rFonts w:cs="Arial"/>
                <w:sz w:val="20"/>
                <w:lang w:eastAsia="en-GB"/>
              </w:rPr>
              <w:t>Disposals</w:t>
            </w:r>
          </w:p>
        </w:tc>
        <w:tc>
          <w:tcPr>
            <w:tcW w:w="1418" w:type="dxa"/>
            <w:tcBorders>
              <w:top w:val="nil"/>
              <w:left w:val="nil"/>
              <w:right w:val="nil"/>
            </w:tcBorders>
            <w:shd w:val="clear" w:color="auto" w:fill="auto"/>
            <w:noWrap/>
            <w:vAlign w:val="bottom"/>
          </w:tcPr>
          <w:p w:rsidR="00B42FD1" w:rsidRPr="003D62DA" w:rsidRDefault="008628EC" w:rsidP="00CD62E6">
            <w:pPr>
              <w:jc w:val="right"/>
              <w:rPr>
                <w:rFonts w:cs="Arial"/>
                <w:sz w:val="20"/>
                <w:lang w:eastAsia="en-GB"/>
              </w:rPr>
            </w:pPr>
            <w:r>
              <w:rPr>
                <w:rFonts w:cs="Arial"/>
                <w:sz w:val="20"/>
                <w:lang w:eastAsia="en-GB"/>
              </w:rPr>
              <w:t>-</w:t>
            </w:r>
          </w:p>
        </w:tc>
        <w:tc>
          <w:tcPr>
            <w:tcW w:w="1275" w:type="dxa"/>
            <w:tcBorders>
              <w:top w:val="nil"/>
              <w:left w:val="nil"/>
              <w:right w:val="nil"/>
            </w:tcBorders>
          </w:tcPr>
          <w:p w:rsidR="00B42FD1" w:rsidRDefault="008628EC" w:rsidP="00CD62E6">
            <w:pPr>
              <w:jc w:val="right"/>
              <w:rPr>
                <w:rFonts w:cs="Arial"/>
                <w:sz w:val="20"/>
                <w:lang w:eastAsia="en-GB"/>
              </w:rPr>
            </w:pPr>
            <w:r>
              <w:rPr>
                <w:rFonts w:cs="Arial"/>
                <w:sz w:val="20"/>
                <w:lang w:eastAsia="en-GB"/>
              </w:rPr>
              <w:t>-</w:t>
            </w:r>
          </w:p>
        </w:tc>
        <w:tc>
          <w:tcPr>
            <w:tcW w:w="1417" w:type="dxa"/>
            <w:tcBorders>
              <w:top w:val="nil"/>
              <w:left w:val="nil"/>
              <w:right w:val="nil"/>
            </w:tcBorders>
            <w:vAlign w:val="bottom"/>
          </w:tcPr>
          <w:p w:rsidR="00B42FD1" w:rsidRPr="003D62DA" w:rsidRDefault="008628EC" w:rsidP="00CD62E6">
            <w:pPr>
              <w:jc w:val="right"/>
              <w:rPr>
                <w:rFonts w:cs="Arial"/>
                <w:sz w:val="20"/>
                <w:lang w:eastAsia="en-GB"/>
              </w:rPr>
            </w:pPr>
            <w:r>
              <w:rPr>
                <w:rFonts w:cs="Arial"/>
                <w:sz w:val="20"/>
                <w:lang w:eastAsia="en-GB"/>
              </w:rPr>
              <w:t>(889)</w:t>
            </w:r>
          </w:p>
        </w:tc>
        <w:tc>
          <w:tcPr>
            <w:tcW w:w="1134" w:type="dxa"/>
            <w:tcBorders>
              <w:top w:val="nil"/>
              <w:left w:val="nil"/>
              <w:right w:val="nil"/>
            </w:tcBorders>
            <w:shd w:val="clear" w:color="auto" w:fill="auto"/>
            <w:noWrap/>
            <w:vAlign w:val="bottom"/>
          </w:tcPr>
          <w:p w:rsidR="00B42FD1" w:rsidRPr="003D62DA" w:rsidRDefault="008628EC" w:rsidP="00CD62E6">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B42FD1" w:rsidRPr="003D62DA" w:rsidRDefault="008628EC" w:rsidP="002B6BA2">
            <w:pPr>
              <w:jc w:val="right"/>
              <w:rPr>
                <w:rFonts w:cs="Arial"/>
                <w:sz w:val="20"/>
                <w:lang w:eastAsia="en-GB"/>
              </w:rPr>
            </w:pPr>
            <w:r>
              <w:rPr>
                <w:rFonts w:cs="Arial"/>
                <w:sz w:val="20"/>
                <w:lang w:eastAsia="en-GB"/>
              </w:rPr>
              <w:t>(889)</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37293D">
            <w:pPr>
              <w:ind w:left="175"/>
              <w:rPr>
                <w:rFonts w:cs="Arial"/>
                <w:sz w:val="20"/>
                <w:lang w:eastAsia="en-GB"/>
              </w:rPr>
            </w:pPr>
            <w:r w:rsidRPr="00E76B67">
              <w:rPr>
                <w:rFonts w:cs="Arial"/>
                <w:sz w:val="20"/>
                <w:lang w:eastAsia="en-GB"/>
              </w:rPr>
              <w:t>Impairment losses recognised in the Revaluation Reserve</w:t>
            </w:r>
          </w:p>
        </w:tc>
        <w:tc>
          <w:tcPr>
            <w:tcW w:w="1418" w:type="dxa"/>
            <w:tcBorders>
              <w:left w:val="nil"/>
              <w:right w:val="nil"/>
            </w:tcBorders>
            <w:shd w:val="clear" w:color="auto" w:fill="auto"/>
            <w:noWrap/>
            <w:vAlign w:val="bottom"/>
          </w:tcPr>
          <w:p w:rsidR="00B42FD1" w:rsidRPr="00983509" w:rsidRDefault="008628EC" w:rsidP="000B4E07">
            <w:pPr>
              <w:jc w:val="right"/>
              <w:rPr>
                <w:rFonts w:cs="Arial"/>
                <w:sz w:val="20"/>
                <w:lang w:eastAsia="en-GB"/>
              </w:rPr>
            </w:pPr>
            <w:r>
              <w:rPr>
                <w:rFonts w:cs="Arial"/>
                <w:sz w:val="20"/>
                <w:lang w:eastAsia="en-GB"/>
              </w:rPr>
              <w:t>(2,462)</w:t>
            </w:r>
          </w:p>
        </w:tc>
        <w:tc>
          <w:tcPr>
            <w:tcW w:w="1275" w:type="dxa"/>
            <w:tcBorders>
              <w:left w:val="nil"/>
              <w:right w:val="nil"/>
            </w:tcBorders>
            <w:vAlign w:val="bottom"/>
          </w:tcPr>
          <w:p w:rsidR="00B42FD1" w:rsidRDefault="008628EC" w:rsidP="000B4E07">
            <w:pPr>
              <w:jc w:val="right"/>
              <w:rPr>
                <w:rFonts w:cs="Arial"/>
                <w:sz w:val="20"/>
                <w:lang w:eastAsia="en-GB"/>
              </w:rPr>
            </w:pPr>
            <w:r>
              <w:rPr>
                <w:rFonts w:cs="Arial"/>
                <w:sz w:val="20"/>
                <w:lang w:eastAsia="en-GB"/>
              </w:rPr>
              <w:t>-</w:t>
            </w:r>
          </w:p>
        </w:tc>
        <w:tc>
          <w:tcPr>
            <w:tcW w:w="1417" w:type="dxa"/>
            <w:tcBorders>
              <w:left w:val="nil"/>
              <w:right w:val="nil"/>
            </w:tcBorders>
            <w:vAlign w:val="bottom"/>
          </w:tcPr>
          <w:p w:rsidR="00B42FD1" w:rsidRPr="00983509" w:rsidRDefault="008628EC" w:rsidP="0037293D">
            <w:pPr>
              <w:jc w:val="right"/>
              <w:rPr>
                <w:rFonts w:cs="Arial"/>
                <w:sz w:val="20"/>
                <w:lang w:eastAsia="en-GB"/>
              </w:rPr>
            </w:pPr>
            <w:r>
              <w:rPr>
                <w:rFonts w:cs="Arial"/>
                <w:sz w:val="20"/>
                <w:lang w:eastAsia="en-GB"/>
              </w:rPr>
              <w:t>-</w:t>
            </w:r>
          </w:p>
        </w:tc>
        <w:tc>
          <w:tcPr>
            <w:tcW w:w="1134" w:type="dxa"/>
            <w:tcBorders>
              <w:left w:val="nil"/>
              <w:right w:val="nil"/>
            </w:tcBorders>
            <w:shd w:val="clear" w:color="auto" w:fill="auto"/>
            <w:noWrap/>
            <w:vAlign w:val="bottom"/>
          </w:tcPr>
          <w:p w:rsidR="00B42FD1" w:rsidRPr="00983509" w:rsidRDefault="008628EC" w:rsidP="0037293D">
            <w:pPr>
              <w:jc w:val="right"/>
              <w:rPr>
                <w:rFonts w:cs="Arial"/>
                <w:sz w:val="20"/>
                <w:lang w:eastAsia="en-GB"/>
              </w:rPr>
            </w:pPr>
            <w:r>
              <w:rPr>
                <w:rFonts w:cs="Arial"/>
                <w:sz w:val="20"/>
                <w:lang w:eastAsia="en-GB"/>
              </w:rPr>
              <w:t>-</w:t>
            </w:r>
          </w:p>
        </w:tc>
        <w:tc>
          <w:tcPr>
            <w:tcW w:w="1276" w:type="dxa"/>
            <w:tcBorders>
              <w:left w:val="nil"/>
              <w:right w:val="nil"/>
            </w:tcBorders>
            <w:shd w:val="clear" w:color="auto" w:fill="auto"/>
            <w:noWrap/>
            <w:vAlign w:val="bottom"/>
          </w:tcPr>
          <w:p w:rsidR="00B42FD1" w:rsidRPr="00983509" w:rsidRDefault="008628EC" w:rsidP="0037293D">
            <w:pPr>
              <w:jc w:val="right"/>
              <w:rPr>
                <w:rFonts w:cs="Arial"/>
                <w:sz w:val="20"/>
                <w:lang w:eastAsia="en-GB"/>
              </w:rPr>
            </w:pPr>
            <w:r>
              <w:rPr>
                <w:rFonts w:cs="Arial"/>
                <w:sz w:val="20"/>
                <w:lang w:eastAsia="en-GB"/>
              </w:rPr>
              <w:t>(2,462)</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37293D">
            <w:pPr>
              <w:ind w:left="175"/>
              <w:rPr>
                <w:rFonts w:cs="Arial"/>
                <w:sz w:val="20"/>
                <w:lang w:eastAsia="en-GB"/>
              </w:rPr>
            </w:pPr>
            <w:r w:rsidRPr="00E76B67">
              <w:rPr>
                <w:rFonts w:cs="Arial"/>
                <w:sz w:val="20"/>
                <w:lang w:eastAsia="en-GB"/>
              </w:rPr>
              <w:t>Impairment losses recognised in the Deficit on the Provision of Services</w:t>
            </w:r>
          </w:p>
        </w:tc>
        <w:tc>
          <w:tcPr>
            <w:tcW w:w="1418" w:type="dxa"/>
            <w:tcBorders>
              <w:left w:val="nil"/>
              <w:right w:val="nil"/>
            </w:tcBorders>
            <w:shd w:val="clear" w:color="auto" w:fill="auto"/>
            <w:noWrap/>
            <w:vAlign w:val="bottom"/>
          </w:tcPr>
          <w:p w:rsidR="00B42FD1" w:rsidRPr="00983509" w:rsidRDefault="008628EC" w:rsidP="000B4E07">
            <w:pPr>
              <w:jc w:val="right"/>
              <w:rPr>
                <w:rFonts w:cs="Arial"/>
                <w:sz w:val="20"/>
                <w:lang w:eastAsia="en-GB"/>
              </w:rPr>
            </w:pPr>
            <w:r>
              <w:rPr>
                <w:rFonts w:cs="Arial"/>
                <w:sz w:val="20"/>
                <w:lang w:eastAsia="en-GB"/>
              </w:rPr>
              <w:t>(372)</w:t>
            </w:r>
          </w:p>
        </w:tc>
        <w:tc>
          <w:tcPr>
            <w:tcW w:w="1275" w:type="dxa"/>
            <w:tcBorders>
              <w:left w:val="nil"/>
              <w:right w:val="nil"/>
            </w:tcBorders>
            <w:vAlign w:val="bottom"/>
          </w:tcPr>
          <w:p w:rsidR="00B42FD1" w:rsidRDefault="008628EC" w:rsidP="000B4E07">
            <w:pPr>
              <w:jc w:val="right"/>
              <w:rPr>
                <w:rFonts w:cs="Arial"/>
                <w:sz w:val="20"/>
                <w:lang w:eastAsia="en-GB"/>
              </w:rPr>
            </w:pPr>
            <w:r>
              <w:rPr>
                <w:rFonts w:cs="Arial"/>
                <w:sz w:val="20"/>
                <w:lang w:eastAsia="en-GB"/>
              </w:rPr>
              <w:t>-</w:t>
            </w:r>
          </w:p>
        </w:tc>
        <w:tc>
          <w:tcPr>
            <w:tcW w:w="1417" w:type="dxa"/>
            <w:tcBorders>
              <w:left w:val="nil"/>
              <w:right w:val="nil"/>
            </w:tcBorders>
            <w:vAlign w:val="bottom"/>
          </w:tcPr>
          <w:p w:rsidR="00B42FD1" w:rsidRPr="00983509" w:rsidRDefault="008628EC" w:rsidP="0037293D">
            <w:pPr>
              <w:jc w:val="right"/>
              <w:rPr>
                <w:rFonts w:cs="Arial"/>
                <w:sz w:val="20"/>
                <w:lang w:eastAsia="en-GB"/>
              </w:rPr>
            </w:pPr>
            <w:r>
              <w:rPr>
                <w:rFonts w:cs="Arial"/>
                <w:sz w:val="20"/>
                <w:lang w:eastAsia="en-GB"/>
              </w:rPr>
              <w:t>(327)</w:t>
            </w:r>
          </w:p>
        </w:tc>
        <w:tc>
          <w:tcPr>
            <w:tcW w:w="1134" w:type="dxa"/>
            <w:tcBorders>
              <w:left w:val="nil"/>
              <w:right w:val="nil"/>
            </w:tcBorders>
            <w:shd w:val="clear" w:color="auto" w:fill="auto"/>
            <w:noWrap/>
            <w:vAlign w:val="bottom"/>
          </w:tcPr>
          <w:p w:rsidR="00B42FD1" w:rsidRPr="00983509" w:rsidRDefault="008628EC" w:rsidP="0037293D">
            <w:pPr>
              <w:jc w:val="right"/>
              <w:rPr>
                <w:rFonts w:cs="Arial"/>
                <w:sz w:val="20"/>
                <w:lang w:eastAsia="en-GB"/>
              </w:rPr>
            </w:pPr>
            <w:r>
              <w:rPr>
                <w:rFonts w:cs="Arial"/>
                <w:sz w:val="20"/>
                <w:lang w:eastAsia="en-GB"/>
              </w:rPr>
              <w:t>-</w:t>
            </w:r>
          </w:p>
        </w:tc>
        <w:tc>
          <w:tcPr>
            <w:tcW w:w="1276" w:type="dxa"/>
            <w:tcBorders>
              <w:left w:val="nil"/>
              <w:right w:val="nil"/>
            </w:tcBorders>
            <w:shd w:val="clear" w:color="auto" w:fill="auto"/>
            <w:noWrap/>
            <w:vAlign w:val="bottom"/>
          </w:tcPr>
          <w:p w:rsidR="00B42FD1" w:rsidRPr="00983509" w:rsidRDefault="008628EC" w:rsidP="0037293D">
            <w:pPr>
              <w:jc w:val="right"/>
              <w:rPr>
                <w:rFonts w:cs="Arial"/>
                <w:sz w:val="20"/>
                <w:lang w:eastAsia="en-GB"/>
              </w:rPr>
            </w:pPr>
            <w:r>
              <w:rPr>
                <w:rFonts w:cs="Arial"/>
                <w:sz w:val="20"/>
                <w:lang w:eastAsia="en-GB"/>
              </w:rPr>
              <w:t>(699)</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4172A">
            <w:pPr>
              <w:ind w:left="175"/>
              <w:rPr>
                <w:rFonts w:cs="Arial"/>
                <w:sz w:val="20"/>
                <w:lang w:eastAsia="en-GB"/>
              </w:rPr>
            </w:pPr>
            <w:r>
              <w:rPr>
                <w:rFonts w:cs="Arial"/>
                <w:sz w:val="20"/>
                <w:lang w:eastAsia="en-GB"/>
              </w:rPr>
              <w:t>Reclassifications</w:t>
            </w:r>
          </w:p>
        </w:tc>
        <w:tc>
          <w:tcPr>
            <w:tcW w:w="1418" w:type="dxa"/>
            <w:tcBorders>
              <w:left w:val="nil"/>
              <w:right w:val="nil"/>
            </w:tcBorders>
            <w:shd w:val="clear" w:color="auto" w:fill="auto"/>
            <w:noWrap/>
            <w:vAlign w:val="bottom"/>
          </w:tcPr>
          <w:p w:rsidR="00B42FD1" w:rsidRPr="003D62DA" w:rsidRDefault="00493E97" w:rsidP="004C0215">
            <w:pPr>
              <w:jc w:val="right"/>
              <w:rPr>
                <w:rFonts w:cs="Arial"/>
                <w:sz w:val="20"/>
                <w:lang w:eastAsia="en-GB"/>
              </w:rPr>
            </w:pPr>
            <w:r>
              <w:rPr>
                <w:rFonts w:cs="Arial"/>
                <w:sz w:val="20"/>
                <w:lang w:eastAsia="en-GB"/>
              </w:rPr>
              <w:t>(3,200)</w:t>
            </w:r>
          </w:p>
        </w:tc>
        <w:tc>
          <w:tcPr>
            <w:tcW w:w="1275" w:type="dxa"/>
            <w:tcBorders>
              <w:left w:val="nil"/>
              <w:right w:val="nil"/>
            </w:tcBorders>
            <w:vAlign w:val="bottom"/>
          </w:tcPr>
          <w:p w:rsidR="00B42FD1" w:rsidRDefault="008628EC" w:rsidP="000B4E07">
            <w:pPr>
              <w:jc w:val="right"/>
              <w:rPr>
                <w:rFonts w:cs="Arial"/>
                <w:sz w:val="20"/>
                <w:lang w:eastAsia="en-GB"/>
              </w:rPr>
            </w:pPr>
            <w:r>
              <w:rPr>
                <w:rFonts w:cs="Arial"/>
                <w:sz w:val="20"/>
                <w:lang w:eastAsia="en-GB"/>
              </w:rPr>
              <w:t>-</w:t>
            </w:r>
          </w:p>
        </w:tc>
        <w:tc>
          <w:tcPr>
            <w:tcW w:w="1417" w:type="dxa"/>
            <w:tcBorders>
              <w:left w:val="nil"/>
              <w:right w:val="nil"/>
            </w:tcBorders>
            <w:vAlign w:val="bottom"/>
          </w:tcPr>
          <w:p w:rsidR="00B42FD1" w:rsidRPr="003D62DA" w:rsidRDefault="008628EC" w:rsidP="00CD62E6">
            <w:pPr>
              <w:jc w:val="right"/>
              <w:rPr>
                <w:rFonts w:cs="Arial"/>
                <w:sz w:val="20"/>
                <w:lang w:eastAsia="en-GB"/>
              </w:rPr>
            </w:pPr>
            <w:r>
              <w:rPr>
                <w:rFonts w:cs="Arial"/>
                <w:sz w:val="20"/>
                <w:lang w:eastAsia="en-GB"/>
              </w:rPr>
              <w:t>-</w:t>
            </w:r>
          </w:p>
        </w:tc>
        <w:tc>
          <w:tcPr>
            <w:tcW w:w="1134" w:type="dxa"/>
            <w:tcBorders>
              <w:left w:val="nil"/>
              <w:right w:val="nil"/>
            </w:tcBorders>
            <w:shd w:val="clear" w:color="auto" w:fill="auto"/>
            <w:noWrap/>
            <w:vAlign w:val="bottom"/>
          </w:tcPr>
          <w:p w:rsidR="00B42FD1" w:rsidRPr="003D62DA" w:rsidRDefault="004C0215" w:rsidP="007F6AE0">
            <w:pPr>
              <w:jc w:val="right"/>
              <w:rPr>
                <w:rFonts w:cs="Arial"/>
                <w:sz w:val="20"/>
                <w:lang w:eastAsia="en-GB"/>
              </w:rPr>
            </w:pPr>
            <w:r>
              <w:rPr>
                <w:rFonts w:cs="Arial"/>
                <w:sz w:val="20"/>
                <w:lang w:eastAsia="en-GB"/>
              </w:rPr>
              <w:t>3,200</w:t>
            </w:r>
          </w:p>
        </w:tc>
        <w:tc>
          <w:tcPr>
            <w:tcW w:w="1276" w:type="dxa"/>
            <w:tcBorders>
              <w:left w:val="nil"/>
              <w:right w:val="nil"/>
            </w:tcBorders>
            <w:shd w:val="clear" w:color="auto" w:fill="auto"/>
            <w:noWrap/>
            <w:vAlign w:val="bottom"/>
          </w:tcPr>
          <w:p w:rsidR="00B42FD1" w:rsidRPr="003D62DA" w:rsidRDefault="008628EC" w:rsidP="00400584">
            <w:pPr>
              <w:jc w:val="right"/>
              <w:rPr>
                <w:rFonts w:cs="Arial"/>
                <w:sz w:val="20"/>
                <w:lang w:eastAsia="en-GB"/>
              </w:rPr>
            </w:pPr>
            <w:r>
              <w:rPr>
                <w:rFonts w:cs="Arial"/>
                <w:sz w:val="20"/>
                <w:lang w:eastAsia="en-GB"/>
              </w:rPr>
              <w:t>-</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4172A">
            <w:pPr>
              <w:ind w:left="175"/>
              <w:rPr>
                <w:rFonts w:cs="Arial"/>
                <w:sz w:val="20"/>
                <w:lang w:eastAsia="en-GB"/>
              </w:rPr>
            </w:pPr>
            <w:r w:rsidRPr="00E76B67">
              <w:rPr>
                <w:rFonts w:cs="Arial"/>
                <w:sz w:val="20"/>
                <w:lang w:eastAsia="en-GB"/>
              </w:rPr>
              <w:t>Revaluations</w:t>
            </w:r>
          </w:p>
        </w:tc>
        <w:tc>
          <w:tcPr>
            <w:tcW w:w="1418" w:type="dxa"/>
            <w:tcBorders>
              <w:left w:val="nil"/>
              <w:bottom w:val="single" w:sz="4" w:space="0" w:color="auto"/>
              <w:right w:val="nil"/>
            </w:tcBorders>
            <w:shd w:val="clear" w:color="auto" w:fill="auto"/>
            <w:noWrap/>
            <w:vAlign w:val="bottom"/>
          </w:tcPr>
          <w:p w:rsidR="00B42FD1" w:rsidRPr="00983509" w:rsidRDefault="008628EC" w:rsidP="00E76A63">
            <w:pPr>
              <w:jc w:val="right"/>
              <w:rPr>
                <w:rFonts w:cs="Arial"/>
                <w:sz w:val="20"/>
                <w:lang w:eastAsia="en-GB"/>
              </w:rPr>
            </w:pPr>
            <w:r>
              <w:rPr>
                <w:rFonts w:cs="Arial"/>
                <w:sz w:val="20"/>
                <w:lang w:eastAsia="en-GB"/>
              </w:rPr>
              <w:t>2,523</w:t>
            </w:r>
          </w:p>
        </w:tc>
        <w:tc>
          <w:tcPr>
            <w:tcW w:w="1275" w:type="dxa"/>
            <w:tcBorders>
              <w:left w:val="nil"/>
              <w:bottom w:val="single" w:sz="4" w:space="0" w:color="auto"/>
              <w:right w:val="nil"/>
            </w:tcBorders>
            <w:vAlign w:val="bottom"/>
          </w:tcPr>
          <w:p w:rsidR="00B42FD1" w:rsidRDefault="008628EC" w:rsidP="009B17E2">
            <w:pPr>
              <w:jc w:val="right"/>
              <w:rPr>
                <w:rFonts w:cs="Arial"/>
                <w:sz w:val="20"/>
                <w:lang w:eastAsia="en-GB"/>
              </w:rPr>
            </w:pPr>
            <w:r>
              <w:rPr>
                <w:rFonts w:cs="Arial"/>
                <w:sz w:val="20"/>
                <w:lang w:eastAsia="en-GB"/>
              </w:rPr>
              <w:t>3,0</w:t>
            </w:r>
            <w:r w:rsidR="009B17E2">
              <w:rPr>
                <w:rFonts w:cs="Arial"/>
                <w:sz w:val="20"/>
                <w:lang w:eastAsia="en-GB"/>
              </w:rPr>
              <w:t>10</w:t>
            </w:r>
          </w:p>
        </w:tc>
        <w:tc>
          <w:tcPr>
            <w:tcW w:w="1417" w:type="dxa"/>
            <w:tcBorders>
              <w:left w:val="nil"/>
              <w:bottom w:val="single" w:sz="4" w:space="0" w:color="auto"/>
              <w:right w:val="nil"/>
            </w:tcBorders>
            <w:vAlign w:val="bottom"/>
          </w:tcPr>
          <w:p w:rsidR="00B42FD1" w:rsidRPr="00983509" w:rsidRDefault="008628EC" w:rsidP="00CD62E6">
            <w:pPr>
              <w:jc w:val="right"/>
              <w:rPr>
                <w:rFonts w:cs="Arial"/>
                <w:sz w:val="20"/>
                <w:lang w:eastAsia="en-GB"/>
              </w:rPr>
            </w:pPr>
            <w:r>
              <w:rPr>
                <w:rFonts w:cs="Arial"/>
                <w:sz w:val="20"/>
                <w:lang w:eastAsia="en-GB"/>
              </w:rPr>
              <w:t>-</w:t>
            </w:r>
          </w:p>
        </w:tc>
        <w:tc>
          <w:tcPr>
            <w:tcW w:w="1134" w:type="dxa"/>
            <w:tcBorders>
              <w:left w:val="nil"/>
              <w:bottom w:val="single" w:sz="4" w:space="0" w:color="auto"/>
              <w:right w:val="nil"/>
            </w:tcBorders>
            <w:shd w:val="clear" w:color="auto" w:fill="auto"/>
            <w:noWrap/>
            <w:vAlign w:val="bottom"/>
          </w:tcPr>
          <w:p w:rsidR="00B42FD1" w:rsidRPr="00983509" w:rsidRDefault="008628EC" w:rsidP="00CD62E6">
            <w:pPr>
              <w:jc w:val="right"/>
              <w:rPr>
                <w:rFonts w:cs="Arial"/>
                <w:sz w:val="20"/>
                <w:lang w:eastAsia="en-GB"/>
              </w:rPr>
            </w:pPr>
            <w:r>
              <w:rPr>
                <w:rFonts w:cs="Arial"/>
                <w:sz w:val="20"/>
                <w:lang w:eastAsia="en-GB"/>
              </w:rPr>
              <w:t>-</w:t>
            </w:r>
          </w:p>
        </w:tc>
        <w:tc>
          <w:tcPr>
            <w:tcW w:w="1276" w:type="dxa"/>
            <w:tcBorders>
              <w:left w:val="nil"/>
              <w:bottom w:val="single" w:sz="4" w:space="0" w:color="auto"/>
              <w:right w:val="nil"/>
            </w:tcBorders>
            <w:shd w:val="clear" w:color="auto" w:fill="auto"/>
            <w:noWrap/>
            <w:vAlign w:val="bottom"/>
          </w:tcPr>
          <w:p w:rsidR="00B42FD1" w:rsidRPr="00983509" w:rsidRDefault="008628EC" w:rsidP="009B17E2">
            <w:pPr>
              <w:jc w:val="right"/>
              <w:rPr>
                <w:rFonts w:cs="Arial"/>
                <w:sz w:val="20"/>
                <w:lang w:eastAsia="en-GB"/>
              </w:rPr>
            </w:pPr>
            <w:r>
              <w:rPr>
                <w:rFonts w:cs="Arial"/>
                <w:sz w:val="20"/>
                <w:lang w:eastAsia="en-GB"/>
              </w:rPr>
              <w:t>5,53</w:t>
            </w:r>
            <w:r w:rsidR="009B17E2">
              <w:rPr>
                <w:rFonts w:cs="Arial"/>
                <w:sz w:val="20"/>
                <w:lang w:eastAsia="en-GB"/>
              </w:rPr>
              <w:t>3</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B72DF">
            <w:pPr>
              <w:ind w:left="175"/>
              <w:rPr>
                <w:rFonts w:cs="Arial"/>
                <w:sz w:val="20"/>
                <w:lang w:eastAsia="en-GB"/>
              </w:rPr>
            </w:pPr>
            <w:r w:rsidRPr="00E76B67">
              <w:rPr>
                <w:rFonts w:cs="Arial"/>
                <w:sz w:val="20"/>
                <w:lang w:eastAsia="en-GB"/>
              </w:rPr>
              <w:t>As at 31 March 201</w:t>
            </w:r>
            <w:r w:rsidR="001B72DF">
              <w:rPr>
                <w:rFonts w:cs="Arial"/>
                <w:sz w:val="20"/>
                <w:lang w:eastAsia="en-GB"/>
              </w:rPr>
              <w:t>8</w:t>
            </w:r>
          </w:p>
        </w:tc>
        <w:tc>
          <w:tcPr>
            <w:tcW w:w="1418" w:type="dxa"/>
            <w:tcBorders>
              <w:top w:val="nil"/>
              <w:left w:val="nil"/>
              <w:bottom w:val="nil"/>
              <w:right w:val="nil"/>
            </w:tcBorders>
            <w:shd w:val="clear" w:color="auto" w:fill="auto"/>
            <w:noWrap/>
            <w:vAlign w:val="bottom"/>
          </w:tcPr>
          <w:p w:rsidR="00B42FD1" w:rsidRPr="00983509" w:rsidRDefault="005A1816" w:rsidP="00243EA6">
            <w:pPr>
              <w:jc w:val="right"/>
              <w:rPr>
                <w:rFonts w:cs="Arial"/>
                <w:sz w:val="20"/>
                <w:lang w:eastAsia="en-GB"/>
              </w:rPr>
            </w:pPr>
            <w:r>
              <w:rPr>
                <w:rFonts w:cs="Arial"/>
                <w:sz w:val="20"/>
                <w:lang w:eastAsia="en-GB"/>
              </w:rPr>
              <w:t>50,120</w:t>
            </w:r>
          </w:p>
        </w:tc>
        <w:tc>
          <w:tcPr>
            <w:tcW w:w="1275" w:type="dxa"/>
            <w:tcBorders>
              <w:top w:val="nil"/>
              <w:left w:val="nil"/>
              <w:bottom w:val="nil"/>
              <w:right w:val="nil"/>
            </w:tcBorders>
            <w:vAlign w:val="bottom"/>
          </w:tcPr>
          <w:p w:rsidR="00B42FD1" w:rsidRDefault="005A1816" w:rsidP="009B17E2">
            <w:pPr>
              <w:jc w:val="right"/>
              <w:rPr>
                <w:rFonts w:cs="Arial"/>
                <w:sz w:val="20"/>
                <w:lang w:eastAsia="en-GB"/>
              </w:rPr>
            </w:pPr>
            <w:r>
              <w:rPr>
                <w:rFonts w:cs="Arial"/>
                <w:sz w:val="20"/>
                <w:lang w:eastAsia="en-GB"/>
              </w:rPr>
              <w:t>28,6</w:t>
            </w:r>
            <w:r w:rsidR="009B17E2">
              <w:rPr>
                <w:rFonts w:cs="Arial"/>
                <w:sz w:val="20"/>
                <w:lang w:eastAsia="en-GB"/>
              </w:rPr>
              <w:t>20</w:t>
            </w:r>
          </w:p>
        </w:tc>
        <w:tc>
          <w:tcPr>
            <w:tcW w:w="1417" w:type="dxa"/>
            <w:tcBorders>
              <w:top w:val="nil"/>
              <w:left w:val="nil"/>
              <w:bottom w:val="nil"/>
              <w:right w:val="nil"/>
            </w:tcBorders>
            <w:vAlign w:val="bottom"/>
          </w:tcPr>
          <w:p w:rsidR="00B42FD1" w:rsidRPr="00983509" w:rsidRDefault="005A1816" w:rsidP="00CA025A">
            <w:pPr>
              <w:jc w:val="right"/>
              <w:rPr>
                <w:rFonts w:cs="Arial"/>
                <w:sz w:val="20"/>
                <w:lang w:eastAsia="en-GB"/>
              </w:rPr>
            </w:pPr>
            <w:r>
              <w:rPr>
                <w:rFonts w:cs="Arial"/>
                <w:sz w:val="20"/>
                <w:lang w:eastAsia="en-GB"/>
              </w:rPr>
              <w:t>22,</w:t>
            </w:r>
            <w:r w:rsidR="00AA094D">
              <w:rPr>
                <w:rFonts w:cs="Arial"/>
                <w:sz w:val="20"/>
                <w:lang w:eastAsia="en-GB"/>
              </w:rPr>
              <w:t>995</w:t>
            </w:r>
          </w:p>
        </w:tc>
        <w:tc>
          <w:tcPr>
            <w:tcW w:w="1134" w:type="dxa"/>
            <w:tcBorders>
              <w:top w:val="nil"/>
              <w:left w:val="nil"/>
              <w:bottom w:val="nil"/>
              <w:right w:val="nil"/>
            </w:tcBorders>
            <w:shd w:val="clear" w:color="auto" w:fill="auto"/>
            <w:noWrap/>
            <w:vAlign w:val="bottom"/>
          </w:tcPr>
          <w:p w:rsidR="00B42FD1" w:rsidRPr="00983509" w:rsidRDefault="005A1816" w:rsidP="004C0215">
            <w:pPr>
              <w:jc w:val="right"/>
              <w:rPr>
                <w:rFonts w:cs="Arial"/>
                <w:sz w:val="20"/>
                <w:lang w:eastAsia="en-GB"/>
              </w:rPr>
            </w:pPr>
            <w:r>
              <w:rPr>
                <w:rFonts w:cs="Arial"/>
                <w:sz w:val="20"/>
                <w:lang w:eastAsia="en-GB"/>
              </w:rPr>
              <w:t>4,698</w:t>
            </w:r>
          </w:p>
        </w:tc>
        <w:tc>
          <w:tcPr>
            <w:tcW w:w="1276" w:type="dxa"/>
            <w:tcBorders>
              <w:top w:val="nil"/>
              <w:left w:val="nil"/>
              <w:bottom w:val="nil"/>
              <w:right w:val="nil"/>
            </w:tcBorders>
            <w:shd w:val="clear" w:color="auto" w:fill="auto"/>
            <w:noWrap/>
            <w:vAlign w:val="bottom"/>
          </w:tcPr>
          <w:p w:rsidR="00B42FD1" w:rsidRPr="00983509" w:rsidRDefault="005A1816" w:rsidP="00CA025A">
            <w:pPr>
              <w:jc w:val="right"/>
              <w:rPr>
                <w:rFonts w:cs="Arial"/>
                <w:sz w:val="20"/>
                <w:lang w:eastAsia="en-GB"/>
              </w:rPr>
            </w:pPr>
            <w:r>
              <w:rPr>
                <w:rFonts w:cs="Arial"/>
                <w:sz w:val="20"/>
                <w:lang w:eastAsia="en-GB"/>
              </w:rPr>
              <w:t>106,</w:t>
            </w:r>
            <w:r w:rsidR="00AA094D">
              <w:rPr>
                <w:rFonts w:cs="Arial"/>
                <w:sz w:val="20"/>
                <w:lang w:eastAsia="en-GB"/>
              </w:rPr>
              <w:t>433</w:t>
            </w:r>
          </w:p>
        </w:tc>
      </w:tr>
      <w:tr w:rsidR="00B42FD1" w:rsidRPr="00A60775" w:rsidTr="00A250F7">
        <w:trPr>
          <w:trHeight w:val="87"/>
        </w:trPr>
        <w:tc>
          <w:tcPr>
            <w:tcW w:w="3827" w:type="dxa"/>
            <w:tcBorders>
              <w:top w:val="nil"/>
              <w:left w:val="nil"/>
              <w:bottom w:val="nil"/>
              <w:right w:val="nil"/>
            </w:tcBorders>
            <w:shd w:val="clear" w:color="auto" w:fill="auto"/>
            <w:noWrap/>
            <w:vAlign w:val="bottom"/>
          </w:tcPr>
          <w:p w:rsidR="00B42FD1" w:rsidRPr="00CC0566" w:rsidRDefault="00B42FD1" w:rsidP="0014172A">
            <w:pPr>
              <w:ind w:left="175"/>
              <w:rPr>
                <w:rFonts w:cs="Arial"/>
                <w:sz w:val="16"/>
                <w:szCs w:val="16"/>
                <w:lang w:eastAsia="en-GB"/>
              </w:rPr>
            </w:pPr>
          </w:p>
        </w:tc>
        <w:tc>
          <w:tcPr>
            <w:tcW w:w="1418" w:type="dxa"/>
            <w:tcBorders>
              <w:top w:val="nil"/>
              <w:left w:val="nil"/>
              <w:bottom w:val="nil"/>
              <w:right w:val="nil"/>
            </w:tcBorders>
            <w:shd w:val="clear" w:color="auto" w:fill="auto"/>
            <w:noWrap/>
            <w:vAlign w:val="bottom"/>
          </w:tcPr>
          <w:p w:rsidR="00B42FD1" w:rsidRPr="00CC0566" w:rsidRDefault="00B42FD1" w:rsidP="00CD62E6">
            <w:pPr>
              <w:rPr>
                <w:rFonts w:cs="Arial"/>
                <w:sz w:val="16"/>
                <w:szCs w:val="16"/>
                <w:lang w:eastAsia="en-GB"/>
              </w:rPr>
            </w:pPr>
          </w:p>
        </w:tc>
        <w:tc>
          <w:tcPr>
            <w:tcW w:w="1275" w:type="dxa"/>
            <w:tcBorders>
              <w:top w:val="nil"/>
              <w:left w:val="nil"/>
              <w:bottom w:val="nil"/>
              <w:right w:val="nil"/>
            </w:tcBorders>
            <w:vAlign w:val="bottom"/>
          </w:tcPr>
          <w:p w:rsidR="00B42FD1" w:rsidRPr="00CC0566" w:rsidRDefault="00B42FD1" w:rsidP="000B4E07">
            <w:pPr>
              <w:jc w:val="right"/>
              <w:rPr>
                <w:rFonts w:cs="Arial"/>
                <w:sz w:val="16"/>
                <w:szCs w:val="16"/>
                <w:lang w:eastAsia="en-GB"/>
              </w:rPr>
            </w:pPr>
          </w:p>
        </w:tc>
        <w:tc>
          <w:tcPr>
            <w:tcW w:w="1417" w:type="dxa"/>
            <w:tcBorders>
              <w:top w:val="nil"/>
              <w:left w:val="nil"/>
              <w:bottom w:val="nil"/>
              <w:right w:val="nil"/>
            </w:tcBorders>
            <w:vAlign w:val="bottom"/>
          </w:tcPr>
          <w:p w:rsidR="00B42FD1" w:rsidRPr="00CC0566" w:rsidRDefault="00B42FD1" w:rsidP="00CD62E6">
            <w:pPr>
              <w:jc w:val="right"/>
              <w:rPr>
                <w:rFonts w:cs="Arial"/>
                <w:sz w:val="16"/>
                <w:szCs w:val="16"/>
                <w:lang w:eastAsia="en-GB"/>
              </w:rPr>
            </w:pPr>
          </w:p>
        </w:tc>
        <w:tc>
          <w:tcPr>
            <w:tcW w:w="1134"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c>
          <w:tcPr>
            <w:tcW w:w="1276"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4172A">
            <w:pPr>
              <w:ind w:left="175"/>
              <w:rPr>
                <w:rFonts w:cs="Arial"/>
                <w:sz w:val="20"/>
                <w:lang w:eastAsia="en-GB"/>
              </w:rPr>
            </w:pPr>
            <w:r w:rsidRPr="00E76B67">
              <w:rPr>
                <w:rFonts w:cs="Arial"/>
                <w:b/>
                <w:bCs/>
                <w:sz w:val="20"/>
                <w:lang w:eastAsia="en-GB"/>
              </w:rPr>
              <w:t>Depreciation and impairments</w:t>
            </w:r>
          </w:p>
        </w:tc>
        <w:tc>
          <w:tcPr>
            <w:tcW w:w="1418" w:type="dxa"/>
            <w:tcBorders>
              <w:top w:val="nil"/>
              <w:left w:val="nil"/>
              <w:bottom w:val="nil"/>
              <w:right w:val="nil"/>
            </w:tcBorders>
            <w:shd w:val="clear" w:color="auto" w:fill="auto"/>
            <w:noWrap/>
            <w:vAlign w:val="bottom"/>
          </w:tcPr>
          <w:p w:rsidR="00B42FD1" w:rsidRPr="00983509" w:rsidRDefault="00B42FD1" w:rsidP="00CD62E6">
            <w:pPr>
              <w:jc w:val="right"/>
              <w:rPr>
                <w:rFonts w:cs="Arial"/>
                <w:sz w:val="20"/>
                <w:lang w:eastAsia="en-GB"/>
              </w:rPr>
            </w:pPr>
          </w:p>
        </w:tc>
        <w:tc>
          <w:tcPr>
            <w:tcW w:w="1275" w:type="dxa"/>
            <w:tcBorders>
              <w:top w:val="nil"/>
              <w:left w:val="nil"/>
              <w:bottom w:val="nil"/>
              <w:right w:val="nil"/>
            </w:tcBorders>
            <w:vAlign w:val="bottom"/>
          </w:tcPr>
          <w:p w:rsidR="00B42FD1" w:rsidRPr="00983509" w:rsidRDefault="00B42FD1" w:rsidP="000B4E07">
            <w:pPr>
              <w:jc w:val="right"/>
              <w:rPr>
                <w:rFonts w:cs="Arial"/>
                <w:sz w:val="20"/>
                <w:lang w:eastAsia="en-GB"/>
              </w:rPr>
            </w:pPr>
          </w:p>
        </w:tc>
        <w:tc>
          <w:tcPr>
            <w:tcW w:w="1417" w:type="dxa"/>
            <w:tcBorders>
              <w:top w:val="nil"/>
              <w:left w:val="nil"/>
              <w:bottom w:val="nil"/>
              <w:right w:val="nil"/>
            </w:tcBorders>
            <w:vAlign w:val="bottom"/>
          </w:tcPr>
          <w:p w:rsidR="00B42FD1" w:rsidRPr="00983509" w:rsidRDefault="00B42FD1" w:rsidP="00CD62E6">
            <w:pPr>
              <w:jc w:val="right"/>
              <w:rPr>
                <w:rFonts w:cs="Arial"/>
                <w:sz w:val="20"/>
                <w:lang w:eastAsia="en-GB"/>
              </w:rPr>
            </w:pPr>
          </w:p>
        </w:tc>
        <w:tc>
          <w:tcPr>
            <w:tcW w:w="1134" w:type="dxa"/>
            <w:tcBorders>
              <w:top w:val="nil"/>
              <w:left w:val="nil"/>
              <w:bottom w:val="nil"/>
              <w:right w:val="nil"/>
            </w:tcBorders>
            <w:shd w:val="clear" w:color="auto" w:fill="auto"/>
            <w:noWrap/>
            <w:vAlign w:val="bottom"/>
          </w:tcPr>
          <w:p w:rsidR="00B42FD1" w:rsidRPr="00983509" w:rsidRDefault="00B42FD1" w:rsidP="00CD62E6">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B42FD1" w:rsidRPr="00983509" w:rsidRDefault="00B42FD1" w:rsidP="00CD62E6">
            <w:pPr>
              <w:jc w:val="right"/>
              <w:rPr>
                <w:rFonts w:cs="Arial"/>
                <w:sz w:val="20"/>
                <w:lang w:eastAsia="en-GB"/>
              </w:rPr>
            </w:pPr>
          </w:p>
        </w:tc>
      </w:tr>
      <w:tr w:rsidR="001B72DF" w:rsidRPr="00A60775" w:rsidTr="00A250F7">
        <w:trPr>
          <w:trHeight w:val="255"/>
        </w:trPr>
        <w:tc>
          <w:tcPr>
            <w:tcW w:w="3827" w:type="dxa"/>
            <w:tcBorders>
              <w:top w:val="nil"/>
              <w:left w:val="nil"/>
              <w:bottom w:val="nil"/>
              <w:right w:val="nil"/>
            </w:tcBorders>
            <w:shd w:val="clear" w:color="auto" w:fill="auto"/>
            <w:noWrap/>
            <w:vAlign w:val="bottom"/>
          </w:tcPr>
          <w:p w:rsidR="001B72DF" w:rsidRPr="00E76B67" w:rsidRDefault="001B72DF" w:rsidP="001B72DF">
            <w:pPr>
              <w:ind w:left="175"/>
              <w:rPr>
                <w:rFonts w:cs="Arial"/>
                <w:sz w:val="20"/>
                <w:lang w:eastAsia="en-GB"/>
              </w:rPr>
            </w:pPr>
            <w:r w:rsidRPr="00E76B67">
              <w:rPr>
                <w:rFonts w:cs="Arial"/>
                <w:sz w:val="20"/>
                <w:lang w:eastAsia="en-GB"/>
              </w:rPr>
              <w:t>At 1 April 201</w:t>
            </w:r>
            <w:r>
              <w:rPr>
                <w:rFonts w:cs="Arial"/>
                <w:sz w:val="20"/>
                <w:lang w:eastAsia="en-GB"/>
              </w:rPr>
              <w:t>7</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(149)</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(11,</w:t>
            </w:r>
            <w:r w:rsidR="00AA094D">
              <w:rPr>
                <w:rFonts w:cs="Arial"/>
                <w:sz w:val="20"/>
                <w:lang w:eastAsia="en-GB"/>
              </w:rPr>
              <w:t>897</w:t>
            </w:r>
            <w:r>
              <w:rPr>
                <w:rFonts w:cs="Arial"/>
                <w:sz w:val="20"/>
                <w:lang w:eastAsia="en-GB"/>
              </w:rPr>
              <w:t>)</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w:t>
            </w:r>
            <w:r w:rsidR="00AA094D">
              <w:rPr>
                <w:rFonts w:cs="Arial"/>
                <w:sz w:val="20"/>
                <w:lang w:eastAsia="en-GB"/>
              </w:rPr>
              <w:t>12</w:t>
            </w:r>
            <w:r>
              <w:rPr>
                <w:rFonts w:cs="Arial"/>
                <w:sz w:val="20"/>
                <w:lang w:eastAsia="en-GB"/>
              </w:rPr>
              <w:t>,</w:t>
            </w:r>
            <w:r w:rsidR="00AA094D">
              <w:rPr>
                <w:rFonts w:cs="Arial"/>
                <w:sz w:val="20"/>
                <w:lang w:eastAsia="en-GB"/>
              </w:rPr>
              <w:t>046</w:t>
            </w:r>
            <w:r>
              <w:rPr>
                <w:rFonts w:cs="Arial"/>
                <w:sz w:val="20"/>
                <w:lang w:eastAsia="en-GB"/>
              </w:rPr>
              <w:t>)</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B72DF">
            <w:pPr>
              <w:ind w:left="175"/>
              <w:rPr>
                <w:rFonts w:cs="Arial"/>
                <w:sz w:val="20"/>
                <w:lang w:eastAsia="en-GB"/>
              </w:rPr>
            </w:pPr>
            <w:r w:rsidRPr="00E76B67">
              <w:rPr>
                <w:rFonts w:cs="Arial"/>
                <w:sz w:val="20"/>
                <w:lang w:eastAsia="en-GB"/>
              </w:rPr>
              <w:t>Depreciation charge for 201</w:t>
            </w:r>
            <w:r w:rsidR="001B72DF">
              <w:rPr>
                <w:rFonts w:cs="Arial"/>
                <w:sz w:val="20"/>
                <w:lang w:eastAsia="en-GB"/>
              </w:rPr>
              <w:t>7</w:t>
            </w:r>
            <w:r>
              <w:rPr>
                <w:rFonts w:cs="Arial"/>
                <w:sz w:val="20"/>
                <w:lang w:eastAsia="en-GB"/>
              </w:rPr>
              <w:t>/1</w:t>
            </w:r>
            <w:r w:rsidR="001B72DF">
              <w:rPr>
                <w:rFonts w:cs="Arial"/>
                <w:sz w:val="20"/>
                <w:lang w:eastAsia="en-GB"/>
              </w:rPr>
              <w:t>8</w:t>
            </w:r>
          </w:p>
        </w:tc>
        <w:tc>
          <w:tcPr>
            <w:tcW w:w="1418" w:type="dxa"/>
            <w:tcBorders>
              <w:top w:val="nil"/>
              <w:left w:val="nil"/>
              <w:right w:val="nil"/>
            </w:tcBorders>
            <w:shd w:val="clear" w:color="auto" w:fill="auto"/>
            <w:noWrap/>
            <w:vAlign w:val="bottom"/>
          </w:tcPr>
          <w:p w:rsidR="00B42FD1" w:rsidRPr="00983509" w:rsidRDefault="005A1816" w:rsidP="00FA3CBD">
            <w:pPr>
              <w:jc w:val="right"/>
              <w:rPr>
                <w:rFonts w:cs="Arial"/>
                <w:sz w:val="20"/>
                <w:lang w:eastAsia="en-GB"/>
              </w:rPr>
            </w:pPr>
            <w:r>
              <w:rPr>
                <w:rFonts w:cs="Arial"/>
                <w:sz w:val="20"/>
                <w:lang w:eastAsia="en-GB"/>
              </w:rPr>
              <w:t>(1,384)</w:t>
            </w:r>
          </w:p>
        </w:tc>
        <w:tc>
          <w:tcPr>
            <w:tcW w:w="1275" w:type="dxa"/>
            <w:tcBorders>
              <w:top w:val="nil"/>
              <w:left w:val="nil"/>
              <w:right w:val="nil"/>
            </w:tcBorders>
            <w:vAlign w:val="bottom"/>
          </w:tcPr>
          <w:p w:rsidR="00B42FD1" w:rsidRDefault="005A1816" w:rsidP="000B4E07">
            <w:pPr>
              <w:jc w:val="right"/>
              <w:rPr>
                <w:rFonts w:cs="Arial"/>
                <w:sz w:val="20"/>
                <w:lang w:eastAsia="en-GB"/>
              </w:rPr>
            </w:pPr>
            <w:r>
              <w:rPr>
                <w:rFonts w:cs="Arial"/>
                <w:sz w:val="20"/>
                <w:lang w:eastAsia="en-GB"/>
              </w:rPr>
              <w:t>(563)</w:t>
            </w:r>
          </w:p>
        </w:tc>
        <w:tc>
          <w:tcPr>
            <w:tcW w:w="1417" w:type="dxa"/>
            <w:tcBorders>
              <w:top w:val="nil"/>
              <w:left w:val="nil"/>
              <w:right w:val="nil"/>
            </w:tcBorders>
            <w:vAlign w:val="bottom"/>
          </w:tcPr>
          <w:p w:rsidR="00B42FD1" w:rsidRPr="00983509" w:rsidRDefault="005A1816" w:rsidP="00CA025A">
            <w:pPr>
              <w:jc w:val="right"/>
              <w:rPr>
                <w:rFonts w:cs="Arial"/>
                <w:sz w:val="20"/>
                <w:lang w:eastAsia="en-GB"/>
              </w:rPr>
            </w:pPr>
            <w:r>
              <w:rPr>
                <w:rFonts w:cs="Arial"/>
                <w:sz w:val="20"/>
                <w:lang w:eastAsia="en-GB"/>
              </w:rPr>
              <w:t>(1,</w:t>
            </w:r>
            <w:r w:rsidR="00AA094D">
              <w:rPr>
                <w:rFonts w:cs="Arial"/>
                <w:sz w:val="20"/>
                <w:lang w:eastAsia="en-GB"/>
              </w:rPr>
              <w:t>631</w:t>
            </w:r>
            <w:r>
              <w:rPr>
                <w:rFonts w:cs="Arial"/>
                <w:sz w:val="20"/>
                <w:lang w:eastAsia="en-GB"/>
              </w:rPr>
              <w:t>)</w:t>
            </w:r>
          </w:p>
        </w:tc>
        <w:tc>
          <w:tcPr>
            <w:tcW w:w="1134" w:type="dxa"/>
            <w:tcBorders>
              <w:top w:val="nil"/>
              <w:left w:val="nil"/>
              <w:right w:val="nil"/>
            </w:tcBorders>
            <w:shd w:val="clear" w:color="auto" w:fill="auto"/>
            <w:noWrap/>
            <w:vAlign w:val="bottom"/>
          </w:tcPr>
          <w:p w:rsidR="00B42FD1" w:rsidRPr="00983509" w:rsidRDefault="005A1816" w:rsidP="00CD62E6">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B42FD1" w:rsidRPr="00983509" w:rsidRDefault="005A1816" w:rsidP="00CA025A">
            <w:pPr>
              <w:jc w:val="right"/>
              <w:rPr>
                <w:rFonts w:cs="Arial"/>
                <w:sz w:val="20"/>
                <w:lang w:eastAsia="en-GB"/>
              </w:rPr>
            </w:pPr>
            <w:r>
              <w:rPr>
                <w:rFonts w:cs="Arial"/>
                <w:sz w:val="20"/>
                <w:lang w:eastAsia="en-GB"/>
              </w:rPr>
              <w:t>(3,</w:t>
            </w:r>
            <w:r w:rsidR="00AA094D">
              <w:rPr>
                <w:rFonts w:cs="Arial"/>
                <w:sz w:val="20"/>
                <w:lang w:eastAsia="en-GB"/>
              </w:rPr>
              <w:t>578</w:t>
            </w:r>
            <w:r>
              <w:rPr>
                <w:rFonts w:cs="Arial"/>
                <w:sz w:val="20"/>
                <w:lang w:eastAsia="en-GB"/>
              </w:rPr>
              <w:t>)</w:t>
            </w:r>
          </w:p>
        </w:tc>
      </w:tr>
      <w:tr w:rsidR="00B42FD1" w:rsidRPr="00A60775" w:rsidTr="00A250F7">
        <w:trPr>
          <w:trHeight w:val="299"/>
        </w:trPr>
        <w:tc>
          <w:tcPr>
            <w:tcW w:w="3827" w:type="dxa"/>
            <w:tcBorders>
              <w:top w:val="nil"/>
              <w:left w:val="nil"/>
              <w:bottom w:val="nil"/>
              <w:right w:val="nil"/>
            </w:tcBorders>
            <w:shd w:val="clear" w:color="auto" w:fill="auto"/>
            <w:noWrap/>
            <w:vAlign w:val="bottom"/>
          </w:tcPr>
          <w:p w:rsidR="00B42FD1" w:rsidRPr="00E76B67" w:rsidRDefault="00B42FD1" w:rsidP="0014172A">
            <w:pPr>
              <w:ind w:left="175"/>
              <w:rPr>
                <w:rFonts w:cs="Arial"/>
                <w:sz w:val="20"/>
                <w:lang w:eastAsia="en-GB"/>
              </w:rPr>
            </w:pPr>
            <w:r w:rsidRPr="00E76B67">
              <w:rPr>
                <w:rFonts w:cs="Arial"/>
                <w:sz w:val="20"/>
                <w:lang w:eastAsia="en-GB"/>
              </w:rPr>
              <w:t>Disposals</w:t>
            </w:r>
          </w:p>
        </w:tc>
        <w:tc>
          <w:tcPr>
            <w:tcW w:w="1418" w:type="dxa"/>
            <w:tcBorders>
              <w:top w:val="nil"/>
              <w:left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w:t>
            </w:r>
          </w:p>
        </w:tc>
        <w:tc>
          <w:tcPr>
            <w:tcW w:w="1275" w:type="dxa"/>
            <w:tcBorders>
              <w:top w:val="nil"/>
              <w:left w:val="nil"/>
              <w:right w:val="nil"/>
            </w:tcBorders>
            <w:vAlign w:val="bottom"/>
          </w:tcPr>
          <w:p w:rsidR="00B42FD1" w:rsidRDefault="00342D60" w:rsidP="000B4E07">
            <w:pPr>
              <w:jc w:val="right"/>
              <w:rPr>
                <w:rFonts w:cs="Arial"/>
                <w:sz w:val="20"/>
                <w:lang w:eastAsia="en-GB"/>
              </w:rPr>
            </w:pPr>
            <w:r>
              <w:rPr>
                <w:rFonts w:cs="Arial"/>
                <w:sz w:val="20"/>
                <w:lang w:eastAsia="en-GB"/>
              </w:rPr>
              <w:t>-</w:t>
            </w:r>
          </w:p>
        </w:tc>
        <w:tc>
          <w:tcPr>
            <w:tcW w:w="1417" w:type="dxa"/>
            <w:tcBorders>
              <w:top w:val="nil"/>
              <w:left w:val="nil"/>
              <w:right w:val="nil"/>
            </w:tcBorders>
            <w:vAlign w:val="bottom"/>
          </w:tcPr>
          <w:p w:rsidR="00B42FD1" w:rsidRPr="00983509" w:rsidRDefault="00342D60" w:rsidP="00CD62E6">
            <w:pPr>
              <w:jc w:val="right"/>
              <w:rPr>
                <w:rFonts w:cs="Arial"/>
                <w:sz w:val="20"/>
                <w:lang w:eastAsia="en-GB"/>
              </w:rPr>
            </w:pPr>
            <w:r>
              <w:rPr>
                <w:rFonts w:cs="Arial"/>
                <w:sz w:val="20"/>
                <w:lang w:eastAsia="en-GB"/>
              </w:rPr>
              <w:t>889</w:t>
            </w:r>
          </w:p>
        </w:tc>
        <w:tc>
          <w:tcPr>
            <w:tcW w:w="1134" w:type="dxa"/>
            <w:tcBorders>
              <w:top w:val="nil"/>
              <w:left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889</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4172A">
            <w:pPr>
              <w:ind w:left="175"/>
              <w:rPr>
                <w:rFonts w:cs="Arial"/>
                <w:sz w:val="20"/>
                <w:lang w:eastAsia="en-GB"/>
              </w:rPr>
            </w:pPr>
            <w:r>
              <w:rPr>
                <w:rFonts w:cs="Arial"/>
                <w:sz w:val="20"/>
                <w:lang w:eastAsia="en-GB"/>
              </w:rPr>
              <w:t>Revaluations</w:t>
            </w:r>
          </w:p>
        </w:tc>
        <w:tc>
          <w:tcPr>
            <w:tcW w:w="1418" w:type="dxa"/>
            <w:tcBorders>
              <w:left w:val="nil"/>
              <w:bottom w:val="nil"/>
              <w:right w:val="nil"/>
            </w:tcBorders>
            <w:shd w:val="clear" w:color="auto" w:fill="auto"/>
            <w:noWrap/>
            <w:vAlign w:val="bottom"/>
          </w:tcPr>
          <w:p w:rsidR="00B42FD1" w:rsidRPr="00983509" w:rsidRDefault="00342D60" w:rsidP="00FA3CBD">
            <w:pPr>
              <w:jc w:val="right"/>
              <w:rPr>
                <w:rFonts w:cs="Arial"/>
                <w:sz w:val="20"/>
                <w:lang w:eastAsia="en-GB"/>
              </w:rPr>
            </w:pPr>
            <w:r>
              <w:rPr>
                <w:rFonts w:cs="Arial"/>
                <w:sz w:val="20"/>
                <w:lang w:eastAsia="en-GB"/>
              </w:rPr>
              <w:t>1,533</w:t>
            </w:r>
          </w:p>
        </w:tc>
        <w:tc>
          <w:tcPr>
            <w:tcW w:w="1275" w:type="dxa"/>
            <w:tcBorders>
              <w:left w:val="nil"/>
              <w:bottom w:val="nil"/>
              <w:right w:val="nil"/>
            </w:tcBorders>
            <w:vAlign w:val="bottom"/>
          </w:tcPr>
          <w:p w:rsidR="00B42FD1" w:rsidRDefault="00342D60" w:rsidP="000B4E07">
            <w:pPr>
              <w:jc w:val="right"/>
              <w:rPr>
                <w:rFonts w:cs="Arial"/>
                <w:sz w:val="20"/>
                <w:lang w:eastAsia="en-GB"/>
              </w:rPr>
            </w:pPr>
            <w:r>
              <w:rPr>
                <w:rFonts w:cs="Arial"/>
                <w:sz w:val="20"/>
                <w:lang w:eastAsia="en-GB"/>
              </w:rPr>
              <w:t>563</w:t>
            </w:r>
          </w:p>
        </w:tc>
        <w:tc>
          <w:tcPr>
            <w:tcW w:w="1417" w:type="dxa"/>
            <w:tcBorders>
              <w:left w:val="nil"/>
              <w:bottom w:val="nil"/>
              <w:right w:val="nil"/>
            </w:tcBorders>
            <w:vAlign w:val="bottom"/>
          </w:tcPr>
          <w:p w:rsidR="00B42FD1" w:rsidRPr="00983509" w:rsidRDefault="00342D60" w:rsidP="00CD62E6">
            <w:pPr>
              <w:jc w:val="right"/>
              <w:rPr>
                <w:rFonts w:cs="Arial"/>
                <w:sz w:val="20"/>
                <w:lang w:eastAsia="en-GB"/>
              </w:rPr>
            </w:pPr>
            <w:r>
              <w:rPr>
                <w:rFonts w:cs="Arial"/>
                <w:sz w:val="20"/>
                <w:lang w:eastAsia="en-GB"/>
              </w:rPr>
              <w:t>-</w:t>
            </w:r>
          </w:p>
        </w:tc>
        <w:tc>
          <w:tcPr>
            <w:tcW w:w="1134" w:type="dxa"/>
            <w:tcBorders>
              <w:left w:val="nil"/>
              <w:bottom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w:t>
            </w:r>
          </w:p>
        </w:tc>
        <w:tc>
          <w:tcPr>
            <w:tcW w:w="1276" w:type="dxa"/>
            <w:tcBorders>
              <w:left w:val="nil"/>
              <w:bottom w:val="nil"/>
              <w:right w:val="nil"/>
            </w:tcBorders>
            <w:shd w:val="clear" w:color="auto" w:fill="auto"/>
            <w:noWrap/>
            <w:vAlign w:val="bottom"/>
          </w:tcPr>
          <w:p w:rsidR="00B42FD1" w:rsidRPr="00983509" w:rsidRDefault="00342D60" w:rsidP="00C66433">
            <w:pPr>
              <w:jc w:val="right"/>
              <w:rPr>
                <w:rFonts w:cs="Arial"/>
                <w:sz w:val="20"/>
                <w:lang w:eastAsia="en-GB"/>
              </w:rPr>
            </w:pPr>
            <w:r>
              <w:rPr>
                <w:rFonts w:cs="Arial"/>
                <w:sz w:val="20"/>
                <w:lang w:eastAsia="en-GB"/>
              </w:rPr>
              <w:t>2,096</w:t>
            </w: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E76B67" w:rsidRDefault="00B42FD1" w:rsidP="001B72DF">
            <w:pPr>
              <w:ind w:left="175"/>
              <w:rPr>
                <w:rFonts w:cs="Arial"/>
                <w:sz w:val="20"/>
                <w:lang w:eastAsia="en-GB"/>
              </w:rPr>
            </w:pPr>
            <w:r w:rsidRPr="00E76B67">
              <w:rPr>
                <w:rFonts w:cs="Arial"/>
                <w:sz w:val="20"/>
                <w:lang w:eastAsia="en-GB"/>
              </w:rPr>
              <w:t>As at 31 March 201</w:t>
            </w:r>
            <w:r w:rsidR="001B72DF">
              <w:rPr>
                <w:rFonts w:cs="Arial"/>
                <w:sz w:val="20"/>
                <w:lang w:eastAsia="en-GB"/>
              </w:rPr>
              <w:t>8</w:t>
            </w:r>
          </w:p>
        </w:tc>
        <w:tc>
          <w:tcPr>
            <w:tcW w:w="1418" w:type="dxa"/>
            <w:tcBorders>
              <w:top w:val="single" w:sz="4" w:space="0" w:color="auto"/>
              <w:left w:val="nil"/>
              <w:bottom w:val="nil"/>
              <w:right w:val="nil"/>
            </w:tcBorders>
            <w:shd w:val="clear" w:color="auto" w:fill="auto"/>
            <w:noWrap/>
            <w:vAlign w:val="bottom"/>
          </w:tcPr>
          <w:p w:rsidR="00B42FD1" w:rsidRPr="00983509" w:rsidRDefault="00342D60" w:rsidP="00243EA6">
            <w:pPr>
              <w:jc w:val="right"/>
              <w:rPr>
                <w:rFonts w:cs="Arial"/>
                <w:sz w:val="20"/>
                <w:lang w:eastAsia="en-GB"/>
              </w:rPr>
            </w:pPr>
            <w:r>
              <w:rPr>
                <w:rFonts w:cs="Arial"/>
                <w:sz w:val="20"/>
                <w:lang w:eastAsia="en-GB"/>
              </w:rPr>
              <w:t>-</w:t>
            </w:r>
          </w:p>
        </w:tc>
        <w:tc>
          <w:tcPr>
            <w:tcW w:w="1275" w:type="dxa"/>
            <w:tcBorders>
              <w:top w:val="single" w:sz="4" w:space="0" w:color="auto"/>
              <w:left w:val="nil"/>
              <w:bottom w:val="nil"/>
              <w:right w:val="nil"/>
            </w:tcBorders>
            <w:vAlign w:val="bottom"/>
          </w:tcPr>
          <w:p w:rsidR="00B42FD1" w:rsidRDefault="00342D60" w:rsidP="000B4E07">
            <w:pPr>
              <w:jc w:val="right"/>
              <w:rPr>
                <w:rFonts w:cs="Arial"/>
                <w:sz w:val="20"/>
                <w:lang w:eastAsia="en-GB"/>
              </w:rPr>
            </w:pPr>
            <w:r>
              <w:rPr>
                <w:rFonts w:cs="Arial"/>
                <w:sz w:val="20"/>
                <w:lang w:eastAsia="en-GB"/>
              </w:rPr>
              <w:t>-</w:t>
            </w:r>
          </w:p>
        </w:tc>
        <w:tc>
          <w:tcPr>
            <w:tcW w:w="1417" w:type="dxa"/>
            <w:tcBorders>
              <w:top w:val="single" w:sz="4" w:space="0" w:color="auto"/>
              <w:left w:val="nil"/>
              <w:bottom w:val="nil"/>
              <w:right w:val="nil"/>
            </w:tcBorders>
            <w:vAlign w:val="bottom"/>
          </w:tcPr>
          <w:p w:rsidR="00B42FD1" w:rsidRPr="00983509" w:rsidRDefault="00342D60" w:rsidP="00CA025A">
            <w:pPr>
              <w:jc w:val="right"/>
              <w:rPr>
                <w:rFonts w:cs="Arial"/>
                <w:sz w:val="20"/>
                <w:lang w:eastAsia="en-GB"/>
              </w:rPr>
            </w:pPr>
            <w:r>
              <w:rPr>
                <w:rFonts w:cs="Arial"/>
                <w:sz w:val="20"/>
                <w:lang w:eastAsia="en-GB"/>
              </w:rPr>
              <w:t>(12,</w:t>
            </w:r>
            <w:r w:rsidR="00AA094D">
              <w:rPr>
                <w:rFonts w:cs="Arial"/>
                <w:sz w:val="20"/>
                <w:lang w:eastAsia="en-GB"/>
              </w:rPr>
              <w:t>639</w:t>
            </w:r>
            <w:r>
              <w:rPr>
                <w:rFonts w:cs="Arial"/>
                <w:sz w:val="20"/>
                <w:lang w:eastAsia="en-GB"/>
              </w:rPr>
              <w:t>)</w:t>
            </w:r>
          </w:p>
        </w:tc>
        <w:tc>
          <w:tcPr>
            <w:tcW w:w="1134" w:type="dxa"/>
            <w:tcBorders>
              <w:top w:val="single" w:sz="4" w:space="0" w:color="auto"/>
              <w:left w:val="nil"/>
              <w:bottom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w:t>
            </w:r>
          </w:p>
        </w:tc>
        <w:tc>
          <w:tcPr>
            <w:tcW w:w="1276" w:type="dxa"/>
            <w:tcBorders>
              <w:top w:val="single" w:sz="4" w:space="0" w:color="auto"/>
              <w:left w:val="nil"/>
              <w:bottom w:val="nil"/>
              <w:right w:val="nil"/>
            </w:tcBorders>
            <w:shd w:val="clear" w:color="auto" w:fill="auto"/>
            <w:noWrap/>
            <w:vAlign w:val="bottom"/>
          </w:tcPr>
          <w:p w:rsidR="00B42FD1" w:rsidRPr="00983509" w:rsidRDefault="00342D60" w:rsidP="00CA025A">
            <w:pPr>
              <w:jc w:val="right"/>
              <w:rPr>
                <w:rFonts w:cs="Arial"/>
                <w:sz w:val="20"/>
                <w:lang w:eastAsia="en-GB"/>
              </w:rPr>
            </w:pPr>
            <w:r>
              <w:rPr>
                <w:rFonts w:cs="Arial"/>
                <w:sz w:val="20"/>
                <w:lang w:eastAsia="en-GB"/>
              </w:rPr>
              <w:t>(12,</w:t>
            </w:r>
            <w:r w:rsidR="00AA094D">
              <w:rPr>
                <w:rFonts w:cs="Arial"/>
                <w:sz w:val="20"/>
                <w:lang w:eastAsia="en-GB"/>
              </w:rPr>
              <w:t>639</w:t>
            </w:r>
            <w:r>
              <w:rPr>
                <w:rFonts w:cs="Arial"/>
                <w:sz w:val="20"/>
                <w:lang w:eastAsia="en-GB"/>
              </w:rPr>
              <w:t>)</w:t>
            </w:r>
          </w:p>
        </w:tc>
      </w:tr>
      <w:tr w:rsidR="00B42FD1" w:rsidRPr="00A60775" w:rsidTr="00A250F7">
        <w:trPr>
          <w:trHeight w:val="99"/>
        </w:trPr>
        <w:tc>
          <w:tcPr>
            <w:tcW w:w="3827" w:type="dxa"/>
            <w:tcBorders>
              <w:top w:val="nil"/>
              <w:left w:val="nil"/>
              <w:bottom w:val="nil"/>
              <w:right w:val="nil"/>
            </w:tcBorders>
            <w:shd w:val="clear" w:color="auto" w:fill="auto"/>
            <w:noWrap/>
            <w:vAlign w:val="bottom"/>
          </w:tcPr>
          <w:p w:rsidR="00B42FD1" w:rsidRPr="00CC0566" w:rsidRDefault="00B42FD1" w:rsidP="0014172A">
            <w:pPr>
              <w:ind w:left="175"/>
              <w:rPr>
                <w:rFonts w:cs="Arial"/>
                <w:sz w:val="16"/>
                <w:szCs w:val="16"/>
                <w:highlight w:val="cyan"/>
                <w:lang w:eastAsia="en-GB"/>
              </w:rPr>
            </w:pPr>
          </w:p>
        </w:tc>
        <w:tc>
          <w:tcPr>
            <w:tcW w:w="1418" w:type="dxa"/>
            <w:tcBorders>
              <w:top w:val="nil"/>
              <w:left w:val="nil"/>
              <w:bottom w:val="nil"/>
              <w:right w:val="nil"/>
            </w:tcBorders>
            <w:shd w:val="clear" w:color="auto" w:fill="auto"/>
            <w:noWrap/>
            <w:vAlign w:val="bottom"/>
          </w:tcPr>
          <w:p w:rsidR="00B42FD1" w:rsidRPr="00CC0566" w:rsidRDefault="00B42FD1" w:rsidP="00CD62E6">
            <w:pPr>
              <w:rPr>
                <w:rFonts w:cs="Arial"/>
                <w:sz w:val="16"/>
                <w:szCs w:val="16"/>
                <w:lang w:eastAsia="en-GB"/>
              </w:rPr>
            </w:pPr>
          </w:p>
        </w:tc>
        <w:tc>
          <w:tcPr>
            <w:tcW w:w="1275" w:type="dxa"/>
            <w:tcBorders>
              <w:top w:val="nil"/>
              <w:left w:val="nil"/>
              <w:bottom w:val="nil"/>
              <w:right w:val="nil"/>
            </w:tcBorders>
            <w:vAlign w:val="bottom"/>
          </w:tcPr>
          <w:p w:rsidR="00B42FD1" w:rsidRPr="00CC0566" w:rsidRDefault="00B42FD1" w:rsidP="000B4E07">
            <w:pPr>
              <w:jc w:val="right"/>
              <w:rPr>
                <w:rFonts w:cs="Arial"/>
                <w:sz w:val="16"/>
                <w:szCs w:val="16"/>
                <w:lang w:eastAsia="en-GB"/>
              </w:rPr>
            </w:pPr>
          </w:p>
        </w:tc>
        <w:tc>
          <w:tcPr>
            <w:tcW w:w="1417" w:type="dxa"/>
            <w:tcBorders>
              <w:top w:val="nil"/>
              <w:left w:val="nil"/>
              <w:bottom w:val="nil"/>
              <w:right w:val="nil"/>
            </w:tcBorders>
            <w:vAlign w:val="bottom"/>
          </w:tcPr>
          <w:p w:rsidR="00B42FD1" w:rsidRPr="00CC0566" w:rsidRDefault="00B42FD1" w:rsidP="00CD62E6">
            <w:pPr>
              <w:jc w:val="right"/>
              <w:rPr>
                <w:rFonts w:cs="Arial"/>
                <w:sz w:val="16"/>
                <w:szCs w:val="16"/>
                <w:lang w:eastAsia="en-GB"/>
              </w:rPr>
            </w:pPr>
          </w:p>
        </w:tc>
        <w:tc>
          <w:tcPr>
            <w:tcW w:w="1134"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c>
          <w:tcPr>
            <w:tcW w:w="1276"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5A4CB4" w:rsidRDefault="00B42FD1" w:rsidP="001B72DF">
            <w:pPr>
              <w:ind w:left="175"/>
              <w:rPr>
                <w:rFonts w:cs="Arial"/>
                <w:sz w:val="20"/>
                <w:lang w:eastAsia="en-GB"/>
              </w:rPr>
            </w:pPr>
            <w:r>
              <w:rPr>
                <w:rFonts w:cs="Arial"/>
                <w:sz w:val="20"/>
                <w:lang w:eastAsia="en-GB"/>
              </w:rPr>
              <w:t>Balance sheet at 31 March 201</w:t>
            </w:r>
            <w:r w:rsidR="001B72DF">
              <w:rPr>
                <w:rFonts w:cs="Arial"/>
                <w:sz w:val="20"/>
                <w:lang w:eastAsia="en-GB"/>
              </w:rPr>
              <w:t>8</w:t>
            </w:r>
          </w:p>
        </w:tc>
        <w:tc>
          <w:tcPr>
            <w:tcW w:w="1418" w:type="dxa"/>
            <w:tcBorders>
              <w:top w:val="nil"/>
              <w:left w:val="nil"/>
              <w:bottom w:val="nil"/>
              <w:right w:val="nil"/>
            </w:tcBorders>
            <w:shd w:val="clear" w:color="auto" w:fill="auto"/>
            <w:noWrap/>
            <w:vAlign w:val="bottom"/>
          </w:tcPr>
          <w:p w:rsidR="00B42FD1" w:rsidRPr="00983509" w:rsidRDefault="00342D60" w:rsidP="00CE159B">
            <w:pPr>
              <w:jc w:val="right"/>
              <w:rPr>
                <w:rFonts w:cs="Arial"/>
                <w:sz w:val="20"/>
                <w:lang w:eastAsia="en-GB"/>
              </w:rPr>
            </w:pPr>
            <w:r>
              <w:rPr>
                <w:rFonts w:cs="Arial"/>
                <w:sz w:val="20"/>
                <w:lang w:eastAsia="en-GB"/>
              </w:rPr>
              <w:t>50,120</w:t>
            </w:r>
          </w:p>
        </w:tc>
        <w:tc>
          <w:tcPr>
            <w:tcW w:w="1275" w:type="dxa"/>
            <w:tcBorders>
              <w:top w:val="nil"/>
              <w:left w:val="nil"/>
              <w:bottom w:val="nil"/>
              <w:right w:val="nil"/>
            </w:tcBorders>
            <w:vAlign w:val="bottom"/>
          </w:tcPr>
          <w:p w:rsidR="00B42FD1" w:rsidRDefault="00342D60" w:rsidP="009B17E2">
            <w:pPr>
              <w:jc w:val="right"/>
              <w:rPr>
                <w:rFonts w:cs="Arial"/>
                <w:sz w:val="20"/>
                <w:lang w:eastAsia="en-GB"/>
              </w:rPr>
            </w:pPr>
            <w:r>
              <w:rPr>
                <w:rFonts w:cs="Arial"/>
                <w:sz w:val="20"/>
                <w:lang w:eastAsia="en-GB"/>
              </w:rPr>
              <w:t>28,6</w:t>
            </w:r>
            <w:r w:rsidR="009B17E2">
              <w:rPr>
                <w:rFonts w:cs="Arial"/>
                <w:sz w:val="20"/>
                <w:lang w:eastAsia="en-GB"/>
              </w:rPr>
              <w:t>20</w:t>
            </w:r>
          </w:p>
        </w:tc>
        <w:tc>
          <w:tcPr>
            <w:tcW w:w="1417" w:type="dxa"/>
            <w:tcBorders>
              <w:top w:val="nil"/>
              <w:left w:val="nil"/>
              <w:bottom w:val="nil"/>
              <w:right w:val="nil"/>
            </w:tcBorders>
            <w:vAlign w:val="bottom"/>
          </w:tcPr>
          <w:p w:rsidR="00B42FD1" w:rsidRPr="00983509" w:rsidRDefault="00342D60" w:rsidP="00CA025A">
            <w:pPr>
              <w:jc w:val="right"/>
              <w:rPr>
                <w:rFonts w:cs="Arial"/>
                <w:sz w:val="20"/>
                <w:lang w:eastAsia="en-GB"/>
              </w:rPr>
            </w:pPr>
            <w:r w:rsidRPr="004148D0">
              <w:rPr>
                <w:rFonts w:cs="Arial"/>
                <w:sz w:val="20"/>
                <w:lang w:eastAsia="en-GB"/>
              </w:rPr>
              <w:t>10,</w:t>
            </w:r>
            <w:r w:rsidR="00AA094D">
              <w:rPr>
                <w:rFonts w:cs="Arial"/>
                <w:sz w:val="20"/>
                <w:lang w:eastAsia="en-GB"/>
              </w:rPr>
              <w:t>356</w:t>
            </w:r>
          </w:p>
        </w:tc>
        <w:tc>
          <w:tcPr>
            <w:tcW w:w="1134" w:type="dxa"/>
            <w:tcBorders>
              <w:top w:val="nil"/>
              <w:left w:val="nil"/>
              <w:bottom w:val="nil"/>
              <w:right w:val="nil"/>
            </w:tcBorders>
            <w:shd w:val="clear" w:color="auto" w:fill="auto"/>
            <w:noWrap/>
            <w:vAlign w:val="bottom"/>
          </w:tcPr>
          <w:p w:rsidR="00B42FD1" w:rsidRPr="00983509" w:rsidRDefault="00342D60" w:rsidP="00CD62E6">
            <w:pPr>
              <w:jc w:val="right"/>
              <w:rPr>
                <w:rFonts w:cs="Arial"/>
                <w:sz w:val="20"/>
                <w:lang w:eastAsia="en-GB"/>
              </w:rPr>
            </w:pPr>
            <w:r>
              <w:rPr>
                <w:rFonts w:cs="Arial"/>
                <w:sz w:val="20"/>
                <w:lang w:eastAsia="en-GB"/>
              </w:rPr>
              <w:t>4,698</w:t>
            </w:r>
          </w:p>
        </w:tc>
        <w:tc>
          <w:tcPr>
            <w:tcW w:w="1276" w:type="dxa"/>
            <w:tcBorders>
              <w:top w:val="nil"/>
              <w:left w:val="nil"/>
              <w:bottom w:val="nil"/>
              <w:right w:val="nil"/>
            </w:tcBorders>
            <w:shd w:val="clear" w:color="auto" w:fill="auto"/>
            <w:noWrap/>
            <w:vAlign w:val="bottom"/>
          </w:tcPr>
          <w:p w:rsidR="00B42FD1" w:rsidRPr="00983509" w:rsidRDefault="00342D60" w:rsidP="00CA025A">
            <w:pPr>
              <w:jc w:val="right"/>
              <w:rPr>
                <w:rFonts w:cs="Arial"/>
                <w:sz w:val="20"/>
                <w:lang w:eastAsia="en-GB"/>
              </w:rPr>
            </w:pPr>
            <w:r w:rsidRPr="000D009D">
              <w:rPr>
                <w:rFonts w:cs="Arial"/>
                <w:sz w:val="20"/>
                <w:lang w:eastAsia="en-GB"/>
              </w:rPr>
              <w:t>93,</w:t>
            </w:r>
            <w:r w:rsidR="00AA094D">
              <w:rPr>
                <w:rFonts w:cs="Arial"/>
                <w:sz w:val="20"/>
                <w:lang w:eastAsia="en-GB"/>
              </w:rPr>
              <w:t>794</w:t>
            </w:r>
          </w:p>
        </w:tc>
      </w:tr>
      <w:tr w:rsidR="00B42FD1" w:rsidRPr="00A60775" w:rsidTr="00A250F7">
        <w:trPr>
          <w:trHeight w:val="161"/>
        </w:trPr>
        <w:tc>
          <w:tcPr>
            <w:tcW w:w="3827" w:type="dxa"/>
            <w:tcBorders>
              <w:top w:val="nil"/>
              <w:left w:val="nil"/>
              <w:bottom w:val="nil"/>
              <w:right w:val="nil"/>
            </w:tcBorders>
            <w:shd w:val="clear" w:color="auto" w:fill="auto"/>
            <w:noWrap/>
            <w:vAlign w:val="bottom"/>
          </w:tcPr>
          <w:p w:rsidR="00B42FD1" w:rsidRPr="00CC0566" w:rsidRDefault="00B42FD1" w:rsidP="0014172A">
            <w:pPr>
              <w:ind w:left="175"/>
              <w:rPr>
                <w:rFonts w:cs="Arial"/>
                <w:sz w:val="16"/>
                <w:szCs w:val="16"/>
                <w:lang w:eastAsia="en-GB"/>
              </w:rPr>
            </w:pPr>
          </w:p>
        </w:tc>
        <w:tc>
          <w:tcPr>
            <w:tcW w:w="1418"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c>
          <w:tcPr>
            <w:tcW w:w="1275" w:type="dxa"/>
            <w:tcBorders>
              <w:top w:val="nil"/>
              <w:left w:val="nil"/>
              <w:bottom w:val="nil"/>
              <w:right w:val="nil"/>
            </w:tcBorders>
            <w:vAlign w:val="bottom"/>
          </w:tcPr>
          <w:p w:rsidR="00B42FD1" w:rsidRPr="00CC0566" w:rsidRDefault="00B42FD1" w:rsidP="000B4E07">
            <w:pPr>
              <w:jc w:val="right"/>
              <w:rPr>
                <w:rFonts w:cs="Arial"/>
                <w:sz w:val="16"/>
                <w:szCs w:val="16"/>
                <w:lang w:eastAsia="en-GB"/>
              </w:rPr>
            </w:pPr>
          </w:p>
        </w:tc>
        <w:tc>
          <w:tcPr>
            <w:tcW w:w="1417" w:type="dxa"/>
            <w:tcBorders>
              <w:top w:val="nil"/>
              <w:left w:val="nil"/>
              <w:bottom w:val="nil"/>
              <w:right w:val="nil"/>
            </w:tcBorders>
            <w:vAlign w:val="bottom"/>
          </w:tcPr>
          <w:p w:rsidR="00B42FD1" w:rsidRPr="00CC0566" w:rsidRDefault="00B42FD1" w:rsidP="00CD62E6">
            <w:pPr>
              <w:jc w:val="right"/>
              <w:rPr>
                <w:rFonts w:cs="Arial"/>
                <w:sz w:val="16"/>
                <w:szCs w:val="16"/>
                <w:lang w:eastAsia="en-GB"/>
              </w:rPr>
            </w:pPr>
          </w:p>
        </w:tc>
        <w:tc>
          <w:tcPr>
            <w:tcW w:w="1134"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c>
          <w:tcPr>
            <w:tcW w:w="1276"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highlight w:val="yellow"/>
                <w:lang w:eastAsia="en-GB"/>
              </w:rPr>
            </w:pPr>
          </w:p>
        </w:tc>
      </w:tr>
      <w:tr w:rsidR="001B72DF" w:rsidRPr="00A60775" w:rsidTr="00A250F7">
        <w:trPr>
          <w:trHeight w:val="255"/>
        </w:trPr>
        <w:tc>
          <w:tcPr>
            <w:tcW w:w="3827" w:type="dxa"/>
            <w:tcBorders>
              <w:top w:val="nil"/>
              <w:left w:val="nil"/>
              <w:bottom w:val="nil"/>
              <w:right w:val="nil"/>
            </w:tcBorders>
            <w:shd w:val="clear" w:color="auto" w:fill="auto"/>
            <w:noWrap/>
            <w:vAlign w:val="bottom"/>
          </w:tcPr>
          <w:p w:rsidR="001B72DF" w:rsidRPr="005A4CB4" w:rsidRDefault="001B72DF" w:rsidP="001B72DF">
            <w:pPr>
              <w:ind w:left="175"/>
              <w:rPr>
                <w:rFonts w:cs="Arial"/>
                <w:sz w:val="20"/>
                <w:lang w:eastAsia="en-GB"/>
              </w:rPr>
            </w:pPr>
            <w:r>
              <w:rPr>
                <w:rFonts w:cs="Arial"/>
                <w:sz w:val="20"/>
                <w:lang w:eastAsia="en-GB"/>
              </w:rPr>
              <w:t>Balance sheet at 31 March 2017</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53,107</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9,</w:t>
            </w:r>
            <w:r w:rsidR="00AA094D">
              <w:rPr>
                <w:rFonts w:cs="Arial"/>
                <w:sz w:val="20"/>
                <w:lang w:eastAsia="en-GB"/>
              </w:rPr>
              <w:t>548</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88,</w:t>
            </w:r>
            <w:r w:rsidR="00AA094D">
              <w:rPr>
                <w:rFonts w:cs="Arial"/>
                <w:sz w:val="20"/>
                <w:lang w:eastAsia="en-GB"/>
              </w:rPr>
              <w:t>264</w:t>
            </w:r>
          </w:p>
        </w:tc>
      </w:tr>
      <w:tr w:rsidR="00B42FD1" w:rsidRPr="00A60775" w:rsidTr="00A250F7">
        <w:trPr>
          <w:trHeight w:val="97"/>
        </w:trPr>
        <w:tc>
          <w:tcPr>
            <w:tcW w:w="3827" w:type="dxa"/>
            <w:tcBorders>
              <w:top w:val="nil"/>
              <w:left w:val="nil"/>
              <w:bottom w:val="nil"/>
              <w:right w:val="nil"/>
            </w:tcBorders>
            <w:shd w:val="clear" w:color="auto" w:fill="auto"/>
            <w:noWrap/>
            <w:vAlign w:val="bottom"/>
          </w:tcPr>
          <w:p w:rsidR="00B42FD1" w:rsidRPr="00CC0566" w:rsidRDefault="00B42FD1" w:rsidP="0014172A">
            <w:pPr>
              <w:ind w:left="175"/>
              <w:rPr>
                <w:rFonts w:cs="Arial"/>
                <w:sz w:val="16"/>
                <w:szCs w:val="16"/>
                <w:highlight w:val="cyan"/>
                <w:lang w:eastAsia="en-GB"/>
              </w:rPr>
            </w:pPr>
          </w:p>
        </w:tc>
        <w:tc>
          <w:tcPr>
            <w:tcW w:w="1418" w:type="dxa"/>
            <w:tcBorders>
              <w:top w:val="nil"/>
              <w:left w:val="nil"/>
              <w:bottom w:val="nil"/>
              <w:right w:val="nil"/>
            </w:tcBorders>
            <w:shd w:val="clear" w:color="auto" w:fill="auto"/>
            <w:noWrap/>
            <w:vAlign w:val="bottom"/>
          </w:tcPr>
          <w:p w:rsidR="00B42FD1" w:rsidRPr="00CC0566" w:rsidRDefault="00B42FD1" w:rsidP="00CD62E6">
            <w:pPr>
              <w:rPr>
                <w:rFonts w:cs="Arial"/>
                <w:sz w:val="16"/>
                <w:szCs w:val="16"/>
                <w:highlight w:val="yellow"/>
                <w:lang w:eastAsia="en-GB"/>
              </w:rPr>
            </w:pPr>
          </w:p>
        </w:tc>
        <w:tc>
          <w:tcPr>
            <w:tcW w:w="1275" w:type="dxa"/>
            <w:tcBorders>
              <w:top w:val="nil"/>
              <w:left w:val="nil"/>
              <w:bottom w:val="nil"/>
              <w:right w:val="nil"/>
            </w:tcBorders>
            <w:vAlign w:val="bottom"/>
          </w:tcPr>
          <w:p w:rsidR="00B42FD1" w:rsidRPr="00CC0566" w:rsidRDefault="00B42FD1" w:rsidP="000B4E07">
            <w:pPr>
              <w:jc w:val="right"/>
              <w:rPr>
                <w:rFonts w:cs="Arial"/>
                <w:sz w:val="16"/>
                <w:szCs w:val="16"/>
                <w:highlight w:val="yellow"/>
                <w:lang w:eastAsia="en-GB"/>
              </w:rPr>
            </w:pPr>
          </w:p>
        </w:tc>
        <w:tc>
          <w:tcPr>
            <w:tcW w:w="1417" w:type="dxa"/>
            <w:tcBorders>
              <w:top w:val="nil"/>
              <w:left w:val="nil"/>
              <w:bottom w:val="nil"/>
              <w:right w:val="nil"/>
            </w:tcBorders>
            <w:vAlign w:val="bottom"/>
          </w:tcPr>
          <w:p w:rsidR="00B42FD1" w:rsidRPr="00CC0566" w:rsidRDefault="00B42FD1" w:rsidP="00CD62E6">
            <w:pPr>
              <w:jc w:val="right"/>
              <w:rPr>
                <w:rFonts w:cs="Arial"/>
                <w:sz w:val="16"/>
                <w:szCs w:val="16"/>
                <w:highlight w:val="yellow"/>
                <w:lang w:eastAsia="en-GB"/>
              </w:rPr>
            </w:pPr>
          </w:p>
        </w:tc>
        <w:tc>
          <w:tcPr>
            <w:tcW w:w="1134"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lang w:eastAsia="en-GB"/>
              </w:rPr>
            </w:pPr>
          </w:p>
        </w:tc>
        <w:tc>
          <w:tcPr>
            <w:tcW w:w="1276" w:type="dxa"/>
            <w:tcBorders>
              <w:top w:val="nil"/>
              <w:left w:val="nil"/>
              <w:bottom w:val="nil"/>
              <w:right w:val="nil"/>
            </w:tcBorders>
            <w:shd w:val="clear" w:color="auto" w:fill="auto"/>
            <w:noWrap/>
            <w:vAlign w:val="bottom"/>
          </w:tcPr>
          <w:p w:rsidR="00B42FD1" w:rsidRPr="00CC0566" w:rsidRDefault="00B42FD1" w:rsidP="00CD62E6">
            <w:pPr>
              <w:jc w:val="right"/>
              <w:rPr>
                <w:rFonts w:cs="Arial"/>
                <w:sz w:val="16"/>
                <w:szCs w:val="16"/>
                <w:highlight w:val="yellow"/>
                <w:lang w:eastAsia="en-GB"/>
              </w:rPr>
            </w:pPr>
          </w:p>
        </w:tc>
      </w:tr>
      <w:tr w:rsidR="00B42FD1" w:rsidRPr="00A60775" w:rsidTr="00A250F7">
        <w:trPr>
          <w:trHeight w:val="255"/>
        </w:trPr>
        <w:tc>
          <w:tcPr>
            <w:tcW w:w="3827" w:type="dxa"/>
            <w:tcBorders>
              <w:top w:val="nil"/>
              <w:left w:val="nil"/>
              <w:bottom w:val="nil"/>
              <w:right w:val="nil"/>
            </w:tcBorders>
            <w:shd w:val="clear" w:color="auto" w:fill="auto"/>
            <w:noWrap/>
            <w:vAlign w:val="bottom"/>
          </w:tcPr>
          <w:p w:rsidR="00B42FD1" w:rsidRPr="005A4CB4" w:rsidRDefault="00B42FD1" w:rsidP="0014172A">
            <w:pPr>
              <w:ind w:left="175"/>
              <w:rPr>
                <w:rFonts w:cs="Arial"/>
                <w:b/>
                <w:bCs/>
                <w:sz w:val="20"/>
                <w:lang w:eastAsia="en-GB"/>
              </w:rPr>
            </w:pPr>
            <w:r w:rsidRPr="005A4CB4">
              <w:rPr>
                <w:rFonts w:cs="Arial"/>
                <w:b/>
                <w:bCs/>
                <w:sz w:val="20"/>
                <w:lang w:eastAsia="en-GB"/>
              </w:rPr>
              <w:t>Nature of asset holding</w:t>
            </w:r>
          </w:p>
        </w:tc>
        <w:tc>
          <w:tcPr>
            <w:tcW w:w="1418" w:type="dxa"/>
            <w:tcBorders>
              <w:top w:val="nil"/>
              <w:left w:val="nil"/>
              <w:bottom w:val="nil"/>
              <w:right w:val="nil"/>
            </w:tcBorders>
            <w:shd w:val="clear" w:color="auto" w:fill="auto"/>
            <w:noWrap/>
            <w:vAlign w:val="bottom"/>
          </w:tcPr>
          <w:p w:rsidR="00B42FD1" w:rsidRPr="00F21C74" w:rsidRDefault="00B42FD1" w:rsidP="00CD62E6">
            <w:pPr>
              <w:rPr>
                <w:rFonts w:cs="Arial"/>
                <w:sz w:val="20"/>
                <w:highlight w:val="yellow"/>
                <w:lang w:eastAsia="en-GB"/>
              </w:rPr>
            </w:pPr>
          </w:p>
        </w:tc>
        <w:tc>
          <w:tcPr>
            <w:tcW w:w="1275" w:type="dxa"/>
            <w:tcBorders>
              <w:top w:val="nil"/>
              <w:left w:val="nil"/>
              <w:bottom w:val="nil"/>
              <w:right w:val="nil"/>
            </w:tcBorders>
            <w:vAlign w:val="bottom"/>
          </w:tcPr>
          <w:p w:rsidR="00B42FD1" w:rsidRPr="00F21C74" w:rsidRDefault="00B42FD1" w:rsidP="000B4E07">
            <w:pPr>
              <w:jc w:val="right"/>
              <w:rPr>
                <w:rFonts w:cs="Arial"/>
                <w:sz w:val="20"/>
                <w:highlight w:val="yellow"/>
                <w:lang w:eastAsia="en-GB"/>
              </w:rPr>
            </w:pPr>
          </w:p>
        </w:tc>
        <w:tc>
          <w:tcPr>
            <w:tcW w:w="1417" w:type="dxa"/>
            <w:tcBorders>
              <w:top w:val="nil"/>
              <w:left w:val="nil"/>
              <w:bottom w:val="nil"/>
              <w:right w:val="nil"/>
            </w:tcBorders>
            <w:vAlign w:val="bottom"/>
          </w:tcPr>
          <w:p w:rsidR="00B42FD1" w:rsidRPr="00F21C74" w:rsidRDefault="00B42FD1" w:rsidP="00CD62E6">
            <w:pPr>
              <w:jc w:val="right"/>
              <w:rPr>
                <w:rFonts w:cs="Arial"/>
                <w:sz w:val="20"/>
                <w:highlight w:val="yellow"/>
                <w:lang w:eastAsia="en-GB"/>
              </w:rPr>
            </w:pPr>
          </w:p>
        </w:tc>
        <w:tc>
          <w:tcPr>
            <w:tcW w:w="1134" w:type="dxa"/>
            <w:tcBorders>
              <w:top w:val="nil"/>
              <w:left w:val="nil"/>
              <w:bottom w:val="nil"/>
              <w:right w:val="nil"/>
            </w:tcBorders>
            <w:shd w:val="clear" w:color="auto" w:fill="auto"/>
            <w:noWrap/>
            <w:vAlign w:val="bottom"/>
          </w:tcPr>
          <w:p w:rsidR="00B42FD1" w:rsidRPr="00FD64A6" w:rsidRDefault="00B42FD1" w:rsidP="00CD62E6">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B42FD1" w:rsidRPr="00F21C74" w:rsidRDefault="00B42FD1" w:rsidP="00CD62E6">
            <w:pPr>
              <w:jc w:val="right"/>
              <w:rPr>
                <w:rFonts w:cs="Arial"/>
                <w:sz w:val="20"/>
                <w:highlight w:val="yellow"/>
                <w:lang w:eastAsia="en-GB"/>
              </w:rPr>
            </w:pPr>
          </w:p>
        </w:tc>
      </w:tr>
      <w:tr w:rsidR="00B42FD1" w:rsidRPr="00983509" w:rsidTr="00A250F7">
        <w:trPr>
          <w:trHeight w:val="255"/>
        </w:trPr>
        <w:tc>
          <w:tcPr>
            <w:tcW w:w="3827" w:type="dxa"/>
            <w:tcBorders>
              <w:top w:val="nil"/>
              <w:left w:val="nil"/>
              <w:bottom w:val="nil"/>
              <w:right w:val="nil"/>
            </w:tcBorders>
            <w:shd w:val="clear" w:color="auto" w:fill="auto"/>
            <w:noWrap/>
            <w:vAlign w:val="bottom"/>
          </w:tcPr>
          <w:p w:rsidR="00B42FD1" w:rsidRPr="00983509" w:rsidRDefault="00B42FD1" w:rsidP="0014172A">
            <w:pPr>
              <w:ind w:left="175"/>
              <w:rPr>
                <w:rFonts w:cs="Arial"/>
                <w:sz w:val="20"/>
                <w:lang w:eastAsia="en-GB"/>
              </w:rPr>
            </w:pPr>
            <w:r w:rsidRPr="00983509">
              <w:rPr>
                <w:rFonts w:cs="Arial"/>
                <w:sz w:val="20"/>
                <w:lang w:eastAsia="en-GB"/>
              </w:rPr>
              <w:t>Owned</w:t>
            </w:r>
          </w:p>
        </w:tc>
        <w:tc>
          <w:tcPr>
            <w:tcW w:w="1418" w:type="dxa"/>
            <w:tcBorders>
              <w:top w:val="nil"/>
              <w:left w:val="nil"/>
              <w:bottom w:val="nil"/>
              <w:right w:val="nil"/>
            </w:tcBorders>
            <w:shd w:val="clear" w:color="auto" w:fill="auto"/>
            <w:noWrap/>
            <w:vAlign w:val="bottom"/>
          </w:tcPr>
          <w:p w:rsidR="00B42FD1" w:rsidRPr="004148D0" w:rsidRDefault="004C0215" w:rsidP="004C0215">
            <w:pPr>
              <w:jc w:val="right"/>
              <w:rPr>
                <w:rFonts w:cs="Arial"/>
                <w:sz w:val="20"/>
                <w:lang w:eastAsia="en-GB"/>
              </w:rPr>
            </w:pPr>
            <w:r>
              <w:rPr>
                <w:rFonts w:cs="Arial"/>
                <w:sz w:val="20"/>
                <w:lang w:eastAsia="en-GB"/>
              </w:rPr>
              <w:t>49,850</w:t>
            </w:r>
          </w:p>
        </w:tc>
        <w:tc>
          <w:tcPr>
            <w:tcW w:w="1275" w:type="dxa"/>
            <w:tcBorders>
              <w:top w:val="nil"/>
              <w:left w:val="nil"/>
              <w:bottom w:val="nil"/>
              <w:right w:val="nil"/>
            </w:tcBorders>
            <w:vAlign w:val="bottom"/>
          </w:tcPr>
          <w:p w:rsidR="00B42FD1" w:rsidRDefault="009B17E2" w:rsidP="000B4E07">
            <w:pPr>
              <w:jc w:val="right"/>
              <w:rPr>
                <w:rFonts w:cs="Arial"/>
                <w:sz w:val="20"/>
                <w:lang w:eastAsia="en-GB"/>
              </w:rPr>
            </w:pPr>
            <w:r>
              <w:rPr>
                <w:rFonts w:cs="Arial"/>
                <w:sz w:val="20"/>
                <w:lang w:eastAsia="en-GB"/>
              </w:rPr>
              <w:t>-</w:t>
            </w:r>
          </w:p>
        </w:tc>
        <w:tc>
          <w:tcPr>
            <w:tcW w:w="1417" w:type="dxa"/>
            <w:tcBorders>
              <w:top w:val="nil"/>
              <w:left w:val="nil"/>
              <w:bottom w:val="nil"/>
              <w:right w:val="nil"/>
            </w:tcBorders>
            <w:shd w:val="clear" w:color="auto" w:fill="auto"/>
            <w:vAlign w:val="bottom"/>
          </w:tcPr>
          <w:p w:rsidR="00B42FD1" w:rsidRPr="004148D0" w:rsidRDefault="009B17E2" w:rsidP="00CA025A">
            <w:pPr>
              <w:jc w:val="right"/>
              <w:rPr>
                <w:rFonts w:cs="Arial"/>
                <w:sz w:val="20"/>
                <w:lang w:eastAsia="en-GB"/>
              </w:rPr>
            </w:pPr>
            <w:r w:rsidRPr="004148D0">
              <w:rPr>
                <w:rFonts w:cs="Arial"/>
                <w:sz w:val="20"/>
                <w:lang w:eastAsia="en-GB"/>
              </w:rPr>
              <w:t>10,</w:t>
            </w:r>
            <w:r w:rsidR="006E6FE9">
              <w:rPr>
                <w:rFonts w:cs="Arial"/>
                <w:sz w:val="20"/>
                <w:lang w:eastAsia="en-GB"/>
              </w:rPr>
              <w:t>308</w:t>
            </w:r>
          </w:p>
        </w:tc>
        <w:tc>
          <w:tcPr>
            <w:tcW w:w="1134" w:type="dxa"/>
            <w:tcBorders>
              <w:top w:val="nil"/>
              <w:left w:val="nil"/>
              <w:bottom w:val="nil"/>
              <w:right w:val="nil"/>
            </w:tcBorders>
            <w:shd w:val="clear" w:color="auto" w:fill="auto"/>
            <w:noWrap/>
            <w:vAlign w:val="bottom"/>
          </w:tcPr>
          <w:p w:rsidR="00B42FD1" w:rsidRPr="00983509" w:rsidRDefault="009B17E2" w:rsidP="00CD62E6">
            <w:pPr>
              <w:jc w:val="right"/>
              <w:rPr>
                <w:rFonts w:cs="Arial"/>
                <w:sz w:val="20"/>
                <w:lang w:eastAsia="en-GB"/>
              </w:rPr>
            </w:pPr>
            <w:r>
              <w:rPr>
                <w:rFonts w:cs="Arial"/>
                <w:sz w:val="20"/>
                <w:lang w:eastAsia="en-GB"/>
              </w:rPr>
              <w:t>4,698</w:t>
            </w:r>
          </w:p>
        </w:tc>
        <w:tc>
          <w:tcPr>
            <w:tcW w:w="1276" w:type="dxa"/>
            <w:tcBorders>
              <w:top w:val="nil"/>
              <w:left w:val="nil"/>
              <w:bottom w:val="nil"/>
              <w:right w:val="nil"/>
            </w:tcBorders>
            <w:shd w:val="clear" w:color="auto" w:fill="auto"/>
            <w:noWrap/>
            <w:vAlign w:val="bottom"/>
          </w:tcPr>
          <w:p w:rsidR="00B42FD1" w:rsidRPr="004148D0" w:rsidRDefault="004148D0" w:rsidP="00CA025A">
            <w:pPr>
              <w:jc w:val="right"/>
              <w:rPr>
                <w:rFonts w:cs="Arial"/>
                <w:sz w:val="20"/>
                <w:lang w:eastAsia="en-GB"/>
              </w:rPr>
            </w:pPr>
            <w:r w:rsidRPr="004148D0">
              <w:rPr>
                <w:rFonts w:cs="Arial"/>
                <w:sz w:val="20"/>
                <w:lang w:eastAsia="en-GB"/>
              </w:rPr>
              <w:t>64,</w:t>
            </w:r>
            <w:r w:rsidR="006E6FE9">
              <w:rPr>
                <w:rFonts w:cs="Arial"/>
                <w:sz w:val="20"/>
                <w:lang w:eastAsia="en-GB"/>
              </w:rPr>
              <w:t>856</w:t>
            </w:r>
          </w:p>
        </w:tc>
      </w:tr>
      <w:tr w:rsidR="00B42FD1" w:rsidRPr="00983509" w:rsidTr="00A250F7">
        <w:trPr>
          <w:trHeight w:val="255"/>
        </w:trPr>
        <w:tc>
          <w:tcPr>
            <w:tcW w:w="3827" w:type="dxa"/>
            <w:tcBorders>
              <w:top w:val="nil"/>
              <w:left w:val="nil"/>
              <w:bottom w:val="nil"/>
              <w:right w:val="nil"/>
            </w:tcBorders>
            <w:shd w:val="clear" w:color="auto" w:fill="auto"/>
            <w:noWrap/>
            <w:vAlign w:val="bottom"/>
          </w:tcPr>
          <w:p w:rsidR="00B42FD1" w:rsidRPr="00983509" w:rsidRDefault="00B42FD1" w:rsidP="0014172A">
            <w:pPr>
              <w:ind w:left="175"/>
              <w:rPr>
                <w:rFonts w:cs="Arial"/>
                <w:sz w:val="20"/>
                <w:lang w:eastAsia="en-GB"/>
              </w:rPr>
            </w:pPr>
            <w:r w:rsidRPr="00983509">
              <w:rPr>
                <w:rFonts w:cs="Arial"/>
                <w:sz w:val="20"/>
                <w:lang w:eastAsia="en-GB"/>
              </w:rPr>
              <w:t>Finance lease</w:t>
            </w:r>
          </w:p>
        </w:tc>
        <w:tc>
          <w:tcPr>
            <w:tcW w:w="1418" w:type="dxa"/>
            <w:tcBorders>
              <w:top w:val="nil"/>
              <w:left w:val="nil"/>
              <w:bottom w:val="nil"/>
              <w:right w:val="nil"/>
            </w:tcBorders>
            <w:shd w:val="clear" w:color="auto" w:fill="auto"/>
            <w:noWrap/>
            <w:vAlign w:val="bottom"/>
          </w:tcPr>
          <w:p w:rsidR="00B42FD1" w:rsidRPr="004148D0" w:rsidRDefault="003744B2" w:rsidP="004148D0">
            <w:pPr>
              <w:jc w:val="right"/>
              <w:rPr>
                <w:rFonts w:cs="Arial"/>
                <w:sz w:val="20"/>
                <w:lang w:eastAsia="en-GB"/>
              </w:rPr>
            </w:pPr>
            <w:r>
              <w:rPr>
                <w:rFonts w:cs="Arial"/>
                <w:sz w:val="20"/>
                <w:lang w:eastAsia="en-GB"/>
              </w:rPr>
              <w:t>270</w:t>
            </w:r>
          </w:p>
        </w:tc>
        <w:tc>
          <w:tcPr>
            <w:tcW w:w="1275" w:type="dxa"/>
            <w:tcBorders>
              <w:top w:val="nil"/>
              <w:left w:val="nil"/>
              <w:bottom w:val="nil"/>
              <w:right w:val="nil"/>
            </w:tcBorders>
            <w:vAlign w:val="bottom"/>
          </w:tcPr>
          <w:p w:rsidR="00B42FD1" w:rsidRDefault="009B17E2" w:rsidP="000B4E07">
            <w:pPr>
              <w:jc w:val="right"/>
              <w:rPr>
                <w:rFonts w:cs="Arial"/>
                <w:sz w:val="20"/>
                <w:lang w:eastAsia="en-GB"/>
              </w:rPr>
            </w:pPr>
            <w:r>
              <w:rPr>
                <w:rFonts w:cs="Arial"/>
                <w:sz w:val="20"/>
                <w:lang w:eastAsia="en-GB"/>
              </w:rPr>
              <w:t>-</w:t>
            </w:r>
          </w:p>
        </w:tc>
        <w:tc>
          <w:tcPr>
            <w:tcW w:w="1417" w:type="dxa"/>
            <w:tcBorders>
              <w:top w:val="nil"/>
              <w:left w:val="nil"/>
              <w:bottom w:val="nil"/>
              <w:right w:val="nil"/>
            </w:tcBorders>
            <w:shd w:val="clear" w:color="auto" w:fill="auto"/>
            <w:vAlign w:val="bottom"/>
          </w:tcPr>
          <w:p w:rsidR="00B42FD1" w:rsidRPr="004148D0" w:rsidRDefault="006E6FE9" w:rsidP="00CA025A">
            <w:pPr>
              <w:jc w:val="right"/>
              <w:rPr>
                <w:rFonts w:cs="Arial"/>
                <w:sz w:val="20"/>
                <w:lang w:eastAsia="en-GB"/>
              </w:rPr>
            </w:pPr>
            <w:r w:rsidRPr="004148D0">
              <w:rPr>
                <w:rFonts w:cs="Arial"/>
                <w:sz w:val="20"/>
                <w:lang w:eastAsia="en-GB"/>
              </w:rPr>
              <w:t>4</w:t>
            </w:r>
            <w:r>
              <w:rPr>
                <w:rFonts w:cs="Arial"/>
                <w:sz w:val="20"/>
                <w:lang w:eastAsia="en-GB"/>
              </w:rPr>
              <w:t>8</w:t>
            </w:r>
          </w:p>
        </w:tc>
        <w:tc>
          <w:tcPr>
            <w:tcW w:w="1134" w:type="dxa"/>
            <w:tcBorders>
              <w:top w:val="nil"/>
              <w:left w:val="nil"/>
              <w:bottom w:val="nil"/>
              <w:right w:val="nil"/>
            </w:tcBorders>
            <w:shd w:val="clear" w:color="auto" w:fill="auto"/>
            <w:noWrap/>
            <w:vAlign w:val="bottom"/>
          </w:tcPr>
          <w:p w:rsidR="00B42FD1" w:rsidRPr="00983509" w:rsidRDefault="009B17E2" w:rsidP="00CD62E6">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B42FD1" w:rsidRPr="004148D0" w:rsidRDefault="003744B2" w:rsidP="00CA025A">
            <w:pPr>
              <w:jc w:val="right"/>
              <w:rPr>
                <w:rFonts w:cs="Arial"/>
                <w:sz w:val="20"/>
                <w:lang w:eastAsia="en-GB"/>
              </w:rPr>
            </w:pPr>
            <w:r>
              <w:rPr>
                <w:rFonts w:cs="Arial"/>
                <w:sz w:val="20"/>
                <w:lang w:eastAsia="en-GB"/>
              </w:rPr>
              <w:t>31</w:t>
            </w:r>
            <w:r w:rsidR="006E6FE9">
              <w:rPr>
                <w:rFonts w:cs="Arial"/>
                <w:sz w:val="20"/>
                <w:lang w:eastAsia="en-GB"/>
              </w:rPr>
              <w:t>8</w:t>
            </w:r>
          </w:p>
        </w:tc>
      </w:tr>
      <w:tr w:rsidR="00B42FD1" w:rsidRPr="00983509" w:rsidTr="00A250F7">
        <w:trPr>
          <w:trHeight w:val="255"/>
        </w:trPr>
        <w:tc>
          <w:tcPr>
            <w:tcW w:w="3827" w:type="dxa"/>
            <w:tcBorders>
              <w:top w:val="nil"/>
              <w:left w:val="nil"/>
              <w:bottom w:val="nil"/>
              <w:right w:val="nil"/>
            </w:tcBorders>
            <w:shd w:val="clear" w:color="auto" w:fill="auto"/>
            <w:noWrap/>
            <w:vAlign w:val="bottom"/>
          </w:tcPr>
          <w:p w:rsidR="00B42FD1" w:rsidRPr="00983509" w:rsidRDefault="00B42FD1" w:rsidP="0014172A">
            <w:pPr>
              <w:ind w:left="175"/>
              <w:rPr>
                <w:rFonts w:cs="Arial"/>
                <w:sz w:val="20"/>
                <w:lang w:eastAsia="en-GB"/>
              </w:rPr>
            </w:pPr>
            <w:r w:rsidRPr="00983509">
              <w:rPr>
                <w:rFonts w:cs="Arial"/>
                <w:sz w:val="20"/>
                <w:lang w:eastAsia="en-GB"/>
              </w:rPr>
              <w:t>PFI</w:t>
            </w:r>
          </w:p>
        </w:tc>
        <w:tc>
          <w:tcPr>
            <w:tcW w:w="1418" w:type="dxa"/>
            <w:tcBorders>
              <w:top w:val="nil"/>
              <w:left w:val="nil"/>
              <w:bottom w:val="single" w:sz="4" w:space="0" w:color="auto"/>
              <w:right w:val="nil"/>
            </w:tcBorders>
            <w:shd w:val="clear" w:color="auto" w:fill="auto"/>
            <w:noWrap/>
            <w:vAlign w:val="bottom"/>
          </w:tcPr>
          <w:p w:rsidR="00B42FD1" w:rsidRPr="004148D0" w:rsidRDefault="009B17E2" w:rsidP="00CD62E6">
            <w:pPr>
              <w:jc w:val="right"/>
              <w:rPr>
                <w:rFonts w:cs="Arial"/>
                <w:sz w:val="20"/>
                <w:lang w:eastAsia="en-GB"/>
              </w:rPr>
            </w:pPr>
            <w:r w:rsidRPr="004148D0">
              <w:rPr>
                <w:rFonts w:cs="Arial"/>
                <w:sz w:val="20"/>
                <w:lang w:eastAsia="en-GB"/>
              </w:rPr>
              <w:t>-</w:t>
            </w:r>
          </w:p>
        </w:tc>
        <w:tc>
          <w:tcPr>
            <w:tcW w:w="1275" w:type="dxa"/>
            <w:tcBorders>
              <w:top w:val="nil"/>
              <w:left w:val="nil"/>
              <w:bottom w:val="single" w:sz="4" w:space="0" w:color="auto"/>
              <w:right w:val="nil"/>
            </w:tcBorders>
            <w:vAlign w:val="bottom"/>
          </w:tcPr>
          <w:p w:rsidR="00B42FD1" w:rsidRDefault="009B17E2" w:rsidP="000B4E07">
            <w:pPr>
              <w:jc w:val="right"/>
              <w:rPr>
                <w:rFonts w:cs="Arial"/>
                <w:sz w:val="20"/>
                <w:lang w:eastAsia="en-GB"/>
              </w:rPr>
            </w:pPr>
            <w:r>
              <w:rPr>
                <w:rFonts w:cs="Arial"/>
                <w:sz w:val="20"/>
                <w:lang w:eastAsia="en-GB"/>
              </w:rPr>
              <w:t>28,620</w:t>
            </w:r>
          </w:p>
        </w:tc>
        <w:tc>
          <w:tcPr>
            <w:tcW w:w="1417" w:type="dxa"/>
            <w:tcBorders>
              <w:top w:val="nil"/>
              <w:left w:val="nil"/>
              <w:bottom w:val="single" w:sz="4" w:space="0" w:color="auto"/>
              <w:right w:val="nil"/>
            </w:tcBorders>
            <w:shd w:val="clear" w:color="auto" w:fill="auto"/>
            <w:vAlign w:val="bottom"/>
          </w:tcPr>
          <w:p w:rsidR="00B42FD1" w:rsidRPr="004148D0" w:rsidRDefault="009B17E2" w:rsidP="00CD62E6">
            <w:pPr>
              <w:jc w:val="right"/>
              <w:rPr>
                <w:rFonts w:cs="Arial"/>
                <w:sz w:val="20"/>
                <w:lang w:eastAsia="en-GB"/>
              </w:rPr>
            </w:pPr>
            <w:r w:rsidRPr="004148D0">
              <w:rPr>
                <w:rFonts w:cs="Arial"/>
                <w:sz w:val="20"/>
                <w:lang w:eastAsia="en-GB"/>
              </w:rPr>
              <w:t>-</w:t>
            </w:r>
          </w:p>
        </w:tc>
        <w:tc>
          <w:tcPr>
            <w:tcW w:w="1134" w:type="dxa"/>
            <w:tcBorders>
              <w:top w:val="nil"/>
              <w:left w:val="nil"/>
              <w:bottom w:val="single" w:sz="4" w:space="0" w:color="auto"/>
              <w:right w:val="nil"/>
            </w:tcBorders>
            <w:shd w:val="clear" w:color="auto" w:fill="auto"/>
            <w:noWrap/>
            <w:vAlign w:val="bottom"/>
          </w:tcPr>
          <w:p w:rsidR="00B42FD1" w:rsidRPr="00983509" w:rsidRDefault="009B17E2" w:rsidP="00CD62E6">
            <w:pPr>
              <w:jc w:val="right"/>
              <w:rPr>
                <w:rFonts w:cs="Arial"/>
                <w:sz w:val="20"/>
                <w:lang w:eastAsia="en-GB"/>
              </w:rPr>
            </w:pPr>
            <w:r>
              <w:rPr>
                <w:rFonts w:cs="Arial"/>
                <w:sz w:val="20"/>
                <w:lang w:eastAsia="en-GB"/>
              </w:rPr>
              <w:t>-</w:t>
            </w:r>
          </w:p>
        </w:tc>
        <w:tc>
          <w:tcPr>
            <w:tcW w:w="1276" w:type="dxa"/>
            <w:tcBorders>
              <w:top w:val="nil"/>
              <w:left w:val="nil"/>
              <w:bottom w:val="single" w:sz="4" w:space="0" w:color="auto"/>
              <w:right w:val="nil"/>
            </w:tcBorders>
            <w:shd w:val="clear" w:color="auto" w:fill="auto"/>
            <w:noWrap/>
            <w:vAlign w:val="bottom"/>
          </w:tcPr>
          <w:p w:rsidR="00B42FD1" w:rsidRPr="004148D0" w:rsidRDefault="004148D0" w:rsidP="00811124">
            <w:pPr>
              <w:jc w:val="right"/>
              <w:rPr>
                <w:rFonts w:cs="Arial"/>
                <w:sz w:val="20"/>
                <w:lang w:eastAsia="en-GB"/>
              </w:rPr>
            </w:pPr>
            <w:r w:rsidRPr="004148D0">
              <w:rPr>
                <w:rFonts w:cs="Arial"/>
                <w:sz w:val="20"/>
                <w:lang w:eastAsia="en-GB"/>
              </w:rPr>
              <w:t>28,620</w:t>
            </w:r>
          </w:p>
        </w:tc>
      </w:tr>
      <w:tr w:rsidR="00B42FD1" w:rsidRPr="00983509" w:rsidTr="00A250F7">
        <w:trPr>
          <w:trHeight w:val="270"/>
        </w:trPr>
        <w:tc>
          <w:tcPr>
            <w:tcW w:w="3827" w:type="dxa"/>
            <w:tcBorders>
              <w:top w:val="nil"/>
              <w:left w:val="nil"/>
              <w:bottom w:val="nil"/>
              <w:right w:val="nil"/>
            </w:tcBorders>
            <w:shd w:val="clear" w:color="auto" w:fill="auto"/>
            <w:noWrap/>
            <w:vAlign w:val="bottom"/>
          </w:tcPr>
          <w:p w:rsidR="00B42FD1" w:rsidRPr="00983509" w:rsidRDefault="00B42FD1" w:rsidP="0014172A">
            <w:pPr>
              <w:ind w:left="175"/>
              <w:rPr>
                <w:rFonts w:cs="Arial"/>
                <w:sz w:val="20"/>
                <w:lang w:eastAsia="en-GB"/>
              </w:rPr>
            </w:pPr>
          </w:p>
        </w:tc>
        <w:tc>
          <w:tcPr>
            <w:tcW w:w="1418" w:type="dxa"/>
            <w:tcBorders>
              <w:top w:val="single" w:sz="4" w:space="0" w:color="auto"/>
              <w:left w:val="nil"/>
              <w:bottom w:val="double" w:sz="4" w:space="0" w:color="auto"/>
              <w:right w:val="nil"/>
            </w:tcBorders>
            <w:shd w:val="clear" w:color="auto" w:fill="auto"/>
            <w:noWrap/>
            <w:vAlign w:val="bottom"/>
          </w:tcPr>
          <w:p w:rsidR="00B42FD1" w:rsidRPr="004148D0" w:rsidRDefault="004148D0" w:rsidP="00CE159B">
            <w:pPr>
              <w:pStyle w:val="CommentText"/>
              <w:jc w:val="right"/>
              <w:rPr>
                <w:rFonts w:cs="Arial"/>
                <w:lang w:eastAsia="en-GB"/>
              </w:rPr>
            </w:pPr>
            <w:r w:rsidRPr="004148D0">
              <w:rPr>
                <w:rFonts w:cs="Arial"/>
                <w:lang w:eastAsia="en-GB"/>
              </w:rPr>
              <w:t>50,120</w:t>
            </w:r>
          </w:p>
        </w:tc>
        <w:tc>
          <w:tcPr>
            <w:tcW w:w="1275" w:type="dxa"/>
            <w:tcBorders>
              <w:top w:val="single" w:sz="4" w:space="0" w:color="auto"/>
              <w:left w:val="nil"/>
              <w:bottom w:val="double" w:sz="4" w:space="0" w:color="auto"/>
              <w:right w:val="nil"/>
            </w:tcBorders>
            <w:vAlign w:val="bottom"/>
          </w:tcPr>
          <w:p w:rsidR="00B42FD1" w:rsidRDefault="009B17E2" w:rsidP="000B4E07">
            <w:pPr>
              <w:jc w:val="right"/>
              <w:rPr>
                <w:rFonts w:cs="Arial"/>
                <w:sz w:val="20"/>
                <w:lang w:eastAsia="en-GB"/>
              </w:rPr>
            </w:pPr>
            <w:r>
              <w:rPr>
                <w:rFonts w:cs="Arial"/>
                <w:sz w:val="20"/>
                <w:lang w:eastAsia="en-GB"/>
              </w:rPr>
              <w:t>28,620</w:t>
            </w:r>
          </w:p>
        </w:tc>
        <w:tc>
          <w:tcPr>
            <w:tcW w:w="1417" w:type="dxa"/>
            <w:tcBorders>
              <w:top w:val="single" w:sz="4" w:space="0" w:color="auto"/>
              <w:left w:val="nil"/>
              <w:bottom w:val="double" w:sz="4" w:space="0" w:color="auto"/>
              <w:right w:val="nil"/>
            </w:tcBorders>
            <w:shd w:val="clear" w:color="auto" w:fill="auto"/>
            <w:vAlign w:val="bottom"/>
          </w:tcPr>
          <w:p w:rsidR="00B42FD1" w:rsidRPr="004148D0" w:rsidRDefault="009B17E2" w:rsidP="00CA025A">
            <w:pPr>
              <w:jc w:val="right"/>
              <w:rPr>
                <w:rFonts w:cs="Arial"/>
                <w:sz w:val="20"/>
                <w:lang w:eastAsia="en-GB"/>
              </w:rPr>
            </w:pPr>
            <w:r w:rsidRPr="004148D0">
              <w:rPr>
                <w:rFonts w:cs="Arial"/>
                <w:sz w:val="20"/>
                <w:lang w:eastAsia="en-GB"/>
              </w:rPr>
              <w:t>10,</w:t>
            </w:r>
            <w:r w:rsidR="006E6FE9">
              <w:rPr>
                <w:rFonts w:cs="Arial"/>
                <w:sz w:val="20"/>
                <w:lang w:eastAsia="en-GB"/>
              </w:rPr>
              <w:t>356</w:t>
            </w:r>
          </w:p>
        </w:tc>
        <w:tc>
          <w:tcPr>
            <w:tcW w:w="1134" w:type="dxa"/>
            <w:tcBorders>
              <w:top w:val="single" w:sz="4" w:space="0" w:color="auto"/>
              <w:left w:val="nil"/>
              <w:bottom w:val="double" w:sz="4" w:space="0" w:color="auto"/>
              <w:right w:val="nil"/>
            </w:tcBorders>
            <w:shd w:val="clear" w:color="auto" w:fill="auto"/>
            <w:noWrap/>
            <w:vAlign w:val="bottom"/>
          </w:tcPr>
          <w:p w:rsidR="00B42FD1" w:rsidRPr="00983509" w:rsidRDefault="009B17E2" w:rsidP="00CD62E6">
            <w:pPr>
              <w:jc w:val="right"/>
              <w:rPr>
                <w:rFonts w:cs="Arial"/>
                <w:sz w:val="20"/>
                <w:lang w:eastAsia="en-GB"/>
              </w:rPr>
            </w:pPr>
            <w:r>
              <w:rPr>
                <w:rFonts w:cs="Arial"/>
                <w:sz w:val="20"/>
                <w:lang w:eastAsia="en-GB"/>
              </w:rPr>
              <w:t>4,698</w:t>
            </w:r>
          </w:p>
        </w:tc>
        <w:tc>
          <w:tcPr>
            <w:tcW w:w="1276" w:type="dxa"/>
            <w:tcBorders>
              <w:top w:val="single" w:sz="4" w:space="0" w:color="auto"/>
              <w:left w:val="nil"/>
              <w:bottom w:val="double" w:sz="4" w:space="0" w:color="auto"/>
              <w:right w:val="nil"/>
            </w:tcBorders>
            <w:shd w:val="clear" w:color="auto" w:fill="auto"/>
            <w:noWrap/>
            <w:vAlign w:val="bottom"/>
          </w:tcPr>
          <w:p w:rsidR="00B42FD1" w:rsidRPr="004148D0" w:rsidRDefault="004148D0" w:rsidP="00CA025A">
            <w:pPr>
              <w:jc w:val="right"/>
              <w:rPr>
                <w:rFonts w:cs="Arial"/>
                <w:sz w:val="20"/>
                <w:lang w:eastAsia="en-GB"/>
              </w:rPr>
            </w:pPr>
            <w:r w:rsidRPr="004148D0">
              <w:rPr>
                <w:rFonts w:cs="Arial"/>
                <w:sz w:val="20"/>
                <w:lang w:eastAsia="en-GB"/>
              </w:rPr>
              <w:t>93,</w:t>
            </w:r>
            <w:r w:rsidR="006E6FE9">
              <w:rPr>
                <w:rFonts w:cs="Arial"/>
                <w:sz w:val="20"/>
                <w:lang w:eastAsia="en-GB"/>
              </w:rPr>
              <w:t>794</w:t>
            </w:r>
          </w:p>
        </w:tc>
      </w:tr>
      <w:tr w:rsidR="003744B2" w:rsidRPr="00983509" w:rsidTr="00A250F7">
        <w:trPr>
          <w:trHeight w:val="125"/>
        </w:trPr>
        <w:tc>
          <w:tcPr>
            <w:tcW w:w="3827" w:type="dxa"/>
            <w:tcBorders>
              <w:top w:val="nil"/>
              <w:left w:val="nil"/>
              <w:bottom w:val="nil"/>
              <w:right w:val="nil"/>
            </w:tcBorders>
            <w:shd w:val="clear" w:color="auto" w:fill="auto"/>
            <w:noWrap/>
            <w:vAlign w:val="bottom"/>
          </w:tcPr>
          <w:p w:rsidR="003744B2" w:rsidRPr="00CC0566" w:rsidRDefault="003744B2" w:rsidP="0014172A">
            <w:pPr>
              <w:ind w:left="175"/>
              <w:rPr>
                <w:rFonts w:cs="Arial"/>
                <w:sz w:val="16"/>
                <w:szCs w:val="16"/>
                <w:lang w:eastAsia="en-GB"/>
              </w:rPr>
            </w:pPr>
          </w:p>
        </w:tc>
        <w:tc>
          <w:tcPr>
            <w:tcW w:w="1418" w:type="dxa"/>
            <w:tcBorders>
              <w:top w:val="double" w:sz="4" w:space="0" w:color="auto"/>
              <w:left w:val="nil"/>
              <w:right w:val="nil"/>
            </w:tcBorders>
            <w:shd w:val="clear" w:color="auto" w:fill="auto"/>
            <w:noWrap/>
            <w:vAlign w:val="bottom"/>
          </w:tcPr>
          <w:p w:rsidR="003744B2" w:rsidRPr="00CC0566" w:rsidRDefault="003744B2" w:rsidP="00CE159B">
            <w:pPr>
              <w:pStyle w:val="CommentText"/>
              <w:jc w:val="right"/>
              <w:rPr>
                <w:rFonts w:cs="Arial"/>
                <w:sz w:val="16"/>
                <w:szCs w:val="16"/>
                <w:lang w:eastAsia="en-GB"/>
              </w:rPr>
            </w:pPr>
          </w:p>
        </w:tc>
        <w:tc>
          <w:tcPr>
            <w:tcW w:w="1275" w:type="dxa"/>
            <w:tcBorders>
              <w:top w:val="double" w:sz="4" w:space="0" w:color="auto"/>
              <w:left w:val="nil"/>
              <w:right w:val="nil"/>
            </w:tcBorders>
            <w:vAlign w:val="bottom"/>
          </w:tcPr>
          <w:p w:rsidR="003744B2" w:rsidRPr="00CC0566" w:rsidRDefault="003744B2" w:rsidP="000B4E07">
            <w:pPr>
              <w:jc w:val="right"/>
              <w:rPr>
                <w:rFonts w:cs="Arial"/>
                <w:sz w:val="16"/>
                <w:szCs w:val="16"/>
                <w:lang w:eastAsia="en-GB"/>
              </w:rPr>
            </w:pPr>
          </w:p>
        </w:tc>
        <w:tc>
          <w:tcPr>
            <w:tcW w:w="1417" w:type="dxa"/>
            <w:tcBorders>
              <w:top w:val="double" w:sz="4" w:space="0" w:color="auto"/>
              <w:left w:val="nil"/>
              <w:right w:val="nil"/>
            </w:tcBorders>
            <w:shd w:val="clear" w:color="auto" w:fill="auto"/>
            <w:vAlign w:val="bottom"/>
          </w:tcPr>
          <w:p w:rsidR="003744B2" w:rsidRPr="00CC0566" w:rsidRDefault="003744B2" w:rsidP="004148D0">
            <w:pPr>
              <w:jc w:val="right"/>
              <w:rPr>
                <w:rFonts w:cs="Arial"/>
                <w:sz w:val="16"/>
                <w:szCs w:val="16"/>
                <w:lang w:eastAsia="en-GB"/>
              </w:rPr>
            </w:pPr>
          </w:p>
        </w:tc>
        <w:tc>
          <w:tcPr>
            <w:tcW w:w="1134" w:type="dxa"/>
            <w:tcBorders>
              <w:top w:val="double" w:sz="4" w:space="0" w:color="auto"/>
              <w:left w:val="nil"/>
              <w:right w:val="nil"/>
            </w:tcBorders>
            <w:shd w:val="clear" w:color="auto" w:fill="auto"/>
            <w:noWrap/>
            <w:vAlign w:val="bottom"/>
          </w:tcPr>
          <w:p w:rsidR="003744B2" w:rsidRPr="00CC0566" w:rsidRDefault="003744B2" w:rsidP="00CD62E6">
            <w:pPr>
              <w:jc w:val="right"/>
              <w:rPr>
                <w:rFonts w:cs="Arial"/>
                <w:sz w:val="16"/>
                <w:szCs w:val="16"/>
                <w:lang w:eastAsia="en-GB"/>
              </w:rPr>
            </w:pPr>
          </w:p>
        </w:tc>
        <w:tc>
          <w:tcPr>
            <w:tcW w:w="1276" w:type="dxa"/>
            <w:tcBorders>
              <w:top w:val="double" w:sz="4" w:space="0" w:color="auto"/>
              <w:left w:val="nil"/>
              <w:right w:val="nil"/>
            </w:tcBorders>
            <w:shd w:val="clear" w:color="auto" w:fill="auto"/>
            <w:noWrap/>
            <w:vAlign w:val="bottom"/>
          </w:tcPr>
          <w:p w:rsidR="003744B2" w:rsidRPr="00CC0566" w:rsidRDefault="003744B2" w:rsidP="00E76A63">
            <w:pPr>
              <w:jc w:val="right"/>
              <w:rPr>
                <w:rFonts w:cs="Arial"/>
                <w:sz w:val="16"/>
                <w:szCs w:val="16"/>
                <w:lang w:eastAsia="en-GB"/>
              </w:rPr>
            </w:pPr>
          </w:p>
        </w:tc>
      </w:tr>
      <w:tr w:rsidR="00DB0145" w:rsidRPr="00983509" w:rsidTr="00A250F7">
        <w:trPr>
          <w:trHeight w:val="270"/>
        </w:trPr>
        <w:tc>
          <w:tcPr>
            <w:tcW w:w="10347" w:type="dxa"/>
            <w:gridSpan w:val="6"/>
            <w:tcBorders>
              <w:top w:val="nil"/>
              <w:left w:val="nil"/>
              <w:bottom w:val="nil"/>
              <w:right w:val="nil"/>
            </w:tcBorders>
            <w:shd w:val="clear" w:color="auto" w:fill="auto"/>
            <w:noWrap/>
          </w:tcPr>
          <w:p w:rsidR="00DB0145" w:rsidRPr="00CC0566" w:rsidRDefault="00DB0145" w:rsidP="007F6AE0">
            <w:pPr>
              <w:rPr>
                <w:rFonts w:cs="Arial"/>
                <w:b/>
                <w:sz w:val="20"/>
                <w:lang w:eastAsia="en-GB"/>
              </w:rPr>
            </w:pPr>
            <w:r w:rsidRPr="00CC0566">
              <w:rPr>
                <w:rFonts w:cs="Arial"/>
                <w:b/>
                <w:sz w:val="20"/>
                <w:lang w:eastAsia="en-GB"/>
              </w:rPr>
              <w:t>Movement in the property, plant and equipment valuations are detailed in the following tables:</w:t>
            </w:r>
          </w:p>
        </w:tc>
      </w:tr>
      <w:tr w:rsidR="003744B2" w:rsidRPr="00983509" w:rsidTr="00A250F7">
        <w:trPr>
          <w:trHeight w:val="270"/>
        </w:trPr>
        <w:tc>
          <w:tcPr>
            <w:tcW w:w="3827" w:type="dxa"/>
            <w:tcBorders>
              <w:top w:val="nil"/>
              <w:left w:val="nil"/>
              <w:bottom w:val="nil"/>
              <w:right w:val="nil"/>
            </w:tcBorders>
            <w:shd w:val="clear" w:color="auto" w:fill="auto"/>
            <w:noWrap/>
            <w:vAlign w:val="bottom"/>
          </w:tcPr>
          <w:p w:rsidR="003744B2" w:rsidRPr="00983509" w:rsidRDefault="00DB0145" w:rsidP="0014172A">
            <w:pPr>
              <w:ind w:left="175"/>
              <w:rPr>
                <w:rFonts w:cs="Arial"/>
                <w:sz w:val="20"/>
                <w:lang w:eastAsia="en-GB"/>
              </w:rPr>
            </w:pPr>
            <w:r w:rsidRPr="00DB0145">
              <w:rPr>
                <w:rFonts w:cs="Arial"/>
                <w:sz w:val="20"/>
                <w:lang w:eastAsia="en-GB"/>
              </w:rPr>
              <w:t>Carried at historical cost</w:t>
            </w:r>
          </w:p>
        </w:tc>
        <w:tc>
          <w:tcPr>
            <w:tcW w:w="1418" w:type="dxa"/>
            <w:tcBorders>
              <w:left w:val="nil"/>
              <w:right w:val="nil"/>
            </w:tcBorders>
            <w:shd w:val="clear" w:color="auto" w:fill="auto"/>
            <w:noWrap/>
            <w:vAlign w:val="bottom"/>
          </w:tcPr>
          <w:p w:rsidR="003744B2" w:rsidRPr="004148D0" w:rsidRDefault="00DB0145" w:rsidP="00CE159B">
            <w:pPr>
              <w:pStyle w:val="CommentText"/>
              <w:jc w:val="right"/>
              <w:rPr>
                <w:rFonts w:cs="Arial"/>
                <w:lang w:eastAsia="en-GB"/>
              </w:rPr>
            </w:pPr>
            <w:r>
              <w:rPr>
                <w:rFonts w:cs="Arial"/>
                <w:lang w:eastAsia="en-GB"/>
              </w:rPr>
              <w:t>-</w:t>
            </w:r>
          </w:p>
        </w:tc>
        <w:tc>
          <w:tcPr>
            <w:tcW w:w="1275" w:type="dxa"/>
            <w:tcBorders>
              <w:left w:val="nil"/>
              <w:right w:val="nil"/>
            </w:tcBorders>
            <w:vAlign w:val="bottom"/>
          </w:tcPr>
          <w:p w:rsidR="003744B2" w:rsidRDefault="00DB0145" w:rsidP="000B4E07">
            <w:pPr>
              <w:jc w:val="right"/>
              <w:rPr>
                <w:rFonts w:cs="Arial"/>
                <w:sz w:val="20"/>
                <w:lang w:eastAsia="en-GB"/>
              </w:rPr>
            </w:pPr>
            <w:r>
              <w:rPr>
                <w:rFonts w:cs="Arial"/>
                <w:sz w:val="20"/>
                <w:lang w:eastAsia="en-GB"/>
              </w:rPr>
              <w:t>-</w:t>
            </w:r>
          </w:p>
        </w:tc>
        <w:tc>
          <w:tcPr>
            <w:tcW w:w="1417" w:type="dxa"/>
            <w:tcBorders>
              <w:left w:val="nil"/>
              <w:right w:val="nil"/>
            </w:tcBorders>
            <w:shd w:val="clear" w:color="auto" w:fill="auto"/>
            <w:vAlign w:val="bottom"/>
          </w:tcPr>
          <w:p w:rsidR="003744B2" w:rsidRPr="004148D0" w:rsidRDefault="00DB0145" w:rsidP="00CA025A">
            <w:pPr>
              <w:jc w:val="right"/>
              <w:rPr>
                <w:rFonts w:cs="Arial"/>
                <w:sz w:val="20"/>
                <w:lang w:eastAsia="en-GB"/>
              </w:rPr>
            </w:pPr>
            <w:r>
              <w:rPr>
                <w:rFonts w:cs="Arial"/>
                <w:sz w:val="20"/>
                <w:lang w:eastAsia="en-GB"/>
              </w:rPr>
              <w:t>10,</w:t>
            </w:r>
            <w:r w:rsidR="006E6FE9">
              <w:rPr>
                <w:rFonts w:cs="Arial"/>
                <w:sz w:val="20"/>
                <w:lang w:eastAsia="en-GB"/>
              </w:rPr>
              <w:t>294</w:t>
            </w:r>
          </w:p>
        </w:tc>
        <w:tc>
          <w:tcPr>
            <w:tcW w:w="1134" w:type="dxa"/>
            <w:tcBorders>
              <w:left w:val="nil"/>
              <w:right w:val="nil"/>
            </w:tcBorders>
            <w:shd w:val="clear" w:color="auto" w:fill="auto"/>
            <w:noWrap/>
            <w:vAlign w:val="bottom"/>
          </w:tcPr>
          <w:p w:rsidR="003744B2" w:rsidRDefault="004C0215" w:rsidP="00CD62E6">
            <w:pPr>
              <w:jc w:val="right"/>
              <w:rPr>
                <w:rFonts w:cs="Arial"/>
                <w:sz w:val="20"/>
                <w:lang w:eastAsia="en-GB"/>
              </w:rPr>
            </w:pPr>
            <w:r>
              <w:rPr>
                <w:rFonts w:cs="Arial"/>
                <w:sz w:val="20"/>
                <w:lang w:eastAsia="en-GB"/>
              </w:rPr>
              <w:t>4,698</w:t>
            </w:r>
          </w:p>
        </w:tc>
        <w:tc>
          <w:tcPr>
            <w:tcW w:w="1276" w:type="dxa"/>
            <w:tcBorders>
              <w:left w:val="nil"/>
              <w:right w:val="nil"/>
            </w:tcBorders>
            <w:shd w:val="clear" w:color="auto" w:fill="auto"/>
            <w:noWrap/>
            <w:vAlign w:val="bottom"/>
          </w:tcPr>
          <w:p w:rsidR="003744B2" w:rsidRPr="004148D0" w:rsidRDefault="004C0215" w:rsidP="00CA025A">
            <w:pPr>
              <w:jc w:val="right"/>
              <w:rPr>
                <w:rFonts w:cs="Arial"/>
                <w:sz w:val="20"/>
                <w:lang w:eastAsia="en-GB"/>
              </w:rPr>
            </w:pPr>
            <w:r>
              <w:rPr>
                <w:rFonts w:cs="Arial"/>
                <w:sz w:val="20"/>
                <w:lang w:eastAsia="en-GB"/>
              </w:rPr>
              <w:t>14,</w:t>
            </w:r>
            <w:r w:rsidR="006E6FE9">
              <w:rPr>
                <w:rFonts w:cs="Arial"/>
                <w:sz w:val="20"/>
                <w:lang w:eastAsia="en-GB"/>
              </w:rPr>
              <w:t>992</w:t>
            </w:r>
          </w:p>
        </w:tc>
      </w:tr>
      <w:tr w:rsidR="00DB0145" w:rsidRPr="00983509" w:rsidTr="00A250F7">
        <w:trPr>
          <w:trHeight w:val="270"/>
        </w:trPr>
        <w:tc>
          <w:tcPr>
            <w:tcW w:w="3827" w:type="dxa"/>
            <w:tcBorders>
              <w:top w:val="nil"/>
              <w:left w:val="nil"/>
              <w:bottom w:val="nil"/>
              <w:right w:val="nil"/>
            </w:tcBorders>
            <w:shd w:val="clear" w:color="auto" w:fill="auto"/>
            <w:noWrap/>
            <w:vAlign w:val="bottom"/>
          </w:tcPr>
          <w:p w:rsidR="00DB0145" w:rsidRPr="00983509" w:rsidRDefault="00DB0145" w:rsidP="0014172A">
            <w:pPr>
              <w:ind w:left="175"/>
              <w:rPr>
                <w:rFonts w:cs="Arial"/>
                <w:sz w:val="20"/>
                <w:lang w:eastAsia="en-GB"/>
              </w:rPr>
            </w:pPr>
            <w:r w:rsidRPr="00DB0145">
              <w:rPr>
                <w:rFonts w:cs="Arial"/>
                <w:sz w:val="20"/>
                <w:lang w:eastAsia="en-GB"/>
              </w:rPr>
              <w:t>Valued at current value as at:</w:t>
            </w:r>
          </w:p>
        </w:tc>
        <w:tc>
          <w:tcPr>
            <w:tcW w:w="1418" w:type="dxa"/>
            <w:tcBorders>
              <w:left w:val="nil"/>
              <w:right w:val="nil"/>
            </w:tcBorders>
            <w:shd w:val="clear" w:color="auto" w:fill="auto"/>
            <w:noWrap/>
            <w:vAlign w:val="bottom"/>
          </w:tcPr>
          <w:p w:rsidR="00DB0145" w:rsidRPr="004148D0" w:rsidRDefault="00DB0145" w:rsidP="00CE159B">
            <w:pPr>
              <w:pStyle w:val="CommentText"/>
              <w:jc w:val="right"/>
              <w:rPr>
                <w:rFonts w:cs="Arial"/>
                <w:lang w:eastAsia="en-GB"/>
              </w:rPr>
            </w:pPr>
          </w:p>
        </w:tc>
        <w:tc>
          <w:tcPr>
            <w:tcW w:w="1275" w:type="dxa"/>
            <w:tcBorders>
              <w:left w:val="nil"/>
              <w:right w:val="nil"/>
            </w:tcBorders>
            <w:vAlign w:val="bottom"/>
          </w:tcPr>
          <w:p w:rsidR="00DB0145" w:rsidRDefault="00DB0145" w:rsidP="000B4E07">
            <w:pPr>
              <w:jc w:val="right"/>
              <w:rPr>
                <w:rFonts w:cs="Arial"/>
                <w:sz w:val="20"/>
                <w:lang w:eastAsia="en-GB"/>
              </w:rPr>
            </w:pPr>
          </w:p>
        </w:tc>
        <w:tc>
          <w:tcPr>
            <w:tcW w:w="1417" w:type="dxa"/>
            <w:tcBorders>
              <w:left w:val="nil"/>
              <w:right w:val="nil"/>
            </w:tcBorders>
            <w:shd w:val="clear" w:color="auto" w:fill="auto"/>
            <w:vAlign w:val="bottom"/>
          </w:tcPr>
          <w:p w:rsidR="00DB0145" w:rsidRPr="004148D0" w:rsidRDefault="00DB0145" w:rsidP="004148D0">
            <w:pPr>
              <w:jc w:val="right"/>
              <w:rPr>
                <w:rFonts w:cs="Arial"/>
                <w:sz w:val="20"/>
                <w:lang w:eastAsia="en-GB"/>
              </w:rPr>
            </w:pPr>
          </w:p>
        </w:tc>
        <w:tc>
          <w:tcPr>
            <w:tcW w:w="1134" w:type="dxa"/>
            <w:tcBorders>
              <w:left w:val="nil"/>
              <w:right w:val="nil"/>
            </w:tcBorders>
            <w:shd w:val="clear" w:color="auto" w:fill="auto"/>
            <w:noWrap/>
            <w:vAlign w:val="bottom"/>
          </w:tcPr>
          <w:p w:rsidR="00DB0145" w:rsidRDefault="00DB0145" w:rsidP="00CD62E6">
            <w:pPr>
              <w:jc w:val="right"/>
              <w:rPr>
                <w:rFonts w:cs="Arial"/>
                <w:sz w:val="20"/>
                <w:lang w:eastAsia="en-GB"/>
              </w:rPr>
            </w:pPr>
          </w:p>
        </w:tc>
        <w:tc>
          <w:tcPr>
            <w:tcW w:w="1276" w:type="dxa"/>
            <w:tcBorders>
              <w:left w:val="nil"/>
              <w:right w:val="nil"/>
            </w:tcBorders>
            <w:shd w:val="clear" w:color="auto" w:fill="auto"/>
            <w:noWrap/>
            <w:vAlign w:val="bottom"/>
          </w:tcPr>
          <w:p w:rsidR="00DB0145" w:rsidRPr="004148D0" w:rsidRDefault="00DB0145" w:rsidP="00E76A63">
            <w:pPr>
              <w:jc w:val="right"/>
              <w:rPr>
                <w:rFonts w:cs="Arial"/>
                <w:sz w:val="20"/>
                <w:lang w:eastAsia="en-GB"/>
              </w:rPr>
            </w:pPr>
          </w:p>
        </w:tc>
      </w:tr>
      <w:tr w:rsidR="00DB0145" w:rsidRPr="00983509" w:rsidTr="00A250F7">
        <w:trPr>
          <w:trHeight w:val="270"/>
        </w:trPr>
        <w:tc>
          <w:tcPr>
            <w:tcW w:w="3827" w:type="dxa"/>
            <w:tcBorders>
              <w:top w:val="nil"/>
              <w:left w:val="nil"/>
              <w:bottom w:val="nil"/>
              <w:right w:val="nil"/>
            </w:tcBorders>
            <w:shd w:val="clear" w:color="auto" w:fill="auto"/>
            <w:noWrap/>
            <w:vAlign w:val="bottom"/>
          </w:tcPr>
          <w:p w:rsidR="00DB0145" w:rsidRPr="00983509" w:rsidRDefault="00DB0145" w:rsidP="0014172A">
            <w:pPr>
              <w:ind w:left="175"/>
              <w:rPr>
                <w:rFonts w:cs="Arial"/>
                <w:sz w:val="20"/>
                <w:lang w:eastAsia="en-GB"/>
              </w:rPr>
            </w:pPr>
            <w:r>
              <w:rPr>
                <w:rFonts w:cs="Arial"/>
                <w:sz w:val="20"/>
                <w:lang w:eastAsia="en-GB"/>
              </w:rPr>
              <w:t>31 March 2018</w:t>
            </w:r>
          </w:p>
        </w:tc>
        <w:tc>
          <w:tcPr>
            <w:tcW w:w="1418" w:type="dxa"/>
            <w:tcBorders>
              <w:left w:val="nil"/>
              <w:right w:val="nil"/>
            </w:tcBorders>
            <w:shd w:val="clear" w:color="auto" w:fill="auto"/>
            <w:noWrap/>
            <w:vAlign w:val="bottom"/>
          </w:tcPr>
          <w:p w:rsidR="00DB0145" w:rsidRPr="004148D0" w:rsidRDefault="004C0215" w:rsidP="00CE159B">
            <w:pPr>
              <w:pStyle w:val="CommentText"/>
              <w:jc w:val="right"/>
              <w:rPr>
                <w:rFonts w:cs="Arial"/>
                <w:lang w:eastAsia="en-GB"/>
              </w:rPr>
            </w:pPr>
            <w:r>
              <w:rPr>
                <w:rFonts w:cs="Arial"/>
                <w:lang w:eastAsia="en-GB"/>
              </w:rPr>
              <w:t>50,120</w:t>
            </w:r>
          </w:p>
        </w:tc>
        <w:tc>
          <w:tcPr>
            <w:tcW w:w="1275" w:type="dxa"/>
            <w:tcBorders>
              <w:left w:val="nil"/>
              <w:right w:val="nil"/>
            </w:tcBorders>
            <w:vAlign w:val="bottom"/>
          </w:tcPr>
          <w:p w:rsidR="00DB0145" w:rsidRDefault="00DB0145" w:rsidP="000B4E07">
            <w:pPr>
              <w:jc w:val="right"/>
              <w:rPr>
                <w:rFonts w:cs="Arial"/>
                <w:sz w:val="20"/>
                <w:lang w:eastAsia="en-GB"/>
              </w:rPr>
            </w:pPr>
            <w:r>
              <w:rPr>
                <w:rFonts w:cs="Arial"/>
                <w:sz w:val="20"/>
                <w:lang w:eastAsia="en-GB"/>
              </w:rPr>
              <w:t>28,620</w:t>
            </w:r>
          </w:p>
        </w:tc>
        <w:tc>
          <w:tcPr>
            <w:tcW w:w="1417" w:type="dxa"/>
            <w:tcBorders>
              <w:left w:val="nil"/>
              <w:right w:val="nil"/>
            </w:tcBorders>
            <w:shd w:val="clear" w:color="auto" w:fill="auto"/>
            <w:vAlign w:val="bottom"/>
          </w:tcPr>
          <w:p w:rsidR="00DB0145" w:rsidRPr="004148D0" w:rsidRDefault="00DB0145" w:rsidP="004148D0">
            <w:pPr>
              <w:jc w:val="right"/>
              <w:rPr>
                <w:rFonts w:cs="Arial"/>
                <w:sz w:val="20"/>
                <w:lang w:eastAsia="en-GB"/>
              </w:rPr>
            </w:pPr>
            <w:r>
              <w:rPr>
                <w:rFonts w:cs="Arial"/>
                <w:sz w:val="20"/>
                <w:lang w:eastAsia="en-GB"/>
              </w:rPr>
              <w:t>-</w:t>
            </w:r>
          </w:p>
        </w:tc>
        <w:tc>
          <w:tcPr>
            <w:tcW w:w="1134" w:type="dxa"/>
            <w:tcBorders>
              <w:left w:val="nil"/>
              <w:right w:val="nil"/>
            </w:tcBorders>
            <w:shd w:val="clear" w:color="auto" w:fill="auto"/>
            <w:noWrap/>
            <w:vAlign w:val="bottom"/>
          </w:tcPr>
          <w:p w:rsidR="00DB0145" w:rsidRDefault="00DB0145" w:rsidP="00CD62E6">
            <w:pPr>
              <w:jc w:val="right"/>
              <w:rPr>
                <w:rFonts w:cs="Arial"/>
                <w:sz w:val="20"/>
                <w:lang w:eastAsia="en-GB"/>
              </w:rPr>
            </w:pPr>
            <w:r>
              <w:rPr>
                <w:rFonts w:cs="Arial"/>
                <w:sz w:val="20"/>
                <w:lang w:eastAsia="en-GB"/>
              </w:rPr>
              <w:t>-</w:t>
            </w:r>
          </w:p>
        </w:tc>
        <w:tc>
          <w:tcPr>
            <w:tcW w:w="1276" w:type="dxa"/>
            <w:tcBorders>
              <w:left w:val="nil"/>
              <w:right w:val="nil"/>
            </w:tcBorders>
            <w:shd w:val="clear" w:color="auto" w:fill="auto"/>
            <w:noWrap/>
            <w:vAlign w:val="bottom"/>
          </w:tcPr>
          <w:p w:rsidR="00DB0145" w:rsidRPr="004148D0" w:rsidRDefault="004C0215" w:rsidP="00E76A63">
            <w:pPr>
              <w:jc w:val="right"/>
              <w:rPr>
                <w:rFonts w:cs="Arial"/>
                <w:sz w:val="20"/>
                <w:lang w:eastAsia="en-GB"/>
              </w:rPr>
            </w:pPr>
            <w:r>
              <w:rPr>
                <w:rFonts w:cs="Arial"/>
                <w:sz w:val="20"/>
                <w:lang w:eastAsia="en-GB"/>
              </w:rPr>
              <w:t>78,740</w:t>
            </w:r>
          </w:p>
        </w:tc>
      </w:tr>
      <w:tr w:rsidR="003744B2" w:rsidRPr="00983509" w:rsidTr="00A250F7">
        <w:trPr>
          <w:trHeight w:val="270"/>
        </w:trPr>
        <w:tc>
          <w:tcPr>
            <w:tcW w:w="3827" w:type="dxa"/>
            <w:tcBorders>
              <w:top w:val="nil"/>
              <w:left w:val="nil"/>
              <w:bottom w:val="nil"/>
              <w:right w:val="nil"/>
            </w:tcBorders>
            <w:shd w:val="clear" w:color="auto" w:fill="auto"/>
            <w:noWrap/>
            <w:vAlign w:val="bottom"/>
          </w:tcPr>
          <w:p w:rsidR="003744B2" w:rsidRPr="00983509" w:rsidRDefault="00DB0145" w:rsidP="0014172A">
            <w:pPr>
              <w:ind w:left="175"/>
              <w:rPr>
                <w:rFonts w:cs="Arial"/>
                <w:sz w:val="20"/>
                <w:lang w:eastAsia="en-GB"/>
              </w:rPr>
            </w:pPr>
            <w:r>
              <w:rPr>
                <w:rFonts w:cs="Arial"/>
                <w:sz w:val="20"/>
                <w:lang w:eastAsia="en-GB"/>
              </w:rPr>
              <w:t>31 March 2010</w:t>
            </w:r>
          </w:p>
        </w:tc>
        <w:tc>
          <w:tcPr>
            <w:tcW w:w="1418" w:type="dxa"/>
            <w:tcBorders>
              <w:left w:val="nil"/>
              <w:bottom w:val="single" w:sz="4" w:space="0" w:color="auto"/>
              <w:right w:val="nil"/>
            </w:tcBorders>
            <w:shd w:val="clear" w:color="auto" w:fill="auto"/>
            <w:noWrap/>
            <w:vAlign w:val="bottom"/>
          </w:tcPr>
          <w:p w:rsidR="003744B2" w:rsidRPr="004148D0" w:rsidRDefault="00DB0145" w:rsidP="00CE159B">
            <w:pPr>
              <w:pStyle w:val="CommentText"/>
              <w:jc w:val="right"/>
              <w:rPr>
                <w:rFonts w:cs="Arial"/>
                <w:lang w:eastAsia="en-GB"/>
              </w:rPr>
            </w:pPr>
            <w:r>
              <w:rPr>
                <w:rFonts w:cs="Arial"/>
                <w:lang w:eastAsia="en-GB"/>
              </w:rPr>
              <w:t>-</w:t>
            </w:r>
          </w:p>
        </w:tc>
        <w:tc>
          <w:tcPr>
            <w:tcW w:w="1275" w:type="dxa"/>
            <w:tcBorders>
              <w:left w:val="nil"/>
              <w:bottom w:val="single" w:sz="4" w:space="0" w:color="auto"/>
              <w:right w:val="nil"/>
            </w:tcBorders>
            <w:vAlign w:val="bottom"/>
          </w:tcPr>
          <w:p w:rsidR="003744B2" w:rsidRDefault="00DB0145" w:rsidP="000B4E07">
            <w:pPr>
              <w:jc w:val="right"/>
              <w:rPr>
                <w:rFonts w:cs="Arial"/>
                <w:sz w:val="20"/>
                <w:lang w:eastAsia="en-GB"/>
              </w:rPr>
            </w:pPr>
            <w:r>
              <w:rPr>
                <w:rFonts w:cs="Arial"/>
                <w:sz w:val="20"/>
                <w:lang w:eastAsia="en-GB"/>
              </w:rPr>
              <w:t>-</w:t>
            </w:r>
          </w:p>
        </w:tc>
        <w:tc>
          <w:tcPr>
            <w:tcW w:w="1417" w:type="dxa"/>
            <w:tcBorders>
              <w:left w:val="nil"/>
              <w:bottom w:val="single" w:sz="4" w:space="0" w:color="auto"/>
              <w:right w:val="nil"/>
            </w:tcBorders>
            <w:shd w:val="clear" w:color="auto" w:fill="auto"/>
            <w:vAlign w:val="bottom"/>
          </w:tcPr>
          <w:p w:rsidR="003744B2" w:rsidRPr="004148D0" w:rsidRDefault="00DB0145" w:rsidP="004148D0">
            <w:pPr>
              <w:jc w:val="right"/>
              <w:rPr>
                <w:rFonts w:cs="Arial"/>
                <w:sz w:val="20"/>
                <w:lang w:eastAsia="en-GB"/>
              </w:rPr>
            </w:pPr>
            <w:r>
              <w:rPr>
                <w:rFonts w:cs="Arial"/>
                <w:sz w:val="20"/>
                <w:lang w:eastAsia="en-GB"/>
              </w:rPr>
              <w:t>62</w:t>
            </w:r>
          </w:p>
        </w:tc>
        <w:tc>
          <w:tcPr>
            <w:tcW w:w="1134" w:type="dxa"/>
            <w:tcBorders>
              <w:left w:val="nil"/>
              <w:bottom w:val="single" w:sz="4" w:space="0" w:color="auto"/>
              <w:right w:val="nil"/>
            </w:tcBorders>
            <w:shd w:val="clear" w:color="auto" w:fill="auto"/>
            <w:noWrap/>
            <w:vAlign w:val="bottom"/>
          </w:tcPr>
          <w:p w:rsidR="003744B2" w:rsidRDefault="00DB0145" w:rsidP="00CD62E6">
            <w:pPr>
              <w:jc w:val="right"/>
              <w:rPr>
                <w:rFonts w:cs="Arial"/>
                <w:sz w:val="20"/>
                <w:lang w:eastAsia="en-GB"/>
              </w:rPr>
            </w:pPr>
            <w:r>
              <w:rPr>
                <w:rFonts w:cs="Arial"/>
                <w:sz w:val="20"/>
                <w:lang w:eastAsia="en-GB"/>
              </w:rPr>
              <w:t>-</w:t>
            </w:r>
          </w:p>
        </w:tc>
        <w:tc>
          <w:tcPr>
            <w:tcW w:w="1276" w:type="dxa"/>
            <w:tcBorders>
              <w:left w:val="nil"/>
              <w:bottom w:val="single" w:sz="4" w:space="0" w:color="auto"/>
              <w:right w:val="nil"/>
            </w:tcBorders>
            <w:shd w:val="clear" w:color="auto" w:fill="auto"/>
            <w:noWrap/>
            <w:vAlign w:val="bottom"/>
          </w:tcPr>
          <w:p w:rsidR="003744B2" w:rsidRPr="004148D0" w:rsidRDefault="00DB0145" w:rsidP="00E76A63">
            <w:pPr>
              <w:jc w:val="right"/>
              <w:rPr>
                <w:rFonts w:cs="Arial"/>
                <w:sz w:val="20"/>
                <w:lang w:eastAsia="en-GB"/>
              </w:rPr>
            </w:pPr>
            <w:r>
              <w:rPr>
                <w:rFonts w:cs="Arial"/>
                <w:sz w:val="20"/>
                <w:lang w:eastAsia="en-GB"/>
              </w:rPr>
              <w:t>62</w:t>
            </w:r>
          </w:p>
        </w:tc>
      </w:tr>
      <w:tr w:rsidR="00DB0145" w:rsidRPr="00983509" w:rsidTr="00A250F7">
        <w:trPr>
          <w:trHeight w:val="270"/>
        </w:trPr>
        <w:tc>
          <w:tcPr>
            <w:tcW w:w="3827" w:type="dxa"/>
            <w:tcBorders>
              <w:top w:val="nil"/>
              <w:left w:val="nil"/>
              <w:bottom w:val="nil"/>
              <w:right w:val="nil"/>
            </w:tcBorders>
            <w:shd w:val="clear" w:color="auto" w:fill="auto"/>
            <w:noWrap/>
            <w:vAlign w:val="bottom"/>
          </w:tcPr>
          <w:p w:rsidR="00DB0145" w:rsidRPr="00983509" w:rsidRDefault="00DB0145" w:rsidP="0014172A">
            <w:pPr>
              <w:ind w:left="175"/>
              <w:rPr>
                <w:rFonts w:cs="Arial"/>
                <w:sz w:val="20"/>
                <w:lang w:eastAsia="en-GB"/>
              </w:rPr>
            </w:pPr>
            <w:r w:rsidRPr="00DB0145">
              <w:rPr>
                <w:rFonts w:cs="Arial"/>
                <w:sz w:val="20"/>
                <w:lang w:eastAsia="en-GB"/>
              </w:rPr>
              <w:t>Total cost or valuation</w:t>
            </w:r>
          </w:p>
        </w:tc>
        <w:tc>
          <w:tcPr>
            <w:tcW w:w="1418" w:type="dxa"/>
            <w:tcBorders>
              <w:top w:val="single" w:sz="4" w:space="0" w:color="auto"/>
              <w:left w:val="nil"/>
              <w:bottom w:val="double" w:sz="4" w:space="0" w:color="auto"/>
              <w:right w:val="nil"/>
            </w:tcBorders>
            <w:shd w:val="clear" w:color="auto" w:fill="auto"/>
            <w:noWrap/>
            <w:vAlign w:val="bottom"/>
          </w:tcPr>
          <w:p w:rsidR="00DB0145" w:rsidRPr="004148D0" w:rsidRDefault="004C0215" w:rsidP="00CE159B">
            <w:pPr>
              <w:pStyle w:val="CommentText"/>
              <w:jc w:val="right"/>
              <w:rPr>
                <w:rFonts w:cs="Arial"/>
                <w:lang w:eastAsia="en-GB"/>
              </w:rPr>
            </w:pPr>
            <w:r>
              <w:rPr>
                <w:rFonts w:cs="Arial"/>
                <w:lang w:eastAsia="en-GB"/>
              </w:rPr>
              <w:t>50,120</w:t>
            </w:r>
          </w:p>
        </w:tc>
        <w:tc>
          <w:tcPr>
            <w:tcW w:w="1275" w:type="dxa"/>
            <w:tcBorders>
              <w:top w:val="single" w:sz="4" w:space="0" w:color="auto"/>
              <w:left w:val="nil"/>
              <w:bottom w:val="double" w:sz="4" w:space="0" w:color="auto"/>
              <w:right w:val="nil"/>
            </w:tcBorders>
            <w:vAlign w:val="bottom"/>
          </w:tcPr>
          <w:p w:rsidR="00DB0145" w:rsidRDefault="00DB0145" w:rsidP="000B4E07">
            <w:pPr>
              <w:jc w:val="right"/>
              <w:rPr>
                <w:rFonts w:cs="Arial"/>
                <w:sz w:val="20"/>
                <w:lang w:eastAsia="en-GB"/>
              </w:rPr>
            </w:pPr>
            <w:r>
              <w:rPr>
                <w:rFonts w:cs="Arial"/>
                <w:sz w:val="20"/>
                <w:lang w:eastAsia="en-GB"/>
              </w:rPr>
              <w:t>28,620</w:t>
            </w:r>
          </w:p>
        </w:tc>
        <w:tc>
          <w:tcPr>
            <w:tcW w:w="1417" w:type="dxa"/>
            <w:tcBorders>
              <w:top w:val="single" w:sz="4" w:space="0" w:color="auto"/>
              <w:left w:val="nil"/>
              <w:bottom w:val="double" w:sz="4" w:space="0" w:color="auto"/>
              <w:right w:val="nil"/>
            </w:tcBorders>
            <w:shd w:val="clear" w:color="auto" w:fill="auto"/>
            <w:vAlign w:val="bottom"/>
          </w:tcPr>
          <w:p w:rsidR="00DB0145" w:rsidRPr="004148D0" w:rsidRDefault="00DB0145" w:rsidP="00CA025A">
            <w:pPr>
              <w:jc w:val="right"/>
              <w:rPr>
                <w:rFonts w:cs="Arial"/>
                <w:sz w:val="20"/>
                <w:lang w:eastAsia="en-GB"/>
              </w:rPr>
            </w:pPr>
            <w:r w:rsidRPr="004148D0">
              <w:rPr>
                <w:rFonts w:cs="Arial"/>
                <w:sz w:val="20"/>
                <w:lang w:eastAsia="en-GB"/>
              </w:rPr>
              <w:t>10,</w:t>
            </w:r>
            <w:r w:rsidR="006E6FE9">
              <w:rPr>
                <w:rFonts w:cs="Arial"/>
                <w:sz w:val="20"/>
                <w:lang w:eastAsia="en-GB"/>
              </w:rPr>
              <w:t>356</w:t>
            </w:r>
          </w:p>
        </w:tc>
        <w:tc>
          <w:tcPr>
            <w:tcW w:w="1134" w:type="dxa"/>
            <w:tcBorders>
              <w:top w:val="single" w:sz="4" w:space="0" w:color="auto"/>
              <w:left w:val="nil"/>
              <w:bottom w:val="double" w:sz="4" w:space="0" w:color="auto"/>
              <w:right w:val="nil"/>
            </w:tcBorders>
            <w:shd w:val="clear" w:color="auto" w:fill="auto"/>
            <w:noWrap/>
            <w:vAlign w:val="bottom"/>
          </w:tcPr>
          <w:p w:rsidR="00DB0145" w:rsidRDefault="004C0215" w:rsidP="00CD62E6">
            <w:pPr>
              <w:jc w:val="right"/>
              <w:rPr>
                <w:rFonts w:cs="Arial"/>
                <w:sz w:val="20"/>
                <w:lang w:eastAsia="en-GB"/>
              </w:rPr>
            </w:pPr>
            <w:r>
              <w:rPr>
                <w:rFonts w:cs="Arial"/>
                <w:sz w:val="20"/>
                <w:lang w:eastAsia="en-GB"/>
              </w:rPr>
              <w:t>4,698</w:t>
            </w:r>
          </w:p>
        </w:tc>
        <w:tc>
          <w:tcPr>
            <w:tcW w:w="1276" w:type="dxa"/>
            <w:tcBorders>
              <w:top w:val="single" w:sz="4" w:space="0" w:color="auto"/>
              <w:left w:val="nil"/>
              <w:bottom w:val="double" w:sz="4" w:space="0" w:color="auto"/>
              <w:right w:val="nil"/>
            </w:tcBorders>
            <w:shd w:val="clear" w:color="auto" w:fill="auto"/>
            <w:noWrap/>
            <w:vAlign w:val="bottom"/>
          </w:tcPr>
          <w:p w:rsidR="00DB0145" w:rsidRPr="004148D0" w:rsidRDefault="00DB0145" w:rsidP="00CA025A">
            <w:pPr>
              <w:jc w:val="right"/>
              <w:rPr>
                <w:rFonts w:cs="Arial"/>
                <w:sz w:val="20"/>
                <w:lang w:eastAsia="en-GB"/>
              </w:rPr>
            </w:pPr>
            <w:r w:rsidRPr="004148D0">
              <w:rPr>
                <w:rFonts w:cs="Arial"/>
                <w:sz w:val="20"/>
                <w:lang w:eastAsia="en-GB"/>
              </w:rPr>
              <w:t>93,</w:t>
            </w:r>
            <w:r w:rsidR="006E6FE9">
              <w:rPr>
                <w:rFonts w:cs="Arial"/>
                <w:sz w:val="20"/>
                <w:lang w:eastAsia="en-GB"/>
              </w:rPr>
              <w:t>794</w:t>
            </w:r>
          </w:p>
        </w:tc>
      </w:tr>
    </w:tbl>
    <w:p w:rsidR="00D90216" w:rsidRPr="00983509" w:rsidRDefault="00D90216" w:rsidP="00D90216">
      <w:pPr>
        <w:pStyle w:val="BodyTextIndent"/>
        <w:ind w:left="0"/>
        <w:rPr>
          <w:b/>
          <w:sz w:val="22"/>
          <w:lang w:val="en-GB"/>
        </w:rPr>
      </w:pPr>
    </w:p>
    <w:p w:rsidR="00F70B51" w:rsidRDefault="004E6BCF" w:rsidP="0014172A">
      <w:pPr>
        <w:pStyle w:val="BodyTextIndent"/>
        <w:ind w:left="709" w:right="425"/>
        <w:jc w:val="both"/>
        <w:rPr>
          <w:sz w:val="22"/>
          <w:lang w:val="en-GB"/>
        </w:rPr>
      </w:pPr>
      <w:r w:rsidRPr="00983509">
        <w:rPr>
          <w:sz w:val="22"/>
          <w:lang w:val="en-GB"/>
        </w:rPr>
        <w:t>On 31 March 201</w:t>
      </w:r>
      <w:r w:rsidR="001B72DF">
        <w:rPr>
          <w:sz w:val="22"/>
          <w:lang w:val="en-GB"/>
        </w:rPr>
        <w:t>8</w:t>
      </w:r>
      <w:r w:rsidRPr="00983509">
        <w:rPr>
          <w:sz w:val="22"/>
          <w:lang w:val="en-GB"/>
        </w:rPr>
        <w:t xml:space="preserve"> the Authority undertook a </w:t>
      </w:r>
      <w:r w:rsidR="002B7458">
        <w:rPr>
          <w:sz w:val="22"/>
          <w:lang w:val="en-GB"/>
        </w:rPr>
        <w:t xml:space="preserve">full </w:t>
      </w:r>
      <w:r w:rsidRPr="00983509">
        <w:rPr>
          <w:sz w:val="22"/>
          <w:lang w:val="en-GB"/>
        </w:rPr>
        <w:t xml:space="preserve">revaluation review on </w:t>
      </w:r>
      <w:r w:rsidR="002E480C" w:rsidRPr="00983509">
        <w:rPr>
          <w:sz w:val="22"/>
          <w:lang w:val="en-GB"/>
        </w:rPr>
        <w:t xml:space="preserve">approximately one </w:t>
      </w:r>
      <w:r w:rsidR="002C5D98" w:rsidRPr="00983509">
        <w:rPr>
          <w:sz w:val="22"/>
          <w:lang w:val="en-GB"/>
        </w:rPr>
        <w:t>fifth</w:t>
      </w:r>
      <w:r w:rsidRPr="00983509">
        <w:rPr>
          <w:sz w:val="22"/>
          <w:lang w:val="en-GB"/>
        </w:rPr>
        <w:t xml:space="preserve"> of its land and buildings, </w:t>
      </w:r>
      <w:r w:rsidR="00DB413B" w:rsidRPr="00983509">
        <w:rPr>
          <w:sz w:val="22"/>
          <w:lang w:val="en-GB"/>
        </w:rPr>
        <w:t xml:space="preserve">and in </w:t>
      </w:r>
      <w:r w:rsidR="00DB413B" w:rsidRPr="002B7458">
        <w:rPr>
          <w:sz w:val="22"/>
          <w:lang w:val="en-GB"/>
        </w:rPr>
        <w:t>addition carried out a</w:t>
      </w:r>
      <w:r w:rsidR="00091649" w:rsidRPr="002B7458">
        <w:rPr>
          <w:sz w:val="22"/>
          <w:lang w:val="en-GB"/>
        </w:rPr>
        <w:t xml:space="preserve"> desktop revaluation</w:t>
      </w:r>
      <w:r w:rsidR="00DB413B" w:rsidRPr="002B7458">
        <w:rPr>
          <w:sz w:val="22"/>
          <w:lang w:val="en-GB"/>
        </w:rPr>
        <w:t xml:space="preserve"> exercise on the remainder, </w:t>
      </w:r>
      <w:r w:rsidRPr="002B7458">
        <w:rPr>
          <w:sz w:val="22"/>
          <w:lang w:val="en-GB"/>
        </w:rPr>
        <w:t xml:space="preserve">which resulted in </w:t>
      </w:r>
      <w:r w:rsidR="00F70B51" w:rsidRPr="002B7458">
        <w:rPr>
          <w:sz w:val="22"/>
          <w:lang w:val="en-GB"/>
        </w:rPr>
        <w:t xml:space="preserve">a net </w:t>
      </w:r>
      <w:r w:rsidR="001A2087" w:rsidRPr="002B7458">
        <w:rPr>
          <w:sz w:val="22"/>
          <w:lang w:val="en-GB"/>
        </w:rPr>
        <w:t xml:space="preserve">revaluation </w:t>
      </w:r>
      <w:r w:rsidR="00FD242B" w:rsidRPr="002B7458">
        <w:rPr>
          <w:sz w:val="22"/>
          <w:lang w:val="en-GB"/>
        </w:rPr>
        <w:t>gain</w:t>
      </w:r>
      <w:r w:rsidR="00F70B51" w:rsidRPr="002B7458">
        <w:rPr>
          <w:sz w:val="22"/>
          <w:lang w:val="en-GB"/>
        </w:rPr>
        <w:t xml:space="preserve"> of </w:t>
      </w:r>
      <w:r w:rsidR="00750768" w:rsidRPr="00750768">
        <w:rPr>
          <w:sz w:val="22"/>
          <w:lang w:val="en-GB"/>
        </w:rPr>
        <w:t>£7.629</w:t>
      </w:r>
      <w:r w:rsidR="00F70B51" w:rsidRPr="00750768">
        <w:rPr>
          <w:sz w:val="22"/>
          <w:lang w:val="en-GB"/>
        </w:rPr>
        <w:t>m</w:t>
      </w:r>
      <w:r w:rsidR="003F791B" w:rsidRPr="002B7458">
        <w:rPr>
          <w:sz w:val="22"/>
          <w:lang w:val="en-GB"/>
        </w:rPr>
        <w:t xml:space="preserve"> (201</w:t>
      </w:r>
      <w:r w:rsidR="001B72DF">
        <w:rPr>
          <w:sz w:val="22"/>
          <w:lang w:val="en-GB"/>
        </w:rPr>
        <w:t>6</w:t>
      </w:r>
      <w:r w:rsidR="003F791B" w:rsidRPr="00B81C41">
        <w:rPr>
          <w:sz w:val="22"/>
          <w:lang w:val="en-GB"/>
        </w:rPr>
        <w:t>/1</w:t>
      </w:r>
      <w:r w:rsidR="001B72DF">
        <w:rPr>
          <w:sz w:val="22"/>
          <w:lang w:val="en-GB"/>
        </w:rPr>
        <w:t>7</w:t>
      </w:r>
      <w:r w:rsidR="00D66F6A" w:rsidRPr="00B81C41">
        <w:rPr>
          <w:sz w:val="22"/>
          <w:lang w:val="en-GB"/>
        </w:rPr>
        <w:t xml:space="preserve">: net </w:t>
      </w:r>
      <w:r w:rsidR="00B81C41" w:rsidRPr="00B81C41">
        <w:rPr>
          <w:sz w:val="22"/>
          <w:lang w:val="en-GB"/>
        </w:rPr>
        <w:t>gain</w:t>
      </w:r>
      <w:r w:rsidR="00D66F6A" w:rsidRPr="00B81C41">
        <w:rPr>
          <w:sz w:val="22"/>
          <w:lang w:val="en-GB"/>
        </w:rPr>
        <w:t xml:space="preserve"> of £</w:t>
      </w:r>
      <w:r w:rsidR="001B72DF">
        <w:rPr>
          <w:sz w:val="22"/>
          <w:lang w:val="en-GB"/>
        </w:rPr>
        <w:t>8.398</w:t>
      </w:r>
      <w:r w:rsidR="00B81C41" w:rsidRPr="00B81C41">
        <w:rPr>
          <w:sz w:val="22"/>
          <w:lang w:val="en-GB"/>
        </w:rPr>
        <w:t>m</w:t>
      </w:r>
      <w:r w:rsidR="003F791B" w:rsidRPr="00B81C41">
        <w:rPr>
          <w:sz w:val="22"/>
          <w:lang w:val="en-GB"/>
        </w:rPr>
        <w:t>)</w:t>
      </w:r>
      <w:r w:rsidR="00F70B51" w:rsidRPr="00B81C41">
        <w:rPr>
          <w:sz w:val="22"/>
          <w:lang w:val="en-GB"/>
        </w:rPr>
        <w:t>.</w:t>
      </w:r>
    </w:p>
    <w:p w:rsidR="00760673" w:rsidRDefault="00760673" w:rsidP="0014172A">
      <w:pPr>
        <w:pStyle w:val="BodyTextIndent"/>
        <w:ind w:left="709" w:right="425"/>
        <w:jc w:val="both"/>
        <w:rPr>
          <w:sz w:val="22"/>
          <w:lang w:val="en-GB"/>
        </w:rPr>
      </w:pPr>
    </w:p>
    <w:p w:rsidR="00B16EF7" w:rsidRPr="00B16EF7" w:rsidRDefault="00B16EF7" w:rsidP="00400584">
      <w:pPr>
        <w:pStyle w:val="BodyTextIndent"/>
        <w:ind w:left="709" w:right="425"/>
        <w:jc w:val="both"/>
        <w:rPr>
          <w:sz w:val="22"/>
          <w:lang w:val="en-GB"/>
        </w:rPr>
      </w:pPr>
      <w:r w:rsidRPr="004E6BCF">
        <w:rPr>
          <w:sz w:val="22"/>
          <w:highlight w:val="cyan"/>
          <w:lang w:val="en-GB"/>
        </w:rPr>
        <w:br w:type="page"/>
      </w:r>
      <w:r w:rsidRPr="00B16EF7">
        <w:rPr>
          <w:sz w:val="22"/>
          <w:lang w:val="en-GB"/>
        </w:rPr>
        <w:lastRenderedPageBreak/>
        <w:t>The comparative figures detailing the movement</w:t>
      </w:r>
      <w:r>
        <w:rPr>
          <w:sz w:val="22"/>
          <w:lang w:val="en-GB"/>
        </w:rPr>
        <w:t xml:space="preserve"> during 20</w:t>
      </w:r>
      <w:r w:rsidR="00BF7A60">
        <w:rPr>
          <w:sz w:val="22"/>
          <w:lang w:val="en-GB"/>
        </w:rPr>
        <w:t>1</w:t>
      </w:r>
      <w:r w:rsidR="001B72DF">
        <w:rPr>
          <w:sz w:val="22"/>
          <w:lang w:val="en-GB"/>
        </w:rPr>
        <w:t>6</w:t>
      </w:r>
      <w:r w:rsidR="002C5D98">
        <w:rPr>
          <w:sz w:val="22"/>
          <w:lang w:val="en-GB"/>
        </w:rPr>
        <w:t>/1</w:t>
      </w:r>
      <w:r w:rsidR="001B72DF">
        <w:rPr>
          <w:sz w:val="22"/>
          <w:lang w:val="en-GB"/>
        </w:rPr>
        <w:t>7</w:t>
      </w:r>
      <w:r w:rsidR="00AA094D">
        <w:rPr>
          <w:sz w:val="22"/>
          <w:lang w:val="en-GB"/>
        </w:rPr>
        <w:t xml:space="preserve"> (Restated to include the Authority’s 25% share in North West </w:t>
      </w:r>
      <w:proofErr w:type="spellStart"/>
      <w:r w:rsidR="00AA094D">
        <w:rPr>
          <w:sz w:val="22"/>
          <w:lang w:val="en-GB"/>
        </w:rPr>
        <w:t>FireControl</w:t>
      </w:r>
      <w:proofErr w:type="spellEnd"/>
      <w:r w:rsidR="00AA094D">
        <w:rPr>
          <w:sz w:val="22"/>
          <w:lang w:val="en-GB"/>
        </w:rPr>
        <w:t xml:space="preserve"> Limited)</w:t>
      </w:r>
      <w:r>
        <w:rPr>
          <w:sz w:val="22"/>
          <w:lang w:val="en-GB"/>
        </w:rPr>
        <w:t>:</w:t>
      </w:r>
    </w:p>
    <w:p w:rsidR="00B16EF7" w:rsidRPr="00A60775" w:rsidRDefault="00B16EF7" w:rsidP="00D90216">
      <w:pPr>
        <w:pStyle w:val="BodyTextIndent"/>
        <w:ind w:left="0"/>
        <w:rPr>
          <w:b/>
          <w:sz w:val="22"/>
          <w:highlight w:val="cyan"/>
          <w:lang w:val="en-GB"/>
        </w:rPr>
      </w:pPr>
    </w:p>
    <w:tbl>
      <w:tblPr>
        <w:tblW w:w="10347" w:type="dxa"/>
        <w:tblInd w:w="534" w:type="dxa"/>
        <w:tblLayout w:type="fixed"/>
        <w:tblLook w:val="0000" w:firstRow="0" w:lastRow="0" w:firstColumn="0" w:lastColumn="0" w:noHBand="0" w:noVBand="0"/>
      </w:tblPr>
      <w:tblGrid>
        <w:gridCol w:w="3827"/>
        <w:gridCol w:w="1418"/>
        <w:gridCol w:w="1275"/>
        <w:gridCol w:w="1417"/>
        <w:gridCol w:w="1134"/>
        <w:gridCol w:w="1276"/>
      </w:tblGrid>
      <w:tr w:rsidR="001B72DF" w:rsidRPr="00A60775" w:rsidTr="002F0370">
        <w:trPr>
          <w:trHeight w:val="510"/>
        </w:trPr>
        <w:tc>
          <w:tcPr>
            <w:tcW w:w="3827" w:type="dxa"/>
            <w:tcBorders>
              <w:top w:val="nil"/>
              <w:left w:val="nil"/>
              <w:bottom w:val="nil"/>
              <w:right w:val="nil"/>
            </w:tcBorders>
            <w:shd w:val="clear" w:color="auto" w:fill="auto"/>
            <w:noWrap/>
            <w:vAlign w:val="bottom"/>
          </w:tcPr>
          <w:p w:rsidR="001B72DF" w:rsidRPr="00375D77" w:rsidRDefault="001B72DF" w:rsidP="00C22F02">
            <w:pPr>
              <w:ind w:left="175"/>
              <w:rPr>
                <w:rFonts w:cs="Arial"/>
                <w:sz w:val="20"/>
                <w:lang w:eastAsia="en-GB"/>
              </w:rPr>
            </w:pPr>
            <w:r w:rsidRPr="00375D77">
              <w:rPr>
                <w:rFonts w:cs="Arial"/>
                <w:b/>
                <w:bCs/>
                <w:sz w:val="20"/>
                <w:lang w:eastAsia="en-GB"/>
              </w:rPr>
              <w:t>Movement during the year</w:t>
            </w:r>
          </w:p>
        </w:tc>
        <w:tc>
          <w:tcPr>
            <w:tcW w:w="1418" w:type="dxa"/>
            <w:tcBorders>
              <w:top w:val="nil"/>
              <w:left w:val="nil"/>
              <w:bottom w:val="nil"/>
              <w:right w:val="nil"/>
            </w:tcBorders>
            <w:shd w:val="clear" w:color="auto" w:fill="auto"/>
            <w:vAlign w:val="bottom"/>
          </w:tcPr>
          <w:p w:rsidR="001B72DF" w:rsidRPr="005A4CB4" w:rsidRDefault="001B72DF" w:rsidP="00C22F02">
            <w:pPr>
              <w:jc w:val="center"/>
              <w:rPr>
                <w:rFonts w:cs="Arial"/>
                <w:b/>
                <w:bCs/>
                <w:sz w:val="20"/>
                <w:lang w:eastAsia="en-GB"/>
              </w:rPr>
            </w:pPr>
            <w:r w:rsidRPr="005A4CB4">
              <w:rPr>
                <w:rFonts w:cs="Arial"/>
                <w:b/>
                <w:bCs/>
                <w:sz w:val="20"/>
                <w:lang w:eastAsia="en-GB"/>
              </w:rPr>
              <w:t>Other Land &amp; Buildings</w:t>
            </w:r>
          </w:p>
        </w:tc>
        <w:tc>
          <w:tcPr>
            <w:tcW w:w="1275" w:type="dxa"/>
            <w:tcBorders>
              <w:top w:val="nil"/>
              <w:left w:val="nil"/>
              <w:bottom w:val="nil"/>
              <w:right w:val="nil"/>
            </w:tcBorders>
            <w:vAlign w:val="bottom"/>
          </w:tcPr>
          <w:p w:rsidR="001B72DF" w:rsidRPr="00731E25" w:rsidRDefault="001B72DF" w:rsidP="00C22F02">
            <w:pPr>
              <w:jc w:val="center"/>
              <w:rPr>
                <w:rFonts w:cs="Arial"/>
                <w:b/>
                <w:bCs/>
                <w:sz w:val="20"/>
                <w:lang w:eastAsia="en-GB"/>
              </w:rPr>
            </w:pPr>
            <w:r>
              <w:rPr>
                <w:rFonts w:cs="Arial"/>
                <w:b/>
                <w:bCs/>
                <w:sz w:val="20"/>
                <w:lang w:eastAsia="en-GB"/>
              </w:rPr>
              <w:t>PFI Assets</w:t>
            </w:r>
            <w:r w:rsidR="00CF037A">
              <w:rPr>
                <w:rFonts w:cs="Arial"/>
                <w:b/>
                <w:bCs/>
                <w:sz w:val="20"/>
                <w:lang w:eastAsia="en-GB"/>
              </w:rPr>
              <w:t xml:space="preserve"> – land &amp; buildings</w:t>
            </w:r>
          </w:p>
        </w:tc>
        <w:tc>
          <w:tcPr>
            <w:tcW w:w="1417" w:type="dxa"/>
            <w:tcBorders>
              <w:top w:val="nil"/>
              <w:left w:val="nil"/>
              <w:bottom w:val="nil"/>
              <w:right w:val="nil"/>
            </w:tcBorders>
            <w:vAlign w:val="bottom"/>
          </w:tcPr>
          <w:p w:rsidR="001B72DF" w:rsidRPr="005A4CB4" w:rsidRDefault="001B72DF" w:rsidP="00C22F02">
            <w:pPr>
              <w:jc w:val="center"/>
              <w:rPr>
                <w:rFonts w:cs="Arial"/>
                <w:b/>
                <w:bCs/>
                <w:sz w:val="20"/>
                <w:lang w:eastAsia="en-GB"/>
              </w:rPr>
            </w:pPr>
            <w:r w:rsidRPr="005A4CB4">
              <w:rPr>
                <w:rFonts w:cs="Arial"/>
                <w:b/>
                <w:bCs/>
                <w:sz w:val="20"/>
                <w:lang w:eastAsia="en-GB"/>
              </w:rPr>
              <w:t>Vehicles, Plant &amp; Equipment</w:t>
            </w:r>
          </w:p>
        </w:tc>
        <w:tc>
          <w:tcPr>
            <w:tcW w:w="1134" w:type="dxa"/>
            <w:tcBorders>
              <w:top w:val="nil"/>
              <w:left w:val="nil"/>
              <w:bottom w:val="nil"/>
              <w:right w:val="nil"/>
            </w:tcBorders>
            <w:shd w:val="clear" w:color="auto" w:fill="auto"/>
            <w:noWrap/>
            <w:vAlign w:val="bottom"/>
          </w:tcPr>
          <w:p w:rsidR="001B72DF" w:rsidRPr="005A4CB4" w:rsidRDefault="001B72DF" w:rsidP="00C22F02">
            <w:pPr>
              <w:jc w:val="center"/>
              <w:rPr>
                <w:rFonts w:cs="Arial"/>
                <w:b/>
                <w:sz w:val="20"/>
                <w:lang w:eastAsia="en-GB"/>
              </w:rPr>
            </w:pPr>
            <w:r w:rsidRPr="005A4CB4">
              <w:rPr>
                <w:rFonts w:cs="Arial"/>
                <w:b/>
                <w:sz w:val="20"/>
                <w:lang w:eastAsia="en-GB"/>
              </w:rPr>
              <w:t>Surplus Assets</w:t>
            </w:r>
          </w:p>
        </w:tc>
        <w:tc>
          <w:tcPr>
            <w:tcW w:w="1276" w:type="dxa"/>
            <w:tcBorders>
              <w:top w:val="nil"/>
              <w:left w:val="nil"/>
              <w:bottom w:val="nil"/>
              <w:right w:val="nil"/>
            </w:tcBorders>
            <w:shd w:val="clear" w:color="auto" w:fill="auto"/>
            <w:noWrap/>
            <w:vAlign w:val="bottom"/>
          </w:tcPr>
          <w:p w:rsidR="001B72DF" w:rsidRPr="005A4CB4" w:rsidRDefault="001B72DF" w:rsidP="00C22F02">
            <w:pPr>
              <w:pStyle w:val="CommentSubject"/>
              <w:jc w:val="center"/>
              <w:rPr>
                <w:rFonts w:ascii="Arial" w:hAnsi="Arial" w:cs="Arial"/>
                <w:lang w:eastAsia="en-GB"/>
              </w:rPr>
            </w:pPr>
            <w:r w:rsidRPr="005A4CB4">
              <w:rPr>
                <w:rFonts w:ascii="Arial" w:hAnsi="Arial" w:cs="Arial"/>
                <w:lang w:eastAsia="en-GB"/>
              </w:rPr>
              <w:t>Total Property, Plant &amp; Equipment</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375D77" w:rsidRDefault="001B72DF" w:rsidP="00C22F02">
            <w:pPr>
              <w:ind w:left="175"/>
              <w:rPr>
                <w:rFonts w:cs="Arial"/>
                <w:b/>
                <w:bCs/>
                <w:sz w:val="20"/>
                <w:lang w:eastAsia="en-GB"/>
              </w:rPr>
            </w:pPr>
          </w:p>
        </w:tc>
        <w:tc>
          <w:tcPr>
            <w:tcW w:w="1418" w:type="dxa"/>
            <w:tcBorders>
              <w:top w:val="nil"/>
              <w:left w:val="nil"/>
              <w:bottom w:val="nil"/>
              <w:right w:val="nil"/>
            </w:tcBorders>
            <w:shd w:val="clear" w:color="auto" w:fill="auto"/>
            <w:noWrap/>
            <w:vAlign w:val="bottom"/>
          </w:tcPr>
          <w:p w:rsidR="001B72DF" w:rsidRPr="00EB1671" w:rsidRDefault="001B72DF" w:rsidP="00C22F02">
            <w:pPr>
              <w:jc w:val="center"/>
              <w:rPr>
                <w:rFonts w:cs="Arial"/>
                <w:sz w:val="20"/>
                <w:lang w:eastAsia="en-GB"/>
              </w:rPr>
            </w:pPr>
            <w:r>
              <w:rPr>
                <w:rFonts w:cs="Arial"/>
                <w:sz w:val="20"/>
                <w:lang w:eastAsia="en-GB"/>
              </w:rPr>
              <w:t>£000</w:t>
            </w:r>
          </w:p>
        </w:tc>
        <w:tc>
          <w:tcPr>
            <w:tcW w:w="1275" w:type="dxa"/>
            <w:tcBorders>
              <w:top w:val="nil"/>
              <w:left w:val="nil"/>
              <w:bottom w:val="nil"/>
              <w:right w:val="nil"/>
            </w:tcBorders>
          </w:tcPr>
          <w:p w:rsidR="001B72DF" w:rsidRDefault="001B72DF" w:rsidP="00C22F02">
            <w:pPr>
              <w:jc w:val="center"/>
              <w:rPr>
                <w:rFonts w:cs="Arial"/>
                <w:sz w:val="20"/>
                <w:lang w:eastAsia="en-GB"/>
              </w:rPr>
            </w:pPr>
            <w:r>
              <w:rPr>
                <w:rFonts w:cs="Arial"/>
                <w:sz w:val="20"/>
                <w:lang w:eastAsia="en-GB"/>
              </w:rPr>
              <w:t>£000</w:t>
            </w:r>
          </w:p>
        </w:tc>
        <w:tc>
          <w:tcPr>
            <w:tcW w:w="1417" w:type="dxa"/>
            <w:tcBorders>
              <w:top w:val="nil"/>
              <w:left w:val="nil"/>
              <w:bottom w:val="nil"/>
              <w:right w:val="nil"/>
            </w:tcBorders>
            <w:vAlign w:val="bottom"/>
          </w:tcPr>
          <w:p w:rsidR="001B72DF" w:rsidRPr="00EB1671" w:rsidRDefault="001B72DF" w:rsidP="00C22F02">
            <w:pPr>
              <w:jc w:val="center"/>
              <w:rPr>
                <w:rFonts w:cs="Arial"/>
                <w:sz w:val="20"/>
                <w:lang w:eastAsia="en-GB"/>
              </w:rPr>
            </w:pPr>
            <w:r>
              <w:rPr>
                <w:rFonts w:cs="Arial"/>
                <w:sz w:val="20"/>
                <w:lang w:eastAsia="en-GB"/>
              </w:rPr>
              <w:t>£000</w:t>
            </w:r>
          </w:p>
        </w:tc>
        <w:tc>
          <w:tcPr>
            <w:tcW w:w="1134" w:type="dxa"/>
            <w:tcBorders>
              <w:top w:val="nil"/>
              <w:left w:val="nil"/>
              <w:bottom w:val="nil"/>
              <w:right w:val="nil"/>
            </w:tcBorders>
            <w:shd w:val="clear" w:color="auto" w:fill="auto"/>
            <w:noWrap/>
            <w:vAlign w:val="bottom"/>
          </w:tcPr>
          <w:p w:rsidR="001B72DF" w:rsidRPr="00EB1671" w:rsidRDefault="001B72DF" w:rsidP="00C22F02">
            <w:pPr>
              <w:jc w:val="center"/>
              <w:rPr>
                <w:rFonts w:cs="Arial"/>
                <w:sz w:val="20"/>
                <w:lang w:eastAsia="en-GB"/>
              </w:rPr>
            </w:pPr>
            <w:r>
              <w:rPr>
                <w:rFonts w:cs="Arial"/>
                <w:sz w:val="20"/>
                <w:lang w:eastAsia="en-GB"/>
              </w:rPr>
              <w:t>£000</w:t>
            </w:r>
          </w:p>
        </w:tc>
        <w:tc>
          <w:tcPr>
            <w:tcW w:w="1276" w:type="dxa"/>
            <w:tcBorders>
              <w:top w:val="nil"/>
              <w:left w:val="nil"/>
              <w:bottom w:val="nil"/>
              <w:right w:val="nil"/>
            </w:tcBorders>
            <w:shd w:val="clear" w:color="auto" w:fill="auto"/>
            <w:noWrap/>
            <w:vAlign w:val="bottom"/>
          </w:tcPr>
          <w:p w:rsidR="001B72DF" w:rsidRPr="00EB1671" w:rsidRDefault="001B72DF" w:rsidP="00C22F02">
            <w:pPr>
              <w:jc w:val="center"/>
              <w:rPr>
                <w:rFonts w:cs="Arial"/>
                <w:sz w:val="20"/>
                <w:lang w:eastAsia="en-GB"/>
              </w:rPr>
            </w:pPr>
            <w:r>
              <w:rPr>
                <w:rFonts w:cs="Arial"/>
                <w:sz w:val="20"/>
                <w:lang w:eastAsia="en-GB"/>
              </w:rPr>
              <w:t>£000</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375D77" w:rsidRDefault="001B72DF" w:rsidP="00C22F02">
            <w:pPr>
              <w:ind w:left="175"/>
              <w:rPr>
                <w:rFonts w:cs="Arial"/>
                <w:b/>
                <w:bCs/>
                <w:sz w:val="20"/>
                <w:lang w:eastAsia="en-GB"/>
              </w:rPr>
            </w:pPr>
            <w:r w:rsidRPr="00375D77">
              <w:rPr>
                <w:rFonts w:cs="Arial"/>
                <w:b/>
                <w:bCs/>
                <w:sz w:val="20"/>
                <w:lang w:eastAsia="en-GB"/>
              </w:rPr>
              <w:t>Cost or valuation</w:t>
            </w:r>
          </w:p>
        </w:tc>
        <w:tc>
          <w:tcPr>
            <w:tcW w:w="1418" w:type="dxa"/>
            <w:tcBorders>
              <w:top w:val="nil"/>
              <w:left w:val="nil"/>
              <w:bottom w:val="nil"/>
              <w:right w:val="nil"/>
            </w:tcBorders>
            <w:shd w:val="clear" w:color="auto" w:fill="auto"/>
            <w:noWrap/>
            <w:vAlign w:val="bottom"/>
          </w:tcPr>
          <w:p w:rsidR="001B72DF" w:rsidRPr="00EB1671" w:rsidRDefault="001B72DF" w:rsidP="00C22F02">
            <w:pPr>
              <w:rPr>
                <w:rFonts w:cs="Arial"/>
                <w:sz w:val="20"/>
                <w:lang w:eastAsia="en-GB"/>
              </w:rPr>
            </w:pPr>
          </w:p>
        </w:tc>
        <w:tc>
          <w:tcPr>
            <w:tcW w:w="1275" w:type="dxa"/>
            <w:tcBorders>
              <w:top w:val="nil"/>
              <w:left w:val="nil"/>
              <w:bottom w:val="nil"/>
              <w:right w:val="nil"/>
            </w:tcBorders>
          </w:tcPr>
          <w:p w:rsidR="001B72DF" w:rsidRPr="00EB1671" w:rsidRDefault="001B72DF" w:rsidP="00C22F02">
            <w:pPr>
              <w:rPr>
                <w:rFonts w:cs="Arial"/>
                <w:sz w:val="20"/>
                <w:lang w:eastAsia="en-GB"/>
              </w:rPr>
            </w:pPr>
          </w:p>
        </w:tc>
        <w:tc>
          <w:tcPr>
            <w:tcW w:w="1417" w:type="dxa"/>
            <w:tcBorders>
              <w:top w:val="nil"/>
              <w:left w:val="nil"/>
              <w:bottom w:val="nil"/>
              <w:right w:val="nil"/>
            </w:tcBorders>
            <w:vAlign w:val="bottom"/>
          </w:tcPr>
          <w:p w:rsidR="001B72DF" w:rsidRPr="00EB1671" w:rsidRDefault="001B72DF" w:rsidP="00C22F02">
            <w:pPr>
              <w:rPr>
                <w:rFonts w:cs="Arial"/>
                <w:sz w:val="20"/>
                <w:lang w:eastAsia="en-GB"/>
              </w:rPr>
            </w:pPr>
          </w:p>
        </w:tc>
        <w:tc>
          <w:tcPr>
            <w:tcW w:w="1134" w:type="dxa"/>
            <w:tcBorders>
              <w:top w:val="nil"/>
              <w:left w:val="nil"/>
              <w:bottom w:val="nil"/>
              <w:right w:val="nil"/>
            </w:tcBorders>
            <w:shd w:val="clear" w:color="auto" w:fill="auto"/>
            <w:noWrap/>
            <w:vAlign w:val="bottom"/>
          </w:tcPr>
          <w:p w:rsidR="001B72DF" w:rsidRPr="00EB1671" w:rsidRDefault="001B72DF" w:rsidP="00C22F02">
            <w:pPr>
              <w:rPr>
                <w:rFonts w:cs="Arial"/>
                <w:sz w:val="20"/>
                <w:lang w:eastAsia="en-GB"/>
              </w:rPr>
            </w:pPr>
          </w:p>
        </w:tc>
        <w:tc>
          <w:tcPr>
            <w:tcW w:w="1276" w:type="dxa"/>
            <w:tcBorders>
              <w:top w:val="nil"/>
              <w:left w:val="nil"/>
              <w:bottom w:val="nil"/>
              <w:right w:val="nil"/>
            </w:tcBorders>
            <w:shd w:val="clear" w:color="auto" w:fill="auto"/>
            <w:noWrap/>
            <w:vAlign w:val="bottom"/>
          </w:tcPr>
          <w:p w:rsidR="001B72DF" w:rsidRPr="00EB1671" w:rsidRDefault="001B72DF" w:rsidP="00C22F02">
            <w:pPr>
              <w:rPr>
                <w:rFonts w:cs="Arial"/>
                <w:sz w:val="20"/>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375D77" w:rsidRDefault="001B72DF" w:rsidP="00C22F02">
            <w:pPr>
              <w:ind w:left="175"/>
              <w:rPr>
                <w:rFonts w:cs="Arial"/>
                <w:sz w:val="20"/>
                <w:lang w:eastAsia="en-GB"/>
              </w:rPr>
            </w:pPr>
            <w:r w:rsidRPr="00375D77">
              <w:rPr>
                <w:rFonts w:cs="Arial"/>
                <w:sz w:val="20"/>
                <w:lang w:eastAsia="en-GB"/>
              </w:rPr>
              <w:t>At 1 April</w:t>
            </w:r>
            <w:r>
              <w:rPr>
                <w:rFonts w:cs="Arial"/>
                <w:sz w:val="20"/>
                <w:lang w:eastAsia="en-GB"/>
              </w:rPr>
              <w:t xml:space="preserve"> 2016</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50,036</w:t>
            </w: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r>
              <w:rPr>
                <w:rFonts w:cs="Arial"/>
                <w:sz w:val="20"/>
                <w:lang w:eastAsia="en-GB"/>
              </w:rPr>
              <w:t>23,143</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sidRPr="00983509">
              <w:rPr>
                <w:rFonts w:cs="Arial"/>
                <w:sz w:val="20"/>
                <w:lang w:eastAsia="en-GB"/>
              </w:rPr>
              <w:t>22,</w:t>
            </w:r>
            <w:r w:rsidR="00AA094D">
              <w:rPr>
                <w:rFonts w:cs="Arial"/>
                <w:sz w:val="20"/>
                <w:lang w:eastAsia="en-GB"/>
              </w:rPr>
              <w:t>381</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sidRPr="00983509">
              <w:rPr>
                <w:rFonts w:cs="Arial"/>
                <w:sz w:val="20"/>
                <w:lang w:eastAsia="en-GB"/>
              </w:rPr>
              <w:t>20</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sidRPr="00983509">
              <w:rPr>
                <w:rFonts w:cs="Arial"/>
                <w:sz w:val="20"/>
                <w:lang w:eastAsia="en-GB"/>
              </w:rPr>
              <w:t>95,</w:t>
            </w:r>
            <w:r w:rsidR="00AA094D">
              <w:rPr>
                <w:rFonts w:cs="Arial"/>
                <w:sz w:val="20"/>
                <w:lang w:eastAsia="en-GB"/>
              </w:rPr>
              <w:t>580</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sz w:val="20"/>
                <w:lang w:eastAsia="en-GB"/>
              </w:rPr>
            </w:pPr>
            <w:r w:rsidRPr="005A4CB4">
              <w:rPr>
                <w:rFonts w:cs="Arial"/>
                <w:sz w:val="20"/>
                <w:lang w:eastAsia="en-GB"/>
              </w:rPr>
              <w:t>Additions</w:t>
            </w:r>
          </w:p>
        </w:tc>
        <w:tc>
          <w:tcPr>
            <w:tcW w:w="1418" w:type="dxa"/>
            <w:tcBorders>
              <w:top w:val="nil"/>
              <w:left w:val="nil"/>
              <w:bottom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2,574</w:t>
            </w:r>
          </w:p>
        </w:tc>
        <w:tc>
          <w:tcPr>
            <w:tcW w:w="1275" w:type="dxa"/>
            <w:tcBorders>
              <w:top w:val="nil"/>
              <w:left w:val="nil"/>
              <w:bottom w:val="nil"/>
              <w:right w:val="nil"/>
            </w:tcBorders>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bottom w:val="nil"/>
              <w:right w:val="nil"/>
            </w:tcBorders>
            <w:vAlign w:val="bottom"/>
          </w:tcPr>
          <w:p w:rsidR="001B72DF" w:rsidRPr="003D62DA" w:rsidRDefault="00AA094D" w:rsidP="00C22F02">
            <w:pPr>
              <w:jc w:val="right"/>
              <w:rPr>
                <w:rFonts w:cs="Arial"/>
                <w:sz w:val="20"/>
                <w:lang w:eastAsia="en-GB"/>
              </w:rPr>
            </w:pPr>
            <w:r>
              <w:rPr>
                <w:rFonts w:cs="Arial"/>
                <w:sz w:val="20"/>
                <w:lang w:eastAsia="en-GB"/>
              </w:rPr>
              <w:t>893</w:t>
            </w:r>
          </w:p>
        </w:tc>
        <w:tc>
          <w:tcPr>
            <w:tcW w:w="1134" w:type="dxa"/>
            <w:tcBorders>
              <w:top w:val="nil"/>
              <w:left w:val="nil"/>
              <w:bottom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3D62DA" w:rsidRDefault="001B72DF" w:rsidP="00CA025A">
            <w:pPr>
              <w:jc w:val="right"/>
              <w:rPr>
                <w:rFonts w:cs="Arial"/>
                <w:sz w:val="20"/>
                <w:lang w:eastAsia="en-GB"/>
              </w:rPr>
            </w:pPr>
            <w:r>
              <w:rPr>
                <w:rFonts w:cs="Arial"/>
                <w:sz w:val="20"/>
                <w:lang w:eastAsia="en-GB"/>
              </w:rPr>
              <w:t>3,</w:t>
            </w:r>
            <w:r w:rsidR="00AA094D">
              <w:rPr>
                <w:rFonts w:cs="Arial"/>
                <w:sz w:val="20"/>
                <w:lang w:eastAsia="en-GB"/>
              </w:rPr>
              <w:t>468</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sz w:val="20"/>
                <w:lang w:eastAsia="en-GB"/>
              </w:rPr>
            </w:pPr>
            <w:r w:rsidRPr="005A4CB4">
              <w:rPr>
                <w:rFonts w:cs="Arial"/>
                <w:sz w:val="20"/>
                <w:lang w:eastAsia="en-GB"/>
              </w:rPr>
              <w:t>Disposals</w:t>
            </w:r>
          </w:p>
        </w:tc>
        <w:tc>
          <w:tcPr>
            <w:tcW w:w="1418" w:type="dxa"/>
            <w:tcBorders>
              <w:top w:val="nil"/>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w:t>
            </w:r>
          </w:p>
        </w:tc>
        <w:tc>
          <w:tcPr>
            <w:tcW w:w="1275" w:type="dxa"/>
            <w:tcBorders>
              <w:top w:val="nil"/>
              <w:left w:val="nil"/>
              <w:right w:val="nil"/>
            </w:tcBorders>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right w:val="nil"/>
            </w:tcBorders>
            <w:vAlign w:val="bottom"/>
          </w:tcPr>
          <w:p w:rsidR="001B72DF" w:rsidRPr="003D62DA" w:rsidRDefault="001B72DF" w:rsidP="00C22F02">
            <w:pPr>
              <w:jc w:val="right"/>
              <w:rPr>
                <w:rFonts w:cs="Arial"/>
                <w:sz w:val="20"/>
                <w:lang w:eastAsia="en-GB"/>
              </w:rPr>
            </w:pPr>
            <w:r>
              <w:rPr>
                <w:rFonts w:cs="Arial"/>
                <w:sz w:val="20"/>
                <w:lang w:eastAsia="en-GB"/>
              </w:rPr>
              <w:t>(1,592)</w:t>
            </w:r>
          </w:p>
        </w:tc>
        <w:tc>
          <w:tcPr>
            <w:tcW w:w="1134" w:type="dxa"/>
            <w:tcBorders>
              <w:top w:val="nil"/>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(1,592)</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Impairment losses recognised in the Revaluation Reserve</w:t>
            </w:r>
          </w:p>
        </w:tc>
        <w:tc>
          <w:tcPr>
            <w:tcW w:w="1418"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(1,792)</w:t>
            </w:r>
          </w:p>
        </w:tc>
        <w:tc>
          <w:tcPr>
            <w:tcW w:w="1275" w:type="dxa"/>
            <w:tcBorders>
              <w:left w:val="nil"/>
              <w:right w:val="nil"/>
            </w:tcBorders>
            <w:vAlign w:val="bottom"/>
          </w:tcPr>
          <w:p w:rsidR="001B72DF" w:rsidRDefault="001B72DF" w:rsidP="00C22F02">
            <w:pPr>
              <w:jc w:val="right"/>
              <w:rPr>
                <w:rFonts w:cs="Arial"/>
                <w:sz w:val="20"/>
                <w:lang w:eastAsia="en-GB"/>
              </w:rPr>
            </w:pPr>
            <w:r>
              <w:rPr>
                <w:rFonts w:cs="Arial"/>
                <w:sz w:val="20"/>
                <w:lang w:eastAsia="en-GB"/>
              </w:rPr>
              <w:t>(383)</w:t>
            </w:r>
          </w:p>
        </w:tc>
        <w:tc>
          <w:tcPr>
            <w:tcW w:w="1417" w:type="dxa"/>
            <w:tcBorders>
              <w:left w:val="nil"/>
              <w:right w:val="nil"/>
            </w:tcBorders>
            <w:vAlign w:val="bottom"/>
          </w:tcPr>
          <w:p w:rsidR="001B72DF" w:rsidRPr="00983509" w:rsidRDefault="001B72DF" w:rsidP="00C22F02">
            <w:pPr>
              <w:jc w:val="right"/>
              <w:rPr>
                <w:rFonts w:cs="Arial"/>
                <w:sz w:val="20"/>
                <w:lang w:eastAsia="en-GB"/>
              </w:rPr>
            </w:pPr>
            <w:r>
              <w:rPr>
                <w:rFonts w:cs="Arial"/>
                <w:sz w:val="20"/>
                <w:lang w:eastAsia="en-GB"/>
              </w:rPr>
              <w:t>-</w:t>
            </w:r>
          </w:p>
        </w:tc>
        <w:tc>
          <w:tcPr>
            <w:tcW w:w="1134"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(2,175)</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Impairment losses recognised in the Deficit on the Provision of Services</w:t>
            </w:r>
          </w:p>
        </w:tc>
        <w:tc>
          <w:tcPr>
            <w:tcW w:w="1418"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(1,058)</w:t>
            </w:r>
          </w:p>
        </w:tc>
        <w:tc>
          <w:tcPr>
            <w:tcW w:w="1275" w:type="dxa"/>
            <w:tcBorders>
              <w:left w:val="nil"/>
              <w:right w:val="nil"/>
            </w:tcBorders>
            <w:vAlign w:val="bottom"/>
          </w:tcPr>
          <w:p w:rsidR="001B72DF" w:rsidRDefault="001B72DF" w:rsidP="00C22F02">
            <w:pPr>
              <w:jc w:val="right"/>
              <w:rPr>
                <w:rFonts w:cs="Arial"/>
                <w:sz w:val="20"/>
                <w:lang w:eastAsia="en-GB"/>
              </w:rPr>
            </w:pPr>
            <w:r>
              <w:rPr>
                <w:rFonts w:cs="Arial"/>
                <w:sz w:val="20"/>
                <w:lang w:eastAsia="en-GB"/>
              </w:rPr>
              <w:t>(178)</w:t>
            </w:r>
          </w:p>
        </w:tc>
        <w:tc>
          <w:tcPr>
            <w:tcW w:w="1417" w:type="dxa"/>
            <w:tcBorders>
              <w:left w:val="nil"/>
              <w:right w:val="nil"/>
            </w:tcBorders>
            <w:vAlign w:val="bottom"/>
          </w:tcPr>
          <w:p w:rsidR="001B72DF" w:rsidRPr="00983509" w:rsidRDefault="001B72DF" w:rsidP="00C22F02">
            <w:pPr>
              <w:jc w:val="right"/>
              <w:rPr>
                <w:rFonts w:cs="Arial"/>
                <w:sz w:val="20"/>
                <w:lang w:eastAsia="en-GB"/>
              </w:rPr>
            </w:pPr>
            <w:r>
              <w:rPr>
                <w:rFonts w:cs="Arial"/>
                <w:sz w:val="20"/>
                <w:lang w:eastAsia="en-GB"/>
              </w:rPr>
              <w:t>(238)</w:t>
            </w:r>
          </w:p>
        </w:tc>
        <w:tc>
          <w:tcPr>
            <w:tcW w:w="1134"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(1,474)</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Pr>
                <w:rFonts w:cs="Arial"/>
                <w:sz w:val="20"/>
                <w:lang w:eastAsia="en-GB"/>
              </w:rPr>
              <w:t>Reclassifications</w:t>
            </w:r>
          </w:p>
        </w:tc>
        <w:tc>
          <w:tcPr>
            <w:tcW w:w="1418" w:type="dxa"/>
            <w:tcBorders>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w:t>
            </w:r>
          </w:p>
        </w:tc>
        <w:tc>
          <w:tcPr>
            <w:tcW w:w="1275" w:type="dxa"/>
            <w:tcBorders>
              <w:left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left w:val="nil"/>
              <w:right w:val="nil"/>
            </w:tcBorders>
            <w:vAlign w:val="bottom"/>
          </w:tcPr>
          <w:p w:rsidR="001B72DF" w:rsidRPr="003D62DA" w:rsidRDefault="001B72DF" w:rsidP="00C22F02">
            <w:pPr>
              <w:jc w:val="right"/>
              <w:rPr>
                <w:rFonts w:cs="Arial"/>
                <w:sz w:val="20"/>
                <w:lang w:eastAsia="en-GB"/>
              </w:rPr>
            </w:pPr>
            <w:r>
              <w:rPr>
                <w:rFonts w:cs="Arial"/>
                <w:sz w:val="20"/>
                <w:lang w:eastAsia="en-GB"/>
              </w:rPr>
              <w:t>-</w:t>
            </w:r>
          </w:p>
        </w:tc>
        <w:tc>
          <w:tcPr>
            <w:tcW w:w="1134" w:type="dxa"/>
            <w:tcBorders>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(21)</w:t>
            </w:r>
          </w:p>
        </w:tc>
        <w:tc>
          <w:tcPr>
            <w:tcW w:w="1276" w:type="dxa"/>
            <w:tcBorders>
              <w:left w:val="nil"/>
              <w:right w:val="nil"/>
            </w:tcBorders>
            <w:shd w:val="clear" w:color="auto" w:fill="auto"/>
            <w:noWrap/>
            <w:vAlign w:val="bottom"/>
          </w:tcPr>
          <w:p w:rsidR="001B72DF" w:rsidRPr="003D62DA" w:rsidRDefault="001B72DF" w:rsidP="00C22F02">
            <w:pPr>
              <w:jc w:val="right"/>
              <w:rPr>
                <w:rFonts w:cs="Arial"/>
                <w:sz w:val="20"/>
                <w:lang w:eastAsia="en-GB"/>
              </w:rPr>
            </w:pPr>
            <w:r>
              <w:rPr>
                <w:rFonts w:cs="Arial"/>
                <w:sz w:val="20"/>
                <w:lang w:eastAsia="en-GB"/>
              </w:rPr>
              <w:t>(21)</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Revaluations</w:t>
            </w:r>
          </w:p>
        </w:tc>
        <w:tc>
          <w:tcPr>
            <w:tcW w:w="1418" w:type="dxa"/>
            <w:tcBorders>
              <w:left w:val="nil"/>
              <w:bottom w:val="single" w:sz="4" w:space="0" w:color="auto"/>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3,496</w:t>
            </w:r>
          </w:p>
        </w:tc>
        <w:tc>
          <w:tcPr>
            <w:tcW w:w="1275" w:type="dxa"/>
            <w:tcBorders>
              <w:left w:val="nil"/>
              <w:bottom w:val="single" w:sz="4" w:space="0" w:color="auto"/>
              <w:right w:val="nil"/>
            </w:tcBorders>
            <w:vAlign w:val="bottom"/>
          </w:tcPr>
          <w:p w:rsidR="001B72DF" w:rsidRDefault="001B72DF" w:rsidP="00C22F02">
            <w:pPr>
              <w:jc w:val="right"/>
              <w:rPr>
                <w:rFonts w:cs="Arial"/>
                <w:sz w:val="20"/>
                <w:lang w:eastAsia="en-GB"/>
              </w:rPr>
            </w:pPr>
            <w:r>
              <w:rPr>
                <w:rFonts w:cs="Arial"/>
                <w:sz w:val="20"/>
                <w:lang w:eastAsia="en-GB"/>
              </w:rPr>
              <w:t>3,028</w:t>
            </w:r>
          </w:p>
        </w:tc>
        <w:tc>
          <w:tcPr>
            <w:tcW w:w="1417" w:type="dxa"/>
            <w:tcBorders>
              <w:left w:val="nil"/>
              <w:bottom w:val="single" w:sz="4" w:space="0" w:color="auto"/>
              <w:right w:val="nil"/>
            </w:tcBorders>
            <w:vAlign w:val="bottom"/>
          </w:tcPr>
          <w:p w:rsidR="001B72DF" w:rsidRPr="00983509" w:rsidRDefault="001B72DF" w:rsidP="00C22F02">
            <w:pPr>
              <w:jc w:val="right"/>
              <w:rPr>
                <w:rFonts w:cs="Arial"/>
                <w:sz w:val="20"/>
                <w:lang w:eastAsia="en-GB"/>
              </w:rPr>
            </w:pPr>
            <w:r>
              <w:rPr>
                <w:rFonts w:cs="Arial"/>
                <w:sz w:val="20"/>
                <w:lang w:eastAsia="en-GB"/>
              </w:rPr>
              <w:t>-</w:t>
            </w:r>
          </w:p>
        </w:tc>
        <w:tc>
          <w:tcPr>
            <w:tcW w:w="1134" w:type="dxa"/>
            <w:tcBorders>
              <w:left w:val="nil"/>
              <w:bottom w:val="single" w:sz="4" w:space="0" w:color="auto"/>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w:t>
            </w:r>
          </w:p>
        </w:tc>
        <w:tc>
          <w:tcPr>
            <w:tcW w:w="1276" w:type="dxa"/>
            <w:tcBorders>
              <w:left w:val="nil"/>
              <w:bottom w:val="single" w:sz="4" w:space="0" w:color="auto"/>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6,525</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As at 31 March 201</w:t>
            </w:r>
            <w:r>
              <w:rPr>
                <w:rFonts w:cs="Arial"/>
                <w:sz w:val="20"/>
                <w:lang w:eastAsia="en-GB"/>
              </w:rPr>
              <w:t>7</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53,256</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21,</w:t>
            </w:r>
            <w:r w:rsidR="00AA094D">
              <w:rPr>
                <w:rFonts w:cs="Arial"/>
                <w:sz w:val="20"/>
                <w:lang w:eastAsia="en-GB"/>
              </w:rPr>
              <w:t>445</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100,</w:t>
            </w:r>
            <w:r w:rsidR="00AA094D">
              <w:rPr>
                <w:rFonts w:cs="Arial"/>
                <w:sz w:val="20"/>
                <w:lang w:eastAsia="en-GB"/>
              </w:rPr>
              <w:t>310</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p>
        </w:tc>
        <w:tc>
          <w:tcPr>
            <w:tcW w:w="1418" w:type="dxa"/>
            <w:tcBorders>
              <w:top w:val="nil"/>
              <w:left w:val="nil"/>
              <w:bottom w:val="nil"/>
              <w:right w:val="nil"/>
            </w:tcBorders>
            <w:shd w:val="clear" w:color="auto" w:fill="auto"/>
            <w:noWrap/>
            <w:vAlign w:val="bottom"/>
          </w:tcPr>
          <w:p w:rsidR="001B72DF" w:rsidRPr="00983509" w:rsidRDefault="001B72DF" w:rsidP="00C22F02">
            <w:pPr>
              <w:rPr>
                <w:rFonts w:cs="Arial"/>
                <w:sz w:val="20"/>
                <w:lang w:eastAsia="en-GB"/>
              </w:rPr>
            </w:pP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417"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b/>
                <w:bCs/>
                <w:sz w:val="20"/>
                <w:lang w:eastAsia="en-GB"/>
              </w:rPr>
              <w:t>Depreciation and impairments</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417"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At 1 April 201</w:t>
            </w:r>
            <w:r>
              <w:rPr>
                <w:rFonts w:cs="Arial"/>
                <w:sz w:val="20"/>
                <w:lang w:eastAsia="en-GB"/>
              </w:rPr>
              <w:t>6</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sidRPr="00983509">
              <w:rPr>
                <w:rFonts w:cs="Arial"/>
                <w:sz w:val="20"/>
                <w:lang w:eastAsia="en-GB"/>
              </w:rPr>
              <w:t>(2,</w:t>
            </w:r>
            <w:r>
              <w:rPr>
                <w:rFonts w:cs="Arial"/>
                <w:sz w:val="20"/>
                <w:lang w:eastAsia="en-GB"/>
              </w:rPr>
              <w:t>002</w:t>
            </w:r>
            <w:r w:rsidRPr="00983509">
              <w:rPr>
                <w:rFonts w:cs="Arial"/>
                <w:sz w:val="20"/>
                <w:lang w:eastAsia="en-GB"/>
              </w:rPr>
              <w:t>)</w:t>
            </w: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r>
              <w:rPr>
                <w:rFonts w:cs="Arial"/>
                <w:sz w:val="20"/>
                <w:lang w:eastAsia="en-GB"/>
              </w:rPr>
              <w:t>(535)</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sidRPr="00983509">
              <w:rPr>
                <w:rFonts w:cs="Arial"/>
                <w:sz w:val="20"/>
                <w:lang w:eastAsia="en-GB"/>
              </w:rPr>
              <w:t>(11,</w:t>
            </w:r>
            <w:r w:rsidR="00AA094D">
              <w:rPr>
                <w:rFonts w:cs="Arial"/>
                <w:sz w:val="20"/>
                <w:lang w:eastAsia="en-GB"/>
              </w:rPr>
              <w:t>874</w:t>
            </w:r>
            <w:r w:rsidRPr="00983509">
              <w:rPr>
                <w:rFonts w:cs="Arial"/>
                <w:sz w:val="20"/>
                <w:lang w:eastAsia="en-GB"/>
              </w:rPr>
              <w:t>)</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sidRPr="00983509">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sidRPr="00983509">
              <w:rPr>
                <w:rFonts w:cs="Arial"/>
                <w:sz w:val="20"/>
                <w:lang w:eastAsia="en-GB"/>
              </w:rPr>
              <w:t>(14,</w:t>
            </w:r>
            <w:r w:rsidR="00AA094D">
              <w:rPr>
                <w:rFonts w:cs="Arial"/>
                <w:sz w:val="20"/>
                <w:lang w:eastAsia="en-GB"/>
              </w:rPr>
              <w:t>410</w:t>
            </w:r>
            <w:r w:rsidRPr="00983509">
              <w:rPr>
                <w:rFonts w:cs="Arial"/>
                <w:sz w:val="20"/>
                <w:lang w:eastAsia="en-GB"/>
              </w:rPr>
              <w:t>)</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Depreciation charge for 201</w:t>
            </w:r>
            <w:r>
              <w:rPr>
                <w:rFonts w:cs="Arial"/>
                <w:sz w:val="20"/>
                <w:lang w:eastAsia="en-GB"/>
              </w:rPr>
              <w:t>6/17</w:t>
            </w:r>
          </w:p>
        </w:tc>
        <w:tc>
          <w:tcPr>
            <w:tcW w:w="1418" w:type="dxa"/>
            <w:tcBorders>
              <w:top w:val="nil"/>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(2,720)</w:t>
            </w:r>
          </w:p>
        </w:tc>
        <w:tc>
          <w:tcPr>
            <w:tcW w:w="1275" w:type="dxa"/>
            <w:tcBorders>
              <w:top w:val="nil"/>
              <w:left w:val="nil"/>
              <w:right w:val="nil"/>
            </w:tcBorders>
            <w:vAlign w:val="bottom"/>
          </w:tcPr>
          <w:p w:rsidR="001B72DF" w:rsidRDefault="001B72DF" w:rsidP="00C22F02">
            <w:pPr>
              <w:jc w:val="right"/>
              <w:rPr>
                <w:rFonts w:cs="Arial"/>
                <w:sz w:val="20"/>
                <w:lang w:eastAsia="en-GB"/>
              </w:rPr>
            </w:pPr>
            <w:r>
              <w:rPr>
                <w:rFonts w:cs="Arial"/>
                <w:sz w:val="20"/>
                <w:lang w:eastAsia="en-GB"/>
              </w:rPr>
              <w:t>(414)</w:t>
            </w:r>
          </w:p>
        </w:tc>
        <w:tc>
          <w:tcPr>
            <w:tcW w:w="1417" w:type="dxa"/>
            <w:tcBorders>
              <w:top w:val="nil"/>
              <w:left w:val="nil"/>
              <w:right w:val="nil"/>
            </w:tcBorders>
            <w:vAlign w:val="bottom"/>
          </w:tcPr>
          <w:p w:rsidR="001B72DF" w:rsidRPr="00983509" w:rsidRDefault="001B72DF" w:rsidP="00CA025A">
            <w:pPr>
              <w:jc w:val="right"/>
              <w:rPr>
                <w:rFonts w:cs="Arial"/>
                <w:sz w:val="20"/>
                <w:lang w:eastAsia="en-GB"/>
              </w:rPr>
            </w:pPr>
            <w:r>
              <w:rPr>
                <w:rFonts w:cs="Arial"/>
                <w:sz w:val="20"/>
                <w:lang w:eastAsia="en-GB"/>
              </w:rPr>
              <w:t>(1,</w:t>
            </w:r>
            <w:r w:rsidR="00AA094D">
              <w:rPr>
                <w:rFonts w:cs="Arial"/>
                <w:sz w:val="20"/>
                <w:lang w:eastAsia="en-GB"/>
              </w:rPr>
              <w:t>615</w:t>
            </w:r>
            <w:r>
              <w:rPr>
                <w:rFonts w:cs="Arial"/>
                <w:sz w:val="20"/>
                <w:lang w:eastAsia="en-GB"/>
              </w:rPr>
              <w:t>)</w:t>
            </w:r>
          </w:p>
        </w:tc>
        <w:tc>
          <w:tcPr>
            <w:tcW w:w="1134" w:type="dxa"/>
            <w:tcBorders>
              <w:top w:val="nil"/>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(4,</w:t>
            </w:r>
            <w:r w:rsidR="00AA094D">
              <w:rPr>
                <w:rFonts w:cs="Arial"/>
                <w:sz w:val="20"/>
                <w:lang w:eastAsia="en-GB"/>
              </w:rPr>
              <w:t>749</w:t>
            </w:r>
            <w:r>
              <w:rPr>
                <w:rFonts w:cs="Arial"/>
                <w:sz w:val="20"/>
                <w:lang w:eastAsia="en-GB"/>
              </w:rPr>
              <w:t>)</w:t>
            </w:r>
          </w:p>
        </w:tc>
      </w:tr>
      <w:tr w:rsidR="001B72DF" w:rsidRPr="00A60775" w:rsidTr="002F0370">
        <w:trPr>
          <w:trHeight w:val="299"/>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Disposals</w:t>
            </w:r>
          </w:p>
        </w:tc>
        <w:tc>
          <w:tcPr>
            <w:tcW w:w="1418" w:type="dxa"/>
            <w:tcBorders>
              <w:top w:val="nil"/>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5" w:type="dxa"/>
            <w:tcBorders>
              <w:top w:val="nil"/>
              <w:left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right w:val="nil"/>
            </w:tcBorders>
            <w:vAlign w:val="bottom"/>
          </w:tcPr>
          <w:p w:rsidR="001B72DF" w:rsidRPr="00983509" w:rsidRDefault="001B72DF" w:rsidP="00C22F02">
            <w:pPr>
              <w:jc w:val="right"/>
              <w:rPr>
                <w:rFonts w:cs="Arial"/>
                <w:sz w:val="20"/>
                <w:lang w:eastAsia="en-GB"/>
              </w:rPr>
            </w:pPr>
            <w:r>
              <w:rPr>
                <w:rFonts w:cs="Arial"/>
                <w:sz w:val="20"/>
                <w:lang w:eastAsia="en-GB"/>
              </w:rPr>
              <w:t>1,592</w:t>
            </w:r>
          </w:p>
        </w:tc>
        <w:tc>
          <w:tcPr>
            <w:tcW w:w="1134" w:type="dxa"/>
            <w:tcBorders>
              <w:top w:val="nil"/>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1,592</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Pr>
                <w:rFonts w:cs="Arial"/>
                <w:sz w:val="20"/>
                <w:lang w:eastAsia="en-GB"/>
              </w:rPr>
              <w:t>Revaluations</w:t>
            </w:r>
          </w:p>
        </w:tc>
        <w:tc>
          <w:tcPr>
            <w:tcW w:w="1418" w:type="dxa"/>
            <w:tcBorders>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4,573</w:t>
            </w:r>
          </w:p>
        </w:tc>
        <w:tc>
          <w:tcPr>
            <w:tcW w:w="1275" w:type="dxa"/>
            <w:tcBorders>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949</w:t>
            </w:r>
          </w:p>
        </w:tc>
        <w:tc>
          <w:tcPr>
            <w:tcW w:w="1417" w:type="dxa"/>
            <w:tcBorders>
              <w:left w:val="nil"/>
              <w:bottom w:val="nil"/>
              <w:right w:val="nil"/>
            </w:tcBorders>
            <w:vAlign w:val="bottom"/>
          </w:tcPr>
          <w:p w:rsidR="001B72DF" w:rsidRPr="00983509" w:rsidRDefault="001B72DF" w:rsidP="00C22F02">
            <w:pPr>
              <w:jc w:val="right"/>
              <w:rPr>
                <w:rFonts w:cs="Arial"/>
                <w:sz w:val="20"/>
                <w:lang w:eastAsia="en-GB"/>
              </w:rPr>
            </w:pPr>
            <w:r>
              <w:rPr>
                <w:rFonts w:cs="Arial"/>
                <w:sz w:val="20"/>
                <w:lang w:eastAsia="en-GB"/>
              </w:rPr>
              <w:t>-</w:t>
            </w:r>
          </w:p>
        </w:tc>
        <w:tc>
          <w:tcPr>
            <w:tcW w:w="1134" w:type="dxa"/>
            <w:tcBorders>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5,522</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E76B67" w:rsidRDefault="001B72DF" w:rsidP="00C22F02">
            <w:pPr>
              <w:ind w:left="175"/>
              <w:rPr>
                <w:rFonts w:cs="Arial"/>
                <w:sz w:val="20"/>
                <w:lang w:eastAsia="en-GB"/>
              </w:rPr>
            </w:pPr>
            <w:r w:rsidRPr="00E76B67">
              <w:rPr>
                <w:rFonts w:cs="Arial"/>
                <w:sz w:val="20"/>
                <w:lang w:eastAsia="en-GB"/>
              </w:rPr>
              <w:t>As at 31 March 201</w:t>
            </w:r>
            <w:r>
              <w:rPr>
                <w:rFonts w:cs="Arial"/>
                <w:sz w:val="20"/>
                <w:lang w:eastAsia="en-GB"/>
              </w:rPr>
              <w:t>7</w:t>
            </w:r>
          </w:p>
        </w:tc>
        <w:tc>
          <w:tcPr>
            <w:tcW w:w="1418" w:type="dxa"/>
            <w:tcBorders>
              <w:top w:val="single" w:sz="4" w:space="0" w:color="auto"/>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(149)</w:t>
            </w:r>
          </w:p>
        </w:tc>
        <w:tc>
          <w:tcPr>
            <w:tcW w:w="1275" w:type="dxa"/>
            <w:tcBorders>
              <w:top w:val="single" w:sz="4" w:space="0" w:color="auto"/>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top w:val="single" w:sz="4" w:space="0" w:color="auto"/>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(11,</w:t>
            </w:r>
            <w:r w:rsidR="00AA094D">
              <w:rPr>
                <w:rFonts w:cs="Arial"/>
                <w:sz w:val="20"/>
                <w:lang w:eastAsia="en-GB"/>
              </w:rPr>
              <w:t>897</w:t>
            </w:r>
            <w:r>
              <w:rPr>
                <w:rFonts w:cs="Arial"/>
                <w:sz w:val="20"/>
                <w:lang w:eastAsia="en-GB"/>
              </w:rPr>
              <w:t>)</w:t>
            </w:r>
          </w:p>
        </w:tc>
        <w:tc>
          <w:tcPr>
            <w:tcW w:w="1134" w:type="dxa"/>
            <w:tcBorders>
              <w:top w:val="single" w:sz="4" w:space="0" w:color="auto"/>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single" w:sz="4" w:space="0" w:color="auto"/>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w:t>
            </w:r>
            <w:r w:rsidR="00AA094D">
              <w:rPr>
                <w:rFonts w:cs="Arial"/>
                <w:sz w:val="20"/>
                <w:lang w:eastAsia="en-GB"/>
              </w:rPr>
              <w:t>12</w:t>
            </w:r>
            <w:r>
              <w:rPr>
                <w:rFonts w:cs="Arial"/>
                <w:sz w:val="20"/>
                <w:lang w:eastAsia="en-GB"/>
              </w:rPr>
              <w:t>,</w:t>
            </w:r>
            <w:r w:rsidR="00AA094D">
              <w:rPr>
                <w:rFonts w:cs="Arial"/>
                <w:sz w:val="20"/>
                <w:lang w:eastAsia="en-GB"/>
              </w:rPr>
              <w:t>046</w:t>
            </w:r>
            <w:r>
              <w:rPr>
                <w:rFonts w:cs="Arial"/>
                <w:sz w:val="20"/>
                <w:lang w:eastAsia="en-GB"/>
              </w:rPr>
              <w:t>)</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A60775" w:rsidRDefault="001B72DF" w:rsidP="00C22F02">
            <w:pPr>
              <w:ind w:left="175"/>
              <w:rPr>
                <w:rFonts w:cs="Arial"/>
                <w:sz w:val="20"/>
                <w:highlight w:val="cyan"/>
                <w:lang w:eastAsia="en-GB"/>
              </w:rPr>
            </w:pPr>
          </w:p>
        </w:tc>
        <w:tc>
          <w:tcPr>
            <w:tcW w:w="1418" w:type="dxa"/>
            <w:tcBorders>
              <w:top w:val="nil"/>
              <w:left w:val="nil"/>
              <w:bottom w:val="nil"/>
              <w:right w:val="nil"/>
            </w:tcBorders>
            <w:shd w:val="clear" w:color="auto" w:fill="auto"/>
            <w:noWrap/>
            <w:vAlign w:val="bottom"/>
          </w:tcPr>
          <w:p w:rsidR="001B72DF" w:rsidRPr="00983509" w:rsidRDefault="001B72DF" w:rsidP="00C22F02">
            <w:pPr>
              <w:rPr>
                <w:rFonts w:cs="Arial"/>
                <w:sz w:val="20"/>
                <w:lang w:eastAsia="en-GB"/>
              </w:rPr>
            </w:pP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417" w:type="dxa"/>
            <w:tcBorders>
              <w:top w:val="nil"/>
              <w:left w:val="nil"/>
              <w:bottom w:val="nil"/>
              <w:right w:val="nil"/>
            </w:tcBorders>
            <w:vAlign w:val="bottom"/>
          </w:tcPr>
          <w:p w:rsidR="001B72DF" w:rsidRPr="00983509" w:rsidRDefault="001B72DF" w:rsidP="00C22F02">
            <w:pPr>
              <w:jc w:val="right"/>
              <w:rPr>
                <w:rFonts w:cs="Arial"/>
                <w:sz w:val="20"/>
                <w:lang w:eastAsia="en-GB"/>
              </w:rPr>
            </w:pP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sz w:val="20"/>
                <w:lang w:eastAsia="en-GB"/>
              </w:rPr>
            </w:pPr>
            <w:r>
              <w:rPr>
                <w:rFonts w:cs="Arial"/>
                <w:sz w:val="20"/>
                <w:lang w:eastAsia="en-GB"/>
              </w:rPr>
              <w:t>Balance sheet at 31 March 2017</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53,107</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Pr>
                <w:rFonts w:cs="Arial"/>
                <w:sz w:val="20"/>
                <w:lang w:eastAsia="en-GB"/>
              </w:rPr>
              <w:t>9,</w:t>
            </w:r>
            <w:r w:rsidR="00AA094D">
              <w:rPr>
                <w:rFonts w:cs="Arial"/>
                <w:sz w:val="20"/>
                <w:lang w:eastAsia="en-GB"/>
              </w:rPr>
              <w:t>548</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88,</w:t>
            </w:r>
            <w:r w:rsidR="00AA094D">
              <w:rPr>
                <w:rFonts w:cs="Arial"/>
                <w:sz w:val="20"/>
                <w:lang w:eastAsia="en-GB"/>
              </w:rPr>
              <w:t>264</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sz w:val="20"/>
                <w:lang w:eastAsia="en-GB"/>
              </w:rPr>
            </w:pPr>
          </w:p>
        </w:tc>
        <w:tc>
          <w:tcPr>
            <w:tcW w:w="1418" w:type="dxa"/>
            <w:tcBorders>
              <w:top w:val="nil"/>
              <w:left w:val="nil"/>
              <w:bottom w:val="nil"/>
              <w:right w:val="nil"/>
            </w:tcBorders>
            <w:shd w:val="clear" w:color="auto" w:fill="auto"/>
            <w:noWrap/>
            <w:vAlign w:val="bottom"/>
          </w:tcPr>
          <w:p w:rsidR="001B72DF" w:rsidRPr="003F791B" w:rsidRDefault="001B72DF" w:rsidP="00C22F02">
            <w:pPr>
              <w:jc w:val="right"/>
              <w:rPr>
                <w:rFonts w:cs="Arial"/>
                <w:sz w:val="20"/>
                <w:lang w:eastAsia="en-GB"/>
              </w:rPr>
            </w:pPr>
          </w:p>
        </w:tc>
        <w:tc>
          <w:tcPr>
            <w:tcW w:w="1275" w:type="dxa"/>
            <w:tcBorders>
              <w:top w:val="nil"/>
              <w:left w:val="nil"/>
              <w:bottom w:val="nil"/>
              <w:right w:val="nil"/>
            </w:tcBorders>
            <w:vAlign w:val="bottom"/>
          </w:tcPr>
          <w:p w:rsidR="001B72DF" w:rsidRPr="003F791B" w:rsidRDefault="001B72DF" w:rsidP="00C22F02">
            <w:pPr>
              <w:jc w:val="right"/>
              <w:rPr>
                <w:rFonts w:cs="Arial"/>
                <w:sz w:val="20"/>
                <w:lang w:eastAsia="en-GB"/>
              </w:rPr>
            </w:pPr>
          </w:p>
        </w:tc>
        <w:tc>
          <w:tcPr>
            <w:tcW w:w="1417" w:type="dxa"/>
            <w:tcBorders>
              <w:top w:val="nil"/>
              <w:left w:val="nil"/>
              <w:bottom w:val="nil"/>
              <w:right w:val="nil"/>
            </w:tcBorders>
            <w:vAlign w:val="bottom"/>
          </w:tcPr>
          <w:p w:rsidR="001B72DF" w:rsidRPr="003F791B" w:rsidRDefault="001B72DF" w:rsidP="00C22F02">
            <w:pPr>
              <w:jc w:val="right"/>
              <w:rPr>
                <w:rFonts w:cs="Arial"/>
                <w:sz w:val="20"/>
                <w:lang w:eastAsia="en-GB"/>
              </w:rPr>
            </w:pPr>
          </w:p>
        </w:tc>
        <w:tc>
          <w:tcPr>
            <w:tcW w:w="1134" w:type="dxa"/>
            <w:tcBorders>
              <w:top w:val="nil"/>
              <w:left w:val="nil"/>
              <w:bottom w:val="nil"/>
              <w:right w:val="nil"/>
            </w:tcBorders>
            <w:shd w:val="clear" w:color="auto" w:fill="auto"/>
            <w:noWrap/>
            <w:vAlign w:val="bottom"/>
          </w:tcPr>
          <w:p w:rsidR="001B72DF" w:rsidRPr="00FD64A6"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F21C74" w:rsidRDefault="001B72DF" w:rsidP="00C22F02">
            <w:pPr>
              <w:jc w:val="right"/>
              <w:rPr>
                <w:rFonts w:cs="Arial"/>
                <w:sz w:val="20"/>
                <w:highlight w:val="yellow"/>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sz w:val="20"/>
                <w:lang w:eastAsia="en-GB"/>
              </w:rPr>
            </w:pPr>
            <w:r>
              <w:rPr>
                <w:rFonts w:cs="Arial"/>
                <w:sz w:val="20"/>
                <w:lang w:eastAsia="en-GB"/>
              </w:rPr>
              <w:t>Balance sheet at 31 March 2016</w:t>
            </w:r>
            <w:r w:rsidR="00AA094D">
              <w:rPr>
                <w:rFonts w:cs="Arial"/>
                <w:sz w:val="20"/>
                <w:lang w:eastAsia="en-GB"/>
              </w:rPr>
              <w:t xml:space="preserve"> – as restated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48,034</w:t>
            </w:r>
          </w:p>
        </w:tc>
        <w:tc>
          <w:tcPr>
            <w:tcW w:w="1275" w:type="dxa"/>
            <w:tcBorders>
              <w:top w:val="nil"/>
              <w:left w:val="nil"/>
              <w:bottom w:val="nil"/>
              <w:right w:val="nil"/>
            </w:tcBorders>
            <w:vAlign w:val="bottom"/>
          </w:tcPr>
          <w:p w:rsidR="001B72DF" w:rsidRPr="00983509" w:rsidRDefault="001B72DF" w:rsidP="00C22F02">
            <w:pPr>
              <w:jc w:val="right"/>
              <w:rPr>
                <w:rFonts w:cs="Arial"/>
                <w:sz w:val="20"/>
                <w:lang w:eastAsia="en-GB"/>
              </w:rPr>
            </w:pPr>
            <w:r>
              <w:rPr>
                <w:rFonts w:cs="Arial"/>
                <w:sz w:val="20"/>
                <w:lang w:eastAsia="en-GB"/>
              </w:rPr>
              <w:t>22,608</w:t>
            </w:r>
          </w:p>
        </w:tc>
        <w:tc>
          <w:tcPr>
            <w:tcW w:w="1417" w:type="dxa"/>
            <w:tcBorders>
              <w:top w:val="nil"/>
              <w:left w:val="nil"/>
              <w:bottom w:val="nil"/>
              <w:right w:val="nil"/>
            </w:tcBorders>
            <w:vAlign w:val="bottom"/>
          </w:tcPr>
          <w:p w:rsidR="001B72DF" w:rsidRPr="00983509" w:rsidRDefault="001B72DF" w:rsidP="00CA025A">
            <w:pPr>
              <w:jc w:val="right"/>
              <w:rPr>
                <w:rFonts w:cs="Arial"/>
                <w:sz w:val="20"/>
                <w:lang w:eastAsia="en-GB"/>
              </w:rPr>
            </w:pPr>
            <w:r w:rsidRPr="00983509">
              <w:rPr>
                <w:rFonts w:cs="Arial"/>
                <w:sz w:val="20"/>
                <w:lang w:eastAsia="en-GB"/>
              </w:rPr>
              <w:t>10,</w:t>
            </w:r>
            <w:r w:rsidR="00AA094D">
              <w:rPr>
                <w:rFonts w:cs="Arial"/>
                <w:sz w:val="20"/>
                <w:lang w:eastAsia="en-GB"/>
              </w:rPr>
              <w:t>508</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sidRPr="00983509">
              <w:rPr>
                <w:rFonts w:cs="Arial"/>
                <w:sz w:val="20"/>
                <w:lang w:eastAsia="en-GB"/>
              </w:rPr>
              <w:t>20</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sidRPr="00983509">
              <w:rPr>
                <w:rFonts w:cs="Arial"/>
                <w:sz w:val="20"/>
                <w:lang w:eastAsia="en-GB"/>
              </w:rPr>
              <w:t>81,</w:t>
            </w:r>
            <w:r w:rsidR="00AA094D">
              <w:rPr>
                <w:rFonts w:cs="Arial"/>
                <w:sz w:val="20"/>
                <w:lang w:eastAsia="en-GB"/>
              </w:rPr>
              <w:t>170</w:t>
            </w: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A60775" w:rsidRDefault="001B72DF" w:rsidP="00C22F02">
            <w:pPr>
              <w:ind w:left="175"/>
              <w:rPr>
                <w:rFonts w:cs="Arial"/>
                <w:sz w:val="20"/>
                <w:highlight w:val="cyan"/>
                <w:lang w:eastAsia="en-GB"/>
              </w:rPr>
            </w:pPr>
          </w:p>
        </w:tc>
        <w:tc>
          <w:tcPr>
            <w:tcW w:w="1418" w:type="dxa"/>
            <w:tcBorders>
              <w:top w:val="nil"/>
              <w:left w:val="nil"/>
              <w:bottom w:val="nil"/>
              <w:right w:val="nil"/>
            </w:tcBorders>
            <w:shd w:val="clear" w:color="auto" w:fill="auto"/>
            <w:noWrap/>
            <w:vAlign w:val="bottom"/>
          </w:tcPr>
          <w:p w:rsidR="001B72DF" w:rsidRPr="00F21C74" w:rsidRDefault="001B72DF" w:rsidP="00C22F02">
            <w:pPr>
              <w:rPr>
                <w:rFonts w:cs="Arial"/>
                <w:sz w:val="20"/>
                <w:highlight w:val="yellow"/>
                <w:lang w:eastAsia="en-GB"/>
              </w:rPr>
            </w:pPr>
          </w:p>
        </w:tc>
        <w:tc>
          <w:tcPr>
            <w:tcW w:w="1275" w:type="dxa"/>
            <w:tcBorders>
              <w:top w:val="nil"/>
              <w:left w:val="nil"/>
              <w:bottom w:val="nil"/>
              <w:right w:val="nil"/>
            </w:tcBorders>
            <w:vAlign w:val="bottom"/>
          </w:tcPr>
          <w:p w:rsidR="001B72DF" w:rsidRPr="00F21C74" w:rsidRDefault="001B72DF" w:rsidP="00C22F02">
            <w:pPr>
              <w:jc w:val="right"/>
              <w:rPr>
                <w:rFonts w:cs="Arial"/>
                <w:sz w:val="20"/>
                <w:highlight w:val="yellow"/>
                <w:lang w:eastAsia="en-GB"/>
              </w:rPr>
            </w:pPr>
          </w:p>
        </w:tc>
        <w:tc>
          <w:tcPr>
            <w:tcW w:w="1417" w:type="dxa"/>
            <w:tcBorders>
              <w:top w:val="nil"/>
              <w:left w:val="nil"/>
              <w:bottom w:val="nil"/>
              <w:right w:val="nil"/>
            </w:tcBorders>
            <w:vAlign w:val="bottom"/>
          </w:tcPr>
          <w:p w:rsidR="001B72DF" w:rsidRPr="00F21C74" w:rsidRDefault="001B72DF" w:rsidP="00C22F02">
            <w:pPr>
              <w:jc w:val="right"/>
              <w:rPr>
                <w:rFonts w:cs="Arial"/>
                <w:sz w:val="20"/>
                <w:highlight w:val="yellow"/>
                <w:lang w:eastAsia="en-GB"/>
              </w:rPr>
            </w:pPr>
          </w:p>
        </w:tc>
        <w:tc>
          <w:tcPr>
            <w:tcW w:w="1134" w:type="dxa"/>
            <w:tcBorders>
              <w:top w:val="nil"/>
              <w:left w:val="nil"/>
              <w:bottom w:val="nil"/>
              <w:right w:val="nil"/>
            </w:tcBorders>
            <w:shd w:val="clear" w:color="auto" w:fill="auto"/>
            <w:noWrap/>
            <w:vAlign w:val="bottom"/>
          </w:tcPr>
          <w:p w:rsidR="001B72DF" w:rsidRPr="00FD64A6"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F21C74" w:rsidRDefault="001B72DF" w:rsidP="00C22F02">
            <w:pPr>
              <w:jc w:val="right"/>
              <w:rPr>
                <w:rFonts w:cs="Arial"/>
                <w:sz w:val="20"/>
                <w:highlight w:val="yellow"/>
                <w:lang w:eastAsia="en-GB"/>
              </w:rPr>
            </w:pPr>
          </w:p>
        </w:tc>
      </w:tr>
      <w:tr w:rsidR="001B72DF" w:rsidRPr="00A60775" w:rsidTr="002F0370">
        <w:trPr>
          <w:trHeight w:val="255"/>
        </w:trPr>
        <w:tc>
          <w:tcPr>
            <w:tcW w:w="3827" w:type="dxa"/>
            <w:tcBorders>
              <w:top w:val="nil"/>
              <w:left w:val="nil"/>
              <w:bottom w:val="nil"/>
              <w:right w:val="nil"/>
            </w:tcBorders>
            <w:shd w:val="clear" w:color="auto" w:fill="auto"/>
            <w:noWrap/>
            <w:vAlign w:val="bottom"/>
          </w:tcPr>
          <w:p w:rsidR="001B72DF" w:rsidRPr="005A4CB4" w:rsidRDefault="001B72DF" w:rsidP="00C22F02">
            <w:pPr>
              <w:ind w:left="175"/>
              <w:rPr>
                <w:rFonts w:cs="Arial"/>
                <w:b/>
                <w:bCs/>
                <w:sz w:val="20"/>
                <w:lang w:eastAsia="en-GB"/>
              </w:rPr>
            </w:pPr>
            <w:r w:rsidRPr="005A4CB4">
              <w:rPr>
                <w:rFonts w:cs="Arial"/>
                <w:b/>
                <w:bCs/>
                <w:sz w:val="20"/>
                <w:lang w:eastAsia="en-GB"/>
              </w:rPr>
              <w:t>Nature of asset holding</w:t>
            </w:r>
          </w:p>
        </w:tc>
        <w:tc>
          <w:tcPr>
            <w:tcW w:w="1418" w:type="dxa"/>
            <w:tcBorders>
              <w:top w:val="nil"/>
              <w:left w:val="nil"/>
              <w:bottom w:val="nil"/>
              <w:right w:val="nil"/>
            </w:tcBorders>
            <w:shd w:val="clear" w:color="auto" w:fill="auto"/>
            <w:noWrap/>
            <w:vAlign w:val="bottom"/>
          </w:tcPr>
          <w:p w:rsidR="001B72DF" w:rsidRPr="00F21C74" w:rsidRDefault="001B72DF" w:rsidP="00C22F02">
            <w:pPr>
              <w:rPr>
                <w:rFonts w:cs="Arial"/>
                <w:sz w:val="20"/>
                <w:highlight w:val="yellow"/>
                <w:lang w:eastAsia="en-GB"/>
              </w:rPr>
            </w:pPr>
          </w:p>
        </w:tc>
        <w:tc>
          <w:tcPr>
            <w:tcW w:w="1275" w:type="dxa"/>
            <w:tcBorders>
              <w:top w:val="nil"/>
              <w:left w:val="nil"/>
              <w:bottom w:val="nil"/>
              <w:right w:val="nil"/>
            </w:tcBorders>
            <w:vAlign w:val="bottom"/>
          </w:tcPr>
          <w:p w:rsidR="001B72DF" w:rsidRPr="00F21C74" w:rsidRDefault="001B72DF" w:rsidP="00C22F02">
            <w:pPr>
              <w:jc w:val="right"/>
              <w:rPr>
                <w:rFonts w:cs="Arial"/>
                <w:sz w:val="20"/>
                <w:highlight w:val="yellow"/>
                <w:lang w:eastAsia="en-GB"/>
              </w:rPr>
            </w:pPr>
          </w:p>
        </w:tc>
        <w:tc>
          <w:tcPr>
            <w:tcW w:w="1417" w:type="dxa"/>
            <w:tcBorders>
              <w:top w:val="nil"/>
              <w:left w:val="nil"/>
              <w:bottom w:val="nil"/>
              <w:right w:val="nil"/>
            </w:tcBorders>
            <w:vAlign w:val="bottom"/>
          </w:tcPr>
          <w:p w:rsidR="001B72DF" w:rsidRPr="00F21C74" w:rsidRDefault="001B72DF" w:rsidP="00C22F02">
            <w:pPr>
              <w:jc w:val="right"/>
              <w:rPr>
                <w:rFonts w:cs="Arial"/>
                <w:sz w:val="20"/>
                <w:highlight w:val="yellow"/>
                <w:lang w:eastAsia="en-GB"/>
              </w:rPr>
            </w:pPr>
          </w:p>
        </w:tc>
        <w:tc>
          <w:tcPr>
            <w:tcW w:w="1134" w:type="dxa"/>
            <w:tcBorders>
              <w:top w:val="nil"/>
              <w:left w:val="nil"/>
              <w:bottom w:val="nil"/>
              <w:right w:val="nil"/>
            </w:tcBorders>
            <w:shd w:val="clear" w:color="auto" w:fill="auto"/>
            <w:noWrap/>
            <w:vAlign w:val="bottom"/>
          </w:tcPr>
          <w:p w:rsidR="001B72DF" w:rsidRPr="00FD64A6" w:rsidRDefault="001B72DF" w:rsidP="00C22F02">
            <w:pPr>
              <w:jc w:val="right"/>
              <w:rPr>
                <w:rFonts w:cs="Arial"/>
                <w:sz w:val="20"/>
                <w:lang w:eastAsia="en-GB"/>
              </w:rPr>
            </w:pPr>
          </w:p>
        </w:tc>
        <w:tc>
          <w:tcPr>
            <w:tcW w:w="1276" w:type="dxa"/>
            <w:tcBorders>
              <w:top w:val="nil"/>
              <w:left w:val="nil"/>
              <w:bottom w:val="nil"/>
              <w:right w:val="nil"/>
            </w:tcBorders>
            <w:shd w:val="clear" w:color="auto" w:fill="auto"/>
            <w:noWrap/>
            <w:vAlign w:val="bottom"/>
          </w:tcPr>
          <w:p w:rsidR="001B72DF" w:rsidRPr="00F21C74" w:rsidRDefault="001B72DF" w:rsidP="00C22F02">
            <w:pPr>
              <w:jc w:val="right"/>
              <w:rPr>
                <w:rFonts w:cs="Arial"/>
                <w:sz w:val="20"/>
                <w:highlight w:val="yellow"/>
                <w:lang w:eastAsia="en-GB"/>
              </w:rPr>
            </w:pPr>
          </w:p>
        </w:tc>
      </w:tr>
      <w:tr w:rsidR="001B72DF" w:rsidRPr="00983509" w:rsidTr="002F0370">
        <w:trPr>
          <w:trHeight w:val="255"/>
        </w:trPr>
        <w:tc>
          <w:tcPr>
            <w:tcW w:w="3827" w:type="dxa"/>
            <w:tcBorders>
              <w:top w:val="nil"/>
              <w:left w:val="nil"/>
              <w:bottom w:val="nil"/>
              <w:right w:val="nil"/>
            </w:tcBorders>
            <w:shd w:val="clear" w:color="auto" w:fill="auto"/>
            <w:noWrap/>
            <w:vAlign w:val="bottom"/>
          </w:tcPr>
          <w:p w:rsidR="001B72DF" w:rsidRPr="00983509" w:rsidRDefault="001B72DF" w:rsidP="00C22F02">
            <w:pPr>
              <w:ind w:left="175"/>
              <w:rPr>
                <w:rFonts w:cs="Arial"/>
                <w:sz w:val="20"/>
                <w:lang w:eastAsia="en-GB"/>
              </w:rPr>
            </w:pPr>
            <w:r w:rsidRPr="00983509">
              <w:rPr>
                <w:rFonts w:cs="Arial"/>
                <w:sz w:val="20"/>
                <w:lang w:eastAsia="en-GB"/>
              </w:rPr>
              <w:t>Owned</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52,727</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bottom w:val="nil"/>
              <w:right w:val="nil"/>
            </w:tcBorders>
            <w:shd w:val="clear" w:color="auto" w:fill="auto"/>
            <w:vAlign w:val="bottom"/>
          </w:tcPr>
          <w:p w:rsidR="001B72DF" w:rsidRPr="00983509" w:rsidRDefault="001B72DF" w:rsidP="00CA025A">
            <w:pPr>
              <w:jc w:val="right"/>
              <w:rPr>
                <w:rFonts w:cs="Arial"/>
                <w:sz w:val="20"/>
                <w:lang w:eastAsia="en-GB"/>
              </w:rPr>
            </w:pPr>
            <w:r>
              <w:rPr>
                <w:rFonts w:cs="Arial"/>
                <w:sz w:val="20"/>
                <w:lang w:eastAsia="en-GB"/>
              </w:rPr>
              <w:t>9,</w:t>
            </w:r>
            <w:r w:rsidR="00AA094D">
              <w:rPr>
                <w:rFonts w:cs="Arial"/>
                <w:sz w:val="20"/>
                <w:lang w:eastAsia="en-GB"/>
              </w:rPr>
              <w:t>500</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 xml:space="preserve"> 62,</w:t>
            </w:r>
            <w:r w:rsidR="00AA094D">
              <w:rPr>
                <w:rFonts w:cs="Arial"/>
                <w:sz w:val="20"/>
                <w:lang w:eastAsia="en-GB"/>
              </w:rPr>
              <w:t>226</w:t>
            </w:r>
          </w:p>
        </w:tc>
      </w:tr>
      <w:tr w:rsidR="001B72DF" w:rsidRPr="00983509" w:rsidTr="002F0370">
        <w:trPr>
          <w:trHeight w:val="255"/>
        </w:trPr>
        <w:tc>
          <w:tcPr>
            <w:tcW w:w="3827" w:type="dxa"/>
            <w:tcBorders>
              <w:top w:val="nil"/>
              <w:left w:val="nil"/>
              <w:bottom w:val="nil"/>
              <w:right w:val="nil"/>
            </w:tcBorders>
            <w:shd w:val="clear" w:color="auto" w:fill="auto"/>
            <w:noWrap/>
            <w:vAlign w:val="bottom"/>
          </w:tcPr>
          <w:p w:rsidR="001B72DF" w:rsidRPr="00983509" w:rsidRDefault="001B72DF" w:rsidP="00C22F02">
            <w:pPr>
              <w:ind w:left="175"/>
              <w:rPr>
                <w:rFonts w:cs="Arial"/>
                <w:sz w:val="20"/>
                <w:lang w:eastAsia="en-GB"/>
              </w:rPr>
            </w:pPr>
            <w:r w:rsidRPr="00983509">
              <w:rPr>
                <w:rFonts w:cs="Arial"/>
                <w:sz w:val="20"/>
                <w:lang w:eastAsia="en-GB"/>
              </w:rPr>
              <w:t>Finance lease</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380</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w:t>
            </w:r>
          </w:p>
        </w:tc>
        <w:tc>
          <w:tcPr>
            <w:tcW w:w="1417" w:type="dxa"/>
            <w:tcBorders>
              <w:top w:val="nil"/>
              <w:left w:val="nil"/>
              <w:bottom w:val="nil"/>
              <w:right w:val="nil"/>
            </w:tcBorders>
            <w:shd w:val="clear" w:color="auto" w:fill="auto"/>
            <w:vAlign w:val="bottom"/>
          </w:tcPr>
          <w:p w:rsidR="001B72DF" w:rsidRPr="00983509" w:rsidRDefault="001B72DF" w:rsidP="00C22F02">
            <w:pPr>
              <w:jc w:val="right"/>
              <w:rPr>
                <w:rFonts w:cs="Arial"/>
                <w:sz w:val="20"/>
                <w:lang w:eastAsia="en-GB"/>
              </w:rPr>
            </w:pPr>
            <w:r>
              <w:rPr>
                <w:rFonts w:cs="Arial"/>
                <w:sz w:val="20"/>
                <w:lang w:eastAsia="en-GB"/>
              </w:rPr>
              <w:t>48</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428</w:t>
            </w:r>
          </w:p>
        </w:tc>
      </w:tr>
      <w:tr w:rsidR="001B72DF" w:rsidRPr="00983509" w:rsidTr="002F0370">
        <w:trPr>
          <w:trHeight w:val="255"/>
        </w:trPr>
        <w:tc>
          <w:tcPr>
            <w:tcW w:w="3827" w:type="dxa"/>
            <w:tcBorders>
              <w:top w:val="nil"/>
              <w:left w:val="nil"/>
              <w:bottom w:val="nil"/>
              <w:right w:val="nil"/>
            </w:tcBorders>
            <w:shd w:val="clear" w:color="auto" w:fill="auto"/>
            <w:noWrap/>
            <w:vAlign w:val="bottom"/>
          </w:tcPr>
          <w:p w:rsidR="001B72DF" w:rsidRPr="00983509" w:rsidRDefault="001B72DF" w:rsidP="00C22F02">
            <w:pPr>
              <w:ind w:left="175"/>
              <w:rPr>
                <w:rFonts w:cs="Arial"/>
                <w:sz w:val="20"/>
                <w:lang w:eastAsia="en-GB"/>
              </w:rPr>
            </w:pPr>
            <w:r w:rsidRPr="00983509">
              <w:rPr>
                <w:rFonts w:cs="Arial"/>
                <w:sz w:val="20"/>
                <w:lang w:eastAsia="en-GB"/>
              </w:rPr>
              <w:t>PFI</w:t>
            </w:r>
          </w:p>
        </w:tc>
        <w:tc>
          <w:tcPr>
            <w:tcW w:w="1418"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5" w:type="dxa"/>
            <w:tcBorders>
              <w:top w:val="nil"/>
              <w:left w:val="nil"/>
              <w:bottom w:val="nil"/>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nil"/>
              <w:left w:val="nil"/>
              <w:bottom w:val="nil"/>
              <w:right w:val="nil"/>
            </w:tcBorders>
            <w:shd w:val="clear" w:color="auto" w:fill="auto"/>
            <w:vAlign w:val="bottom"/>
          </w:tcPr>
          <w:p w:rsidR="001B72DF" w:rsidRPr="00983509" w:rsidRDefault="001B72DF" w:rsidP="00C22F02">
            <w:pPr>
              <w:jc w:val="right"/>
              <w:rPr>
                <w:rFonts w:cs="Arial"/>
                <w:sz w:val="20"/>
                <w:lang w:eastAsia="en-GB"/>
              </w:rPr>
            </w:pPr>
            <w:r>
              <w:rPr>
                <w:rFonts w:cs="Arial"/>
                <w:sz w:val="20"/>
                <w:lang w:eastAsia="en-GB"/>
              </w:rPr>
              <w:t>-</w:t>
            </w:r>
          </w:p>
        </w:tc>
        <w:tc>
          <w:tcPr>
            <w:tcW w:w="1134"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nil"/>
              <w:left w:val="nil"/>
              <w:bottom w:val="nil"/>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25,610</w:t>
            </w:r>
          </w:p>
        </w:tc>
      </w:tr>
      <w:tr w:rsidR="001B72DF" w:rsidRPr="00983509" w:rsidTr="002F0370">
        <w:trPr>
          <w:trHeight w:val="270"/>
        </w:trPr>
        <w:tc>
          <w:tcPr>
            <w:tcW w:w="3827" w:type="dxa"/>
            <w:tcBorders>
              <w:top w:val="nil"/>
              <w:left w:val="nil"/>
              <w:bottom w:val="nil"/>
              <w:right w:val="nil"/>
            </w:tcBorders>
            <w:shd w:val="clear" w:color="auto" w:fill="auto"/>
            <w:noWrap/>
            <w:vAlign w:val="bottom"/>
          </w:tcPr>
          <w:p w:rsidR="001B72DF" w:rsidRPr="00983509" w:rsidRDefault="001B72DF" w:rsidP="00C22F02">
            <w:pPr>
              <w:ind w:left="175"/>
              <w:rPr>
                <w:rFonts w:cs="Arial"/>
                <w:sz w:val="20"/>
                <w:lang w:eastAsia="en-GB"/>
              </w:rPr>
            </w:pPr>
          </w:p>
        </w:tc>
        <w:tc>
          <w:tcPr>
            <w:tcW w:w="1418" w:type="dxa"/>
            <w:tcBorders>
              <w:top w:val="single" w:sz="4" w:space="0" w:color="auto"/>
              <w:left w:val="nil"/>
              <w:bottom w:val="double" w:sz="6" w:space="0" w:color="auto"/>
              <w:right w:val="nil"/>
            </w:tcBorders>
            <w:shd w:val="clear" w:color="auto" w:fill="auto"/>
            <w:noWrap/>
            <w:vAlign w:val="bottom"/>
          </w:tcPr>
          <w:p w:rsidR="001B72DF" w:rsidRPr="00983509" w:rsidRDefault="001B72DF" w:rsidP="00C22F02">
            <w:pPr>
              <w:pStyle w:val="CommentText"/>
              <w:jc w:val="right"/>
              <w:rPr>
                <w:rFonts w:cs="Arial"/>
                <w:lang w:eastAsia="en-GB"/>
              </w:rPr>
            </w:pPr>
            <w:r>
              <w:rPr>
                <w:rFonts w:cs="Arial"/>
                <w:lang w:eastAsia="en-GB"/>
              </w:rPr>
              <w:t>53,107</w:t>
            </w:r>
          </w:p>
        </w:tc>
        <w:tc>
          <w:tcPr>
            <w:tcW w:w="1275" w:type="dxa"/>
            <w:tcBorders>
              <w:top w:val="single" w:sz="4" w:space="0" w:color="auto"/>
              <w:left w:val="nil"/>
              <w:bottom w:val="double" w:sz="6" w:space="0" w:color="auto"/>
              <w:right w:val="nil"/>
            </w:tcBorders>
            <w:vAlign w:val="bottom"/>
          </w:tcPr>
          <w:p w:rsidR="001B72DF" w:rsidRDefault="001B72DF" w:rsidP="00C22F02">
            <w:pPr>
              <w:jc w:val="right"/>
              <w:rPr>
                <w:rFonts w:cs="Arial"/>
                <w:sz w:val="20"/>
                <w:lang w:eastAsia="en-GB"/>
              </w:rPr>
            </w:pPr>
            <w:r>
              <w:rPr>
                <w:rFonts w:cs="Arial"/>
                <w:sz w:val="20"/>
                <w:lang w:eastAsia="en-GB"/>
              </w:rPr>
              <w:t>25,610</w:t>
            </w:r>
          </w:p>
        </w:tc>
        <w:tc>
          <w:tcPr>
            <w:tcW w:w="1417" w:type="dxa"/>
            <w:tcBorders>
              <w:top w:val="single" w:sz="4" w:space="0" w:color="auto"/>
              <w:left w:val="nil"/>
              <w:bottom w:val="double" w:sz="6" w:space="0" w:color="auto"/>
              <w:right w:val="nil"/>
            </w:tcBorders>
            <w:shd w:val="clear" w:color="auto" w:fill="auto"/>
            <w:vAlign w:val="bottom"/>
          </w:tcPr>
          <w:p w:rsidR="001B72DF" w:rsidRPr="00983509" w:rsidRDefault="001B72DF" w:rsidP="00CA025A">
            <w:pPr>
              <w:jc w:val="right"/>
              <w:rPr>
                <w:rFonts w:cs="Arial"/>
                <w:sz w:val="20"/>
                <w:lang w:eastAsia="en-GB"/>
              </w:rPr>
            </w:pPr>
            <w:r>
              <w:rPr>
                <w:rFonts w:cs="Arial"/>
                <w:sz w:val="20"/>
                <w:lang w:eastAsia="en-GB"/>
              </w:rPr>
              <w:t>9,</w:t>
            </w:r>
            <w:r w:rsidR="00AA094D">
              <w:rPr>
                <w:rFonts w:cs="Arial"/>
                <w:sz w:val="20"/>
                <w:lang w:eastAsia="en-GB"/>
              </w:rPr>
              <w:t>548</w:t>
            </w:r>
          </w:p>
        </w:tc>
        <w:tc>
          <w:tcPr>
            <w:tcW w:w="1134" w:type="dxa"/>
            <w:tcBorders>
              <w:top w:val="single" w:sz="4" w:space="0" w:color="auto"/>
              <w:left w:val="nil"/>
              <w:bottom w:val="double" w:sz="6" w:space="0" w:color="auto"/>
              <w:right w:val="nil"/>
            </w:tcBorders>
            <w:shd w:val="clear" w:color="auto" w:fill="auto"/>
            <w:noWrap/>
            <w:vAlign w:val="bottom"/>
          </w:tcPr>
          <w:p w:rsidR="001B72DF" w:rsidRPr="00983509" w:rsidRDefault="001B72DF" w:rsidP="00C22F02">
            <w:pPr>
              <w:jc w:val="right"/>
              <w:rPr>
                <w:rFonts w:cs="Arial"/>
                <w:sz w:val="20"/>
                <w:lang w:eastAsia="en-GB"/>
              </w:rPr>
            </w:pPr>
            <w:r>
              <w:rPr>
                <w:rFonts w:cs="Arial"/>
                <w:sz w:val="20"/>
                <w:lang w:eastAsia="en-GB"/>
              </w:rPr>
              <w:t>-</w:t>
            </w:r>
          </w:p>
        </w:tc>
        <w:tc>
          <w:tcPr>
            <w:tcW w:w="1276" w:type="dxa"/>
            <w:tcBorders>
              <w:top w:val="single" w:sz="4" w:space="0" w:color="auto"/>
              <w:left w:val="nil"/>
              <w:bottom w:val="double" w:sz="6" w:space="0" w:color="auto"/>
              <w:right w:val="nil"/>
            </w:tcBorders>
            <w:shd w:val="clear" w:color="auto" w:fill="auto"/>
            <w:noWrap/>
            <w:vAlign w:val="bottom"/>
          </w:tcPr>
          <w:p w:rsidR="001B72DF" w:rsidRPr="00983509" w:rsidRDefault="001B72DF" w:rsidP="00CA025A">
            <w:pPr>
              <w:jc w:val="right"/>
              <w:rPr>
                <w:rFonts w:cs="Arial"/>
                <w:sz w:val="20"/>
                <w:lang w:eastAsia="en-GB"/>
              </w:rPr>
            </w:pPr>
            <w:r>
              <w:rPr>
                <w:rFonts w:cs="Arial"/>
                <w:sz w:val="20"/>
                <w:lang w:eastAsia="en-GB"/>
              </w:rPr>
              <w:t>88,</w:t>
            </w:r>
            <w:r w:rsidR="00AA094D">
              <w:rPr>
                <w:rFonts w:cs="Arial"/>
                <w:sz w:val="20"/>
                <w:lang w:eastAsia="en-GB"/>
              </w:rPr>
              <w:t>264</w:t>
            </w:r>
          </w:p>
        </w:tc>
      </w:tr>
    </w:tbl>
    <w:p w:rsidR="00675076" w:rsidRDefault="00675076" w:rsidP="002F0370">
      <w:pPr>
        <w:pStyle w:val="BodyTextIndent"/>
        <w:ind w:left="0"/>
        <w:jc w:val="both"/>
        <w:rPr>
          <w:b/>
          <w:sz w:val="22"/>
          <w:highlight w:val="cyan"/>
          <w:lang w:val="en-GB"/>
        </w:rPr>
      </w:pPr>
    </w:p>
    <w:p w:rsidR="00C5659D" w:rsidRPr="00C5659D" w:rsidRDefault="00C5659D" w:rsidP="00C5659D">
      <w:pPr>
        <w:pStyle w:val="BodyTextIndent"/>
        <w:rPr>
          <w:b/>
          <w:sz w:val="22"/>
          <w:lang w:val="en-GB"/>
        </w:rPr>
      </w:pPr>
      <w:r w:rsidRPr="00C5659D">
        <w:rPr>
          <w:b/>
          <w:sz w:val="22"/>
          <w:lang w:val="en-GB"/>
        </w:rPr>
        <w:t>Heritage Assets</w:t>
      </w:r>
    </w:p>
    <w:p w:rsidR="00C5659D" w:rsidRPr="00C5659D" w:rsidRDefault="00C5659D" w:rsidP="00C5659D">
      <w:pPr>
        <w:pStyle w:val="BodyTextIndent"/>
        <w:rPr>
          <w:b/>
          <w:sz w:val="22"/>
          <w:lang w:val="en-GB"/>
        </w:rPr>
      </w:pPr>
    </w:p>
    <w:p w:rsidR="00C5659D" w:rsidRDefault="00C5659D" w:rsidP="00C5659D">
      <w:pPr>
        <w:pStyle w:val="BodyTextIndent"/>
        <w:jc w:val="both"/>
        <w:rPr>
          <w:sz w:val="22"/>
          <w:lang w:val="en-GB"/>
        </w:rPr>
      </w:pPr>
      <w:r w:rsidRPr="00C5659D">
        <w:rPr>
          <w:sz w:val="22"/>
          <w:lang w:val="en-GB"/>
        </w:rPr>
        <w:t xml:space="preserve">The Authority </w:t>
      </w:r>
      <w:r>
        <w:rPr>
          <w:sz w:val="22"/>
          <w:lang w:val="en-GB"/>
        </w:rPr>
        <w:t xml:space="preserve">holds several heritage assets, in the form of both fire memorabilia such as antique fire extinguishers, and </w:t>
      </w:r>
      <w:r w:rsidRPr="00771930">
        <w:rPr>
          <w:sz w:val="22"/>
          <w:lang w:val="en-GB"/>
        </w:rPr>
        <w:t>also two vintage fire appliances</w:t>
      </w:r>
      <w:r w:rsidRPr="00B03EFF">
        <w:rPr>
          <w:sz w:val="22"/>
          <w:lang w:val="en-GB"/>
        </w:rPr>
        <w:t>.  Due</w:t>
      </w:r>
      <w:r>
        <w:rPr>
          <w:sz w:val="22"/>
          <w:lang w:val="en-GB"/>
        </w:rPr>
        <w:t xml:space="preserve"> to the nature of these assets, it is not possible to market test the value of these, therefore they are not included in the Property, Plant and Equipment note.</w:t>
      </w:r>
    </w:p>
    <w:p w:rsidR="00D90216" w:rsidRPr="00A27D28" w:rsidRDefault="00C5659D" w:rsidP="00C5659D">
      <w:pPr>
        <w:pStyle w:val="BodyTextIndent"/>
        <w:jc w:val="both"/>
        <w:rPr>
          <w:b/>
          <w:sz w:val="22"/>
          <w:highlight w:val="cyan"/>
          <w:lang w:val="en-GB"/>
        </w:rPr>
      </w:pPr>
      <w:r w:rsidRPr="00C5659D">
        <w:rPr>
          <w:sz w:val="22"/>
          <w:lang w:val="en-GB"/>
        </w:rPr>
        <w:t xml:space="preserve"> </w:t>
      </w:r>
      <w:r w:rsidR="00D90216" w:rsidRPr="005024AA">
        <w:rPr>
          <w:b/>
          <w:sz w:val="22"/>
          <w:lang w:val="en-GB"/>
        </w:rPr>
        <w:t>Capital Expenditure</w:t>
      </w:r>
    </w:p>
    <w:p w:rsidR="00D90216" w:rsidRPr="005024AA" w:rsidRDefault="00D90216" w:rsidP="00D90216">
      <w:pPr>
        <w:pStyle w:val="BodyTextIndent"/>
        <w:rPr>
          <w:sz w:val="22"/>
          <w:lang w:val="en-GB"/>
        </w:rPr>
      </w:pPr>
    </w:p>
    <w:p w:rsidR="00D90216" w:rsidRDefault="00D90216" w:rsidP="00D90216">
      <w:pPr>
        <w:tabs>
          <w:tab w:val="left" w:pos="720"/>
          <w:tab w:val="right" w:pos="7200"/>
        </w:tabs>
        <w:ind w:left="720"/>
        <w:jc w:val="both"/>
        <w:rPr>
          <w:sz w:val="22"/>
        </w:rPr>
      </w:pPr>
      <w:r>
        <w:rPr>
          <w:sz w:val="22"/>
        </w:rPr>
        <w:t>The total capital expenditure in 201</w:t>
      </w:r>
      <w:r w:rsidR="0051757A">
        <w:rPr>
          <w:sz w:val="22"/>
        </w:rPr>
        <w:t>7</w:t>
      </w:r>
      <w:r w:rsidR="002C5D98">
        <w:rPr>
          <w:sz w:val="22"/>
        </w:rPr>
        <w:t>/1</w:t>
      </w:r>
      <w:r w:rsidR="0051757A">
        <w:rPr>
          <w:sz w:val="22"/>
        </w:rPr>
        <w:t>8</w:t>
      </w:r>
      <w:r>
        <w:rPr>
          <w:sz w:val="22"/>
        </w:rPr>
        <w:t xml:space="preserve">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in the second part of this note.</w:t>
      </w:r>
    </w:p>
    <w:p w:rsidR="00D90216" w:rsidRPr="005024AA" w:rsidRDefault="00D90216" w:rsidP="00D90216">
      <w:pPr>
        <w:tabs>
          <w:tab w:val="left" w:pos="720"/>
          <w:tab w:val="right" w:pos="7200"/>
        </w:tabs>
        <w:ind w:left="720"/>
        <w:jc w:val="both"/>
        <w:rPr>
          <w:sz w:val="22"/>
        </w:rPr>
      </w:pPr>
    </w:p>
    <w:tbl>
      <w:tblPr>
        <w:tblW w:w="8319" w:type="dxa"/>
        <w:tblInd w:w="959" w:type="dxa"/>
        <w:tblLayout w:type="fixed"/>
        <w:tblLook w:val="0000" w:firstRow="0" w:lastRow="0" w:firstColumn="0" w:lastColumn="0" w:noHBand="0" w:noVBand="0"/>
      </w:tblPr>
      <w:tblGrid>
        <w:gridCol w:w="5342"/>
        <w:gridCol w:w="1512"/>
        <w:gridCol w:w="1465"/>
      </w:tblGrid>
      <w:tr w:rsidR="00BB0748" w:rsidRPr="005024AA" w:rsidTr="00CD62E6">
        <w:trPr>
          <w:trHeight w:hRule="exact" w:val="300"/>
        </w:trPr>
        <w:tc>
          <w:tcPr>
            <w:tcW w:w="5342" w:type="dxa"/>
          </w:tcPr>
          <w:p w:rsidR="00BB0748" w:rsidRPr="005024AA" w:rsidRDefault="00BB0748" w:rsidP="00CD62E6">
            <w:pPr>
              <w:rPr>
                <w:sz w:val="22"/>
              </w:rPr>
            </w:pPr>
          </w:p>
        </w:tc>
        <w:tc>
          <w:tcPr>
            <w:tcW w:w="1512" w:type="dxa"/>
          </w:tcPr>
          <w:p w:rsidR="00BB0748" w:rsidRPr="005024AA" w:rsidRDefault="00BB0748" w:rsidP="0051757A">
            <w:pPr>
              <w:pStyle w:val="BodyTextIndent"/>
              <w:ind w:left="0"/>
              <w:jc w:val="center"/>
              <w:rPr>
                <w:sz w:val="22"/>
                <w:lang w:val="en-GB"/>
              </w:rPr>
            </w:pPr>
            <w:r w:rsidRPr="005024AA">
              <w:rPr>
                <w:sz w:val="22"/>
                <w:lang w:val="en-GB"/>
              </w:rPr>
              <w:t>201</w:t>
            </w:r>
            <w:r w:rsidR="0051757A">
              <w:rPr>
                <w:sz w:val="22"/>
                <w:lang w:val="en-GB"/>
              </w:rPr>
              <w:t>7</w:t>
            </w:r>
            <w:r>
              <w:rPr>
                <w:sz w:val="22"/>
                <w:lang w:val="en-GB"/>
              </w:rPr>
              <w:t>/1</w:t>
            </w:r>
            <w:r w:rsidR="0051757A">
              <w:rPr>
                <w:sz w:val="22"/>
                <w:lang w:val="en-GB"/>
              </w:rPr>
              <w:t>8</w:t>
            </w:r>
          </w:p>
        </w:tc>
        <w:tc>
          <w:tcPr>
            <w:tcW w:w="1465" w:type="dxa"/>
          </w:tcPr>
          <w:p w:rsidR="00BB0748" w:rsidRPr="005024AA" w:rsidRDefault="0051757A" w:rsidP="003B4C05">
            <w:pPr>
              <w:pStyle w:val="BodyTextIndent"/>
              <w:ind w:left="0"/>
              <w:jc w:val="center"/>
              <w:rPr>
                <w:sz w:val="22"/>
                <w:lang w:val="en-GB"/>
              </w:rPr>
            </w:pPr>
            <w:r w:rsidRPr="005024AA">
              <w:rPr>
                <w:sz w:val="22"/>
                <w:lang w:val="en-GB"/>
              </w:rPr>
              <w:t>201</w:t>
            </w:r>
            <w:r>
              <w:rPr>
                <w:sz w:val="22"/>
                <w:lang w:val="en-GB"/>
              </w:rPr>
              <w:t>6/17</w:t>
            </w:r>
          </w:p>
        </w:tc>
      </w:tr>
      <w:tr w:rsidR="00D90216" w:rsidRPr="005024AA" w:rsidTr="00CD62E6">
        <w:trPr>
          <w:trHeight w:hRule="exact" w:val="252"/>
        </w:trPr>
        <w:tc>
          <w:tcPr>
            <w:tcW w:w="5342" w:type="dxa"/>
          </w:tcPr>
          <w:p w:rsidR="00D90216" w:rsidRPr="005024AA" w:rsidRDefault="00D90216" w:rsidP="00CD62E6">
            <w:pPr>
              <w:rPr>
                <w:sz w:val="22"/>
              </w:rPr>
            </w:pPr>
          </w:p>
        </w:tc>
        <w:tc>
          <w:tcPr>
            <w:tcW w:w="1512" w:type="dxa"/>
          </w:tcPr>
          <w:p w:rsidR="00D90216" w:rsidRPr="005024AA" w:rsidRDefault="00D90216" w:rsidP="00CD62E6">
            <w:pPr>
              <w:pStyle w:val="Footer"/>
              <w:tabs>
                <w:tab w:val="clear" w:pos="4153"/>
                <w:tab w:val="clear" w:pos="8306"/>
              </w:tabs>
              <w:jc w:val="center"/>
              <w:rPr>
                <w:sz w:val="22"/>
              </w:rPr>
            </w:pPr>
            <w:r w:rsidRPr="005024AA">
              <w:rPr>
                <w:sz w:val="22"/>
              </w:rPr>
              <w:t>£000</w:t>
            </w:r>
          </w:p>
        </w:tc>
        <w:tc>
          <w:tcPr>
            <w:tcW w:w="1465" w:type="dxa"/>
          </w:tcPr>
          <w:p w:rsidR="00D90216" w:rsidRPr="005024AA" w:rsidRDefault="00D90216" w:rsidP="00CD62E6">
            <w:pPr>
              <w:pStyle w:val="Footer"/>
              <w:tabs>
                <w:tab w:val="clear" w:pos="4153"/>
                <w:tab w:val="clear" w:pos="8306"/>
              </w:tabs>
              <w:jc w:val="center"/>
              <w:rPr>
                <w:sz w:val="22"/>
              </w:rPr>
            </w:pPr>
            <w:r w:rsidRPr="005024AA">
              <w:rPr>
                <w:sz w:val="22"/>
              </w:rPr>
              <w:t>£000</w:t>
            </w:r>
          </w:p>
        </w:tc>
      </w:tr>
      <w:tr w:rsidR="00D90216" w:rsidRPr="005024AA" w:rsidTr="00CD62E6">
        <w:trPr>
          <w:trHeight w:hRule="exact" w:val="300"/>
        </w:trPr>
        <w:tc>
          <w:tcPr>
            <w:tcW w:w="5342" w:type="dxa"/>
          </w:tcPr>
          <w:p w:rsidR="00D90216" w:rsidRDefault="00D90216" w:rsidP="00CD62E6">
            <w:pPr>
              <w:rPr>
                <w:sz w:val="22"/>
              </w:rPr>
            </w:pPr>
          </w:p>
        </w:tc>
        <w:tc>
          <w:tcPr>
            <w:tcW w:w="1512" w:type="dxa"/>
          </w:tcPr>
          <w:p w:rsidR="00D90216" w:rsidRPr="00C2113E" w:rsidRDefault="00D90216" w:rsidP="00CD62E6">
            <w:pPr>
              <w:pStyle w:val="Footer"/>
              <w:tabs>
                <w:tab w:val="clear" w:pos="4153"/>
                <w:tab w:val="clear" w:pos="8306"/>
                <w:tab w:val="decimal" w:pos="884"/>
              </w:tabs>
              <w:rPr>
                <w:sz w:val="22"/>
                <w:highlight w:val="yellow"/>
              </w:rPr>
            </w:pPr>
          </w:p>
        </w:tc>
        <w:tc>
          <w:tcPr>
            <w:tcW w:w="1465" w:type="dxa"/>
          </w:tcPr>
          <w:p w:rsidR="00D90216" w:rsidRPr="00C2113E" w:rsidRDefault="00D90216" w:rsidP="00CD62E6">
            <w:pPr>
              <w:pStyle w:val="Footer"/>
              <w:tabs>
                <w:tab w:val="clear" w:pos="4153"/>
                <w:tab w:val="clear" w:pos="8306"/>
                <w:tab w:val="decimal" w:pos="790"/>
              </w:tabs>
              <w:rPr>
                <w:sz w:val="22"/>
                <w:highlight w:val="yellow"/>
              </w:rPr>
            </w:pPr>
          </w:p>
        </w:tc>
      </w:tr>
      <w:tr w:rsidR="0051757A" w:rsidRPr="00256600" w:rsidTr="00CD62E6">
        <w:trPr>
          <w:trHeight w:hRule="exact" w:val="300"/>
        </w:trPr>
        <w:tc>
          <w:tcPr>
            <w:tcW w:w="5342" w:type="dxa"/>
          </w:tcPr>
          <w:p w:rsidR="0051757A" w:rsidRPr="001D209A" w:rsidRDefault="0051757A" w:rsidP="00CD62E6">
            <w:pPr>
              <w:rPr>
                <w:sz w:val="22"/>
              </w:rPr>
            </w:pPr>
            <w:r w:rsidRPr="001D209A">
              <w:rPr>
                <w:sz w:val="22"/>
              </w:rPr>
              <w:t>Opening Capital Financing Requirement</w:t>
            </w:r>
          </w:p>
        </w:tc>
        <w:tc>
          <w:tcPr>
            <w:tcW w:w="1512" w:type="dxa"/>
          </w:tcPr>
          <w:p w:rsidR="0051757A" w:rsidRPr="00EF4270" w:rsidRDefault="0051757A" w:rsidP="00BB0748">
            <w:pPr>
              <w:pStyle w:val="Footer"/>
              <w:tabs>
                <w:tab w:val="clear" w:pos="4153"/>
                <w:tab w:val="clear" w:pos="8306"/>
                <w:tab w:val="decimal" w:pos="1026"/>
              </w:tabs>
              <w:rPr>
                <w:sz w:val="22"/>
              </w:rPr>
            </w:pPr>
            <w:r w:rsidRPr="00EF4270">
              <w:rPr>
                <w:sz w:val="22"/>
              </w:rPr>
              <w:t>14,906</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15,237</w:t>
            </w:r>
          </w:p>
        </w:tc>
      </w:tr>
      <w:tr w:rsidR="0051757A" w:rsidRPr="00256600" w:rsidTr="00CD62E6">
        <w:trPr>
          <w:trHeight w:hRule="exact" w:val="260"/>
        </w:trPr>
        <w:tc>
          <w:tcPr>
            <w:tcW w:w="5342" w:type="dxa"/>
          </w:tcPr>
          <w:p w:rsidR="0051757A" w:rsidRPr="001D209A" w:rsidRDefault="0051757A" w:rsidP="00CD62E6">
            <w:pPr>
              <w:rPr>
                <w:sz w:val="22"/>
              </w:rPr>
            </w:pPr>
            <w:r w:rsidRPr="001D209A">
              <w:rPr>
                <w:sz w:val="22"/>
              </w:rPr>
              <w:lastRenderedPageBreak/>
              <w:t>Capital investment:</w:t>
            </w:r>
          </w:p>
        </w:tc>
        <w:tc>
          <w:tcPr>
            <w:tcW w:w="1512" w:type="dxa"/>
          </w:tcPr>
          <w:p w:rsidR="0051757A" w:rsidRPr="00CA025A" w:rsidRDefault="0051757A" w:rsidP="00CD62E6">
            <w:pPr>
              <w:pStyle w:val="Footer"/>
              <w:tabs>
                <w:tab w:val="clear" w:pos="4153"/>
                <w:tab w:val="clear" w:pos="8306"/>
                <w:tab w:val="decimal" w:pos="1121"/>
              </w:tabs>
              <w:rPr>
                <w:sz w:val="22"/>
                <w:highlight w:val="yellow"/>
              </w:rPr>
            </w:pPr>
          </w:p>
        </w:tc>
        <w:tc>
          <w:tcPr>
            <w:tcW w:w="1465" w:type="dxa"/>
          </w:tcPr>
          <w:p w:rsidR="0051757A" w:rsidRPr="00CA025A" w:rsidRDefault="0051757A" w:rsidP="00C22F02">
            <w:pPr>
              <w:pStyle w:val="Footer"/>
              <w:tabs>
                <w:tab w:val="clear" w:pos="4153"/>
                <w:tab w:val="clear" w:pos="8306"/>
                <w:tab w:val="decimal" w:pos="1121"/>
              </w:tabs>
              <w:rPr>
                <w:sz w:val="22"/>
                <w:highlight w:val="yellow"/>
              </w:rPr>
            </w:pPr>
          </w:p>
        </w:tc>
      </w:tr>
      <w:tr w:rsidR="0051757A" w:rsidRPr="00256600" w:rsidTr="00CD62E6">
        <w:trPr>
          <w:trHeight w:hRule="exact" w:val="300"/>
        </w:trPr>
        <w:tc>
          <w:tcPr>
            <w:tcW w:w="5342" w:type="dxa"/>
          </w:tcPr>
          <w:p w:rsidR="0051757A" w:rsidRPr="001D209A" w:rsidRDefault="0051757A" w:rsidP="00CD62E6">
            <w:pPr>
              <w:ind w:left="720"/>
              <w:rPr>
                <w:sz w:val="22"/>
              </w:rPr>
            </w:pPr>
            <w:r w:rsidRPr="001D209A">
              <w:rPr>
                <w:sz w:val="22"/>
              </w:rPr>
              <w:t>Property, Plant &amp; Equipment</w:t>
            </w:r>
          </w:p>
        </w:tc>
        <w:tc>
          <w:tcPr>
            <w:tcW w:w="1512" w:type="dxa"/>
          </w:tcPr>
          <w:p w:rsidR="0051757A" w:rsidRPr="00EF4270" w:rsidRDefault="00E25179" w:rsidP="00D020D5">
            <w:pPr>
              <w:pStyle w:val="Footer"/>
              <w:tabs>
                <w:tab w:val="clear" w:pos="4153"/>
                <w:tab w:val="clear" w:pos="8306"/>
                <w:tab w:val="decimal" w:pos="1026"/>
              </w:tabs>
              <w:rPr>
                <w:sz w:val="22"/>
              </w:rPr>
            </w:pPr>
            <w:r w:rsidRPr="00EF4270">
              <w:rPr>
                <w:sz w:val="22"/>
              </w:rPr>
              <w:t>4,638</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3,445</w:t>
            </w:r>
          </w:p>
        </w:tc>
      </w:tr>
      <w:tr w:rsidR="0051757A" w:rsidRPr="00256600" w:rsidTr="00CD62E6">
        <w:trPr>
          <w:trHeight w:hRule="exact" w:val="300"/>
        </w:trPr>
        <w:tc>
          <w:tcPr>
            <w:tcW w:w="5342" w:type="dxa"/>
          </w:tcPr>
          <w:p w:rsidR="0051757A" w:rsidRPr="001D209A" w:rsidRDefault="0051757A" w:rsidP="00CD62E6">
            <w:pPr>
              <w:ind w:left="720"/>
              <w:rPr>
                <w:sz w:val="22"/>
              </w:rPr>
            </w:pPr>
            <w:r w:rsidRPr="001D209A">
              <w:rPr>
                <w:sz w:val="22"/>
              </w:rPr>
              <w:t>Intangible assets</w:t>
            </w:r>
          </w:p>
        </w:tc>
        <w:tc>
          <w:tcPr>
            <w:tcW w:w="1512" w:type="dxa"/>
          </w:tcPr>
          <w:p w:rsidR="0051757A" w:rsidRPr="00EF4270" w:rsidRDefault="00E25179" w:rsidP="00CD62E6">
            <w:pPr>
              <w:pStyle w:val="Footer"/>
              <w:tabs>
                <w:tab w:val="clear" w:pos="4153"/>
                <w:tab w:val="clear" w:pos="8306"/>
                <w:tab w:val="decimal" w:pos="1026"/>
              </w:tabs>
              <w:rPr>
                <w:sz w:val="22"/>
              </w:rPr>
            </w:pPr>
            <w:r w:rsidRPr="00EF4270">
              <w:rPr>
                <w:sz w:val="22"/>
              </w:rPr>
              <w:t>-</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63</w:t>
            </w:r>
          </w:p>
        </w:tc>
      </w:tr>
      <w:tr w:rsidR="0051757A" w:rsidRPr="00256600" w:rsidTr="00CD62E6">
        <w:trPr>
          <w:trHeight w:hRule="exact" w:val="300"/>
        </w:trPr>
        <w:tc>
          <w:tcPr>
            <w:tcW w:w="5342" w:type="dxa"/>
          </w:tcPr>
          <w:p w:rsidR="0051757A" w:rsidRPr="001D209A" w:rsidRDefault="0051757A" w:rsidP="00CD62E6">
            <w:pPr>
              <w:rPr>
                <w:sz w:val="22"/>
              </w:rPr>
            </w:pPr>
          </w:p>
        </w:tc>
        <w:tc>
          <w:tcPr>
            <w:tcW w:w="1512" w:type="dxa"/>
          </w:tcPr>
          <w:p w:rsidR="0051757A" w:rsidRPr="00CA025A" w:rsidRDefault="0051757A" w:rsidP="00CD62E6">
            <w:pPr>
              <w:pStyle w:val="Footer"/>
              <w:tabs>
                <w:tab w:val="clear" w:pos="4153"/>
                <w:tab w:val="clear" w:pos="8306"/>
                <w:tab w:val="decimal" w:pos="1121"/>
              </w:tabs>
              <w:rPr>
                <w:sz w:val="22"/>
                <w:highlight w:val="yellow"/>
              </w:rPr>
            </w:pPr>
          </w:p>
        </w:tc>
        <w:tc>
          <w:tcPr>
            <w:tcW w:w="1465" w:type="dxa"/>
          </w:tcPr>
          <w:p w:rsidR="0051757A" w:rsidRPr="00CA025A" w:rsidRDefault="0051757A" w:rsidP="00C22F02">
            <w:pPr>
              <w:pStyle w:val="Footer"/>
              <w:tabs>
                <w:tab w:val="clear" w:pos="4153"/>
                <w:tab w:val="clear" w:pos="8306"/>
                <w:tab w:val="decimal" w:pos="1121"/>
              </w:tabs>
              <w:rPr>
                <w:sz w:val="22"/>
                <w:highlight w:val="yellow"/>
              </w:rPr>
            </w:pPr>
          </w:p>
        </w:tc>
      </w:tr>
      <w:tr w:rsidR="0051757A" w:rsidRPr="00256600" w:rsidTr="00CD62E6">
        <w:trPr>
          <w:trHeight w:hRule="exact" w:val="300"/>
        </w:trPr>
        <w:tc>
          <w:tcPr>
            <w:tcW w:w="5342" w:type="dxa"/>
          </w:tcPr>
          <w:p w:rsidR="0051757A" w:rsidRPr="001D209A" w:rsidRDefault="0051757A" w:rsidP="00CD62E6">
            <w:pPr>
              <w:rPr>
                <w:sz w:val="22"/>
              </w:rPr>
            </w:pPr>
            <w:r w:rsidRPr="001D209A">
              <w:rPr>
                <w:sz w:val="22"/>
              </w:rPr>
              <w:t>Sources of Finance:</w:t>
            </w:r>
          </w:p>
        </w:tc>
        <w:tc>
          <w:tcPr>
            <w:tcW w:w="1512" w:type="dxa"/>
          </w:tcPr>
          <w:p w:rsidR="0051757A" w:rsidRPr="00CA025A" w:rsidRDefault="0051757A" w:rsidP="00CD62E6">
            <w:pPr>
              <w:pStyle w:val="Footer"/>
              <w:tabs>
                <w:tab w:val="clear" w:pos="4153"/>
                <w:tab w:val="clear" w:pos="8306"/>
                <w:tab w:val="decimal" w:pos="1121"/>
              </w:tabs>
              <w:rPr>
                <w:sz w:val="22"/>
                <w:highlight w:val="yellow"/>
              </w:rPr>
            </w:pPr>
          </w:p>
        </w:tc>
        <w:tc>
          <w:tcPr>
            <w:tcW w:w="1465" w:type="dxa"/>
          </w:tcPr>
          <w:p w:rsidR="0051757A" w:rsidRPr="00CA025A" w:rsidRDefault="0051757A" w:rsidP="00C22F02">
            <w:pPr>
              <w:pStyle w:val="Footer"/>
              <w:tabs>
                <w:tab w:val="clear" w:pos="4153"/>
                <w:tab w:val="clear" w:pos="8306"/>
                <w:tab w:val="decimal" w:pos="1121"/>
              </w:tabs>
              <w:rPr>
                <w:sz w:val="22"/>
                <w:highlight w:val="yellow"/>
              </w:rPr>
            </w:pPr>
          </w:p>
        </w:tc>
      </w:tr>
      <w:tr w:rsidR="0051757A" w:rsidRPr="00256600" w:rsidTr="00CD62E6">
        <w:trPr>
          <w:trHeight w:hRule="exact" w:val="300"/>
        </w:trPr>
        <w:tc>
          <w:tcPr>
            <w:tcW w:w="5342" w:type="dxa"/>
          </w:tcPr>
          <w:p w:rsidR="0051757A" w:rsidRPr="001D209A" w:rsidRDefault="0051757A" w:rsidP="00CD62E6">
            <w:pPr>
              <w:ind w:left="720"/>
              <w:rPr>
                <w:sz w:val="22"/>
              </w:rPr>
            </w:pPr>
            <w:r w:rsidRPr="001D209A">
              <w:rPr>
                <w:sz w:val="22"/>
              </w:rPr>
              <w:t>Government Grant</w:t>
            </w:r>
          </w:p>
        </w:tc>
        <w:tc>
          <w:tcPr>
            <w:tcW w:w="1512" w:type="dxa"/>
          </w:tcPr>
          <w:p w:rsidR="0051757A" w:rsidRPr="00EF4270" w:rsidRDefault="00E25179" w:rsidP="00D020D5">
            <w:pPr>
              <w:pStyle w:val="Footer"/>
              <w:tabs>
                <w:tab w:val="clear" w:pos="4153"/>
                <w:tab w:val="clear" w:pos="8306"/>
                <w:tab w:val="decimal" w:pos="1026"/>
              </w:tabs>
              <w:rPr>
                <w:sz w:val="22"/>
              </w:rPr>
            </w:pPr>
            <w:r w:rsidRPr="00EF4270">
              <w:rPr>
                <w:sz w:val="22"/>
              </w:rPr>
              <w:t>(505)</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(1,974)</w:t>
            </w:r>
          </w:p>
        </w:tc>
      </w:tr>
      <w:tr w:rsidR="0051757A" w:rsidRPr="00256600" w:rsidTr="001D5D89">
        <w:trPr>
          <w:trHeight w:hRule="exact" w:val="567"/>
        </w:trPr>
        <w:tc>
          <w:tcPr>
            <w:tcW w:w="5342" w:type="dxa"/>
          </w:tcPr>
          <w:p w:rsidR="0051757A" w:rsidRDefault="0051757A" w:rsidP="00CD62E6">
            <w:pPr>
              <w:pStyle w:val="Footer"/>
              <w:tabs>
                <w:tab w:val="clear" w:pos="4153"/>
                <w:tab w:val="clear" w:pos="8306"/>
              </w:tabs>
              <w:ind w:left="720"/>
              <w:rPr>
                <w:sz w:val="22"/>
              </w:rPr>
            </w:pPr>
            <w:r>
              <w:rPr>
                <w:sz w:val="22"/>
              </w:rPr>
              <w:t>Capital Reserves</w:t>
            </w:r>
          </w:p>
          <w:p w:rsidR="0051757A" w:rsidRPr="001D209A" w:rsidRDefault="0051757A" w:rsidP="00CD62E6">
            <w:pPr>
              <w:pStyle w:val="Footer"/>
              <w:tabs>
                <w:tab w:val="clear" w:pos="4153"/>
                <w:tab w:val="clear" w:pos="8306"/>
              </w:tabs>
              <w:ind w:left="720"/>
              <w:rPr>
                <w:sz w:val="22"/>
              </w:rPr>
            </w:pPr>
            <w:r>
              <w:rPr>
                <w:sz w:val="22"/>
              </w:rPr>
              <w:t>Earmarked Reserves</w:t>
            </w:r>
          </w:p>
        </w:tc>
        <w:tc>
          <w:tcPr>
            <w:tcW w:w="1512" w:type="dxa"/>
          </w:tcPr>
          <w:p w:rsidR="0051757A" w:rsidRPr="00EF4270" w:rsidRDefault="00676414" w:rsidP="00CD62E6">
            <w:pPr>
              <w:pStyle w:val="Footer"/>
              <w:tabs>
                <w:tab w:val="clear" w:pos="4153"/>
                <w:tab w:val="clear" w:pos="8306"/>
                <w:tab w:val="decimal" w:pos="1026"/>
              </w:tabs>
              <w:rPr>
                <w:sz w:val="22"/>
              </w:rPr>
            </w:pPr>
            <w:r w:rsidRPr="00EF4270">
              <w:rPr>
                <w:sz w:val="22"/>
              </w:rPr>
              <w:t>(2,416)</w:t>
            </w:r>
          </w:p>
          <w:p w:rsidR="00E25179" w:rsidRPr="00EF4270" w:rsidRDefault="00E25179" w:rsidP="00CD62E6">
            <w:pPr>
              <w:pStyle w:val="Footer"/>
              <w:tabs>
                <w:tab w:val="clear" w:pos="4153"/>
                <w:tab w:val="clear" w:pos="8306"/>
                <w:tab w:val="decimal" w:pos="1026"/>
              </w:tabs>
              <w:rPr>
                <w:sz w:val="22"/>
              </w:rPr>
            </w:pPr>
            <w:r w:rsidRPr="00EF4270">
              <w:rPr>
                <w:sz w:val="22"/>
              </w:rPr>
              <w:t>(224)</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w:t>
            </w:r>
          </w:p>
          <w:p w:rsidR="0051757A" w:rsidRPr="00EF4270" w:rsidRDefault="0051757A" w:rsidP="00C22F02">
            <w:pPr>
              <w:pStyle w:val="Footer"/>
              <w:tabs>
                <w:tab w:val="clear" w:pos="4153"/>
                <w:tab w:val="clear" w:pos="8306"/>
                <w:tab w:val="decimal" w:pos="1026"/>
              </w:tabs>
              <w:rPr>
                <w:sz w:val="22"/>
              </w:rPr>
            </w:pPr>
            <w:r w:rsidRPr="00EF4270">
              <w:rPr>
                <w:sz w:val="22"/>
              </w:rPr>
              <w:t>-</w:t>
            </w:r>
          </w:p>
        </w:tc>
      </w:tr>
      <w:tr w:rsidR="0051757A" w:rsidRPr="00256600" w:rsidTr="00CD62E6">
        <w:trPr>
          <w:trHeight w:hRule="exact" w:val="300"/>
        </w:trPr>
        <w:tc>
          <w:tcPr>
            <w:tcW w:w="5342" w:type="dxa"/>
          </w:tcPr>
          <w:p w:rsidR="0051757A" w:rsidRPr="001D209A" w:rsidRDefault="0051757A" w:rsidP="00CD62E6">
            <w:pPr>
              <w:pStyle w:val="Footer"/>
              <w:tabs>
                <w:tab w:val="clear" w:pos="4153"/>
                <w:tab w:val="clear" w:pos="8306"/>
              </w:tabs>
              <w:ind w:left="720"/>
              <w:rPr>
                <w:sz w:val="22"/>
              </w:rPr>
            </w:pPr>
            <w:r w:rsidRPr="001D209A">
              <w:rPr>
                <w:sz w:val="22"/>
              </w:rPr>
              <w:t>Revenue contributions to capital</w:t>
            </w:r>
          </w:p>
        </w:tc>
        <w:tc>
          <w:tcPr>
            <w:tcW w:w="1512" w:type="dxa"/>
          </w:tcPr>
          <w:p w:rsidR="0051757A" w:rsidRPr="00EF4270" w:rsidRDefault="00E25179" w:rsidP="00676414">
            <w:pPr>
              <w:pStyle w:val="Footer"/>
              <w:tabs>
                <w:tab w:val="clear" w:pos="4153"/>
                <w:tab w:val="clear" w:pos="8306"/>
                <w:tab w:val="decimal" w:pos="1026"/>
              </w:tabs>
              <w:rPr>
                <w:sz w:val="22"/>
              </w:rPr>
            </w:pPr>
            <w:r w:rsidRPr="00EF4270">
              <w:rPr>
                <w:sz w:val="22"/>
              </w:rPr>
              <w:t>(1,</w:t>
            </w:r>
            <w:r w:rsidR="00676414" w:rsidRPr="00EF4270">
              <w:rPr>
                <w:sz w:val="22"/>
              </w:rPr>
              <w:t>49</w:t>
            </w:r>
            <w:r w:rsidRPr="00EF4270">
              <w:rPr>
                <w:sz w:val="22"/>
              </w:rPr>
              <w:t>3)</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(1,534)</w:t>
            </w:r>
          </w:p>
        </w:tc>
      </w:tr>
      <w:tr w:rsidR="0051757A" w:rsidRPr="00256600" w:rsidTr="00CD62E6">
        <w:trPr>
          <w:trHeight w:hRule="exact" w:val="300"/>
        </w:trPr>
        <w:tc>
          <w:tcPr>
            <w:tcW w:w="5342" w:type="dxa"/>
          </w:tcPr>
          <w:p w:rsidR="0051757A" w:rsidRPr="001D209A" w:rsidRDefault="0051757A" w:rsidP="00CD62E6">
            <w:pPr>
              <w:ind w:left="720"/>
              <w:rPr>
                <w:sz w:val="22"/>
              </w:rPr>
            </w:pPr>
            <w:r w:rsidRPr="001D209A">
              <w:rPr>
                <w:sz w:val="22"/>
              </w:rPr>
              <w:t>MRP</w:t>
            </w:r>
          </w:p>
        </w:tc>
        <w:tc>
          <w:tcPr>
            <w:tcW w:w="1512" w:type="dxa"/>
          </w:tcPr>
          <w:p w:rsidR="0051757A" w:rsidRPr="00EF4270" w:rsidRDefault="00E25179" w:rsidP="00E25179">
            <w:pPr>
              <w:pStyle w:val="Footer"/>
              <w:tabs>
                <w:tab w:val="clear" w:pos="4153"/>
                <w:tab w:val="clear" w:pos="8306"/>
                <w:tab w:val="decimal" w:pos="1026"/>
              </w:tabs>
              <w:rPr>
                <w:sz w:val="22"/>
              </w:rPr>
            </w:pPr>
            <w:r w:rsidRPr="00EF4270">
              <w:rPr>
                <w:sz w:val="22"/>
              </w:rPr>
              <w:t>(388)</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(331)</w:t>
            </w:r>
          </w:p>
        </w:tc>
      </w:tr>
      <w:tr w:rsidR="0051757A" w:rsidRPr="00256600" w:rsidTr="00CD62E6">
        <w:trPr>
          <w:trHeight w:hRule="exact" w:val="300"/>
        </w:trPr>
        <w:tc>
          <w:tcPr>
            <w:tcW w:w="5342" w:type="dxa"/>
          </w:tcPr>
          <w:p w:rsidR="0051757A" w:rsidRPr="001D209A" w:rsidRDefault="0051757A" w:rsidP="00CD62E6">
            <w:pPr>
              <w:pStyle w:val="Footer"/>
              <w:tabs>
                <w:tab w:val="clear" w:pos="4153"/>
                <w:tab w:val="clear" w:pos="8306"/>
              </w:tabs>
              <w:rPr>
                <w:sz w:val="22"/>
              </w:rPr>
            </w:pPr>
          </w:p>
        </w:tc>
        <w:tc>
          <w:tcPr>
            <w:tcW w:w="1512" w:type="dxa"/>
            <w:tcBorders>
              <w:bottom w:val="single" w:sz="4" w:space="0" w:color="auto"/>
            </w:tcBorders>
          </w:tcPr>
          <w:p w:rsidR="0051757A" w:rsidRPr="00CA025A" w:rsidRDefault="0051757A" w:rsidP="00CD62E6">
            <w:pPr>
              <w:pStyle w:val="Footer"/>
              <w:tabs>
                <w:tab w:val="clear" w:pos="4153"/>
                <w:tab w:val="clear" w:pos="8306"/>
                <w:tab w:val="decimal" w:pos="1121"/>
              </w:tabs>
              <w:rPr>
                <w:sz w:val="22"/>
                <w:highlight w:val="yellow"/>
              </w:rPr>
            </w:pPr>
          </w:p>
        </w:tc>
        <w:tc>
          <w:tcPr>
            <w:tcW w:w="1465" w:type="dxa"/>
            <w:tcBorders>
              <w:bottom w:val="single" w:sz="4" w:space="0" w:color="auto"/>
            </w:tcBorders>
          </w:tcPr>
          <w:p w:rsidR="0051757A" w:rsidRPr="00CA025A" w:rsidRDefault="0051757A" w:rsidP="00C22F02">
            <w:pPr>
              <w:pStyle w:val="Footer"/>
              <w:tabs>
                <w:tab w:val="clear" w:pos="4153"/>
                <w:tab w:val="clear" w:pos="8306"/>
                <w:tab w:val="decimal" w:pos="1121"/>
              </w:tabs>
              <w:rPr>
                <w:sz w:val="22"/>
                <w:highlight w:val="yellow"/>
              </w:rPr>
            </w:pPr>
          </w:p>
        </w:tc>
      </w:tr>
      <w:tr w:rsidR="0051757A" w:rsidRPr="00256600" w:rsidTr="00CD62E6">
        <w:trPr>
          <w:trHeight w:hRule="exact" w:val="300"/>
        </w:trPr>
        <w:tc>
          <w:tcPr>
            <w:tcW w:w="5342" w:type="dxa"/>
          </w:tcPr>
          <w:p w:rsidR="0051757A" w:rsidRPr="001D209A" w:rsidRDefault="0051757A" w:rsidP="00CD62E6">
            <w:pPr>
              <w:pStyle w:val="Footer"/>
              <w:tabs>
                <w:tab w:val="clear" w:pos="4153"/>
                <w:tab w:val="clear" w:pos="8306"/>
              </w:tabs>
              <w:rPr>
                <w:sz w:val="22"/>
              </w:rPr>
            </w:pPr>
            <w:r w:rsidRPr="001D209A">
              <w:rPr>
                <w:sz w:val="22"/>
              </w:rPr>
              <w:t>Closing Capital Financing Requirement</w:t>
            </w:r>
          </w:p>
        </w:tc>
        <w:tc>
          <w:tcPr>
            <w:tcW w:w="1512" w:type="dxa"/>
            <w:tcBorders>
              <w:top w:val="single" w:sz="4" w:space="0" w:color="auto"/>
              <w:bottom w:val="double" w:sz="4" w:space="0" w:color="auto"/>
            </w:tcBorders>
          </w:tcPr>
          <w:p w:rsidR="0051757A" w:rsidRPr="00EF4270" w:rsidRDefault="00676414" w:rsidP="00D020D5">
            <w:pPr>
              <w:pStyle w:val="Footer"/>
              <w:tabs>
                <w:tab w:val="clear" w:pos="4153"/>
                <w:tab w:val="clear" w:pos="8306"/>
                <w:tab w:val="decimal" w:pos="1026"/>
              </w:tabs>
              <w:rPr>
                <w:sz w:val="22"/>
              </w:rPr>
            </w:pPr>
            <w:r w:rsidRPr="00EF4270">
              <w:rPr>
                <w:sz w:val="22"/>
              </w:rPr>
              <w:t>14,518</w:t>
            </w:r>
          </w:p>
        </w:tc>
        <w:tc>
          <w:tcPr>
            <w:tcW w:w="1465" w:type="dxa"/>
            <w:tcBorders>
              <w:top w:val="single" w:sz="4" w:space="0" w:color="auto"/>
              <w:bottom w:val="double" w:sz="4" w:space="0" w:color="auto"/>
            </w:tcBorders>
          </w:tcPr>
          <w:p w:rsidR="0051757A" w:rsidRPr="00EF4270" w:rsidRDefault="0051757A" w:rsidP="00C22F02">
            <w:pPr>
              <w:pStyle w:val="Footer"/>
              <w:tabs>
                <w:tab w:val="clear" w:pos="4153"/>
                <w:tab w:val="clear" w:pos="8306"/>
                <w:tab w:val="decimal" w:pos="1026"/>
              </w:tabs>
              <w:rPr>
                <w:sz w:val="22"/>
              </w:rPr>
            </w:pPr>
            <w:r w:rsidRPr="00EF4270">
              <w:rPr>
                <w:sz w:val="22"/>
              </w:rPr>
              <w:t>14,906</w:t>
            </w:r>
          </w:p>
        </w:tc>
      </w:tr>
      <w:tr w:rsidR="00D90216" w:rsidRPr="00256600" w:rsidTr="00CD62E6">
        <w:trPr>
          <w:trHeight w:hRule="exact" w:val="300"/>
        </w:trPr>
        <w:tc>
          <w:tcPr>
            <w:tcW w:w="5342" w:type="dxa"/>
          </w:tcPr>
          <w:p w:rsidR="00D90216" w:rsidRPr="001D209A" w:rsidRDefault="00D90216" w:rsidP="00CD62E6">
            <w:pPr>
              <w:pStyle w:val="Footer"/>
              <w:tabs>
                <w:tab w:val="clear" w:pos="4153"/>
                <w:tab w:val="clear" w:pos="8306"/>
              </w:tabs>
              <w:rPr>
                <w:sz w:val="22"/>
              </w:rPr>
            </w:pPr>
          </w:p>
        </w:tc>
        <w:tc>
          <w:tcPr>
            <w:tcW w:w="1512" w:type="dxa"/>
            <w:tcBorders>
              <w:top w:val="double" w:sz="4" w:space="0" w:color="auto"/>
            </w:tcBorders>
          </w:tcPr>
          <w:p w:rsidR="00D90216" w:rsidRPr="00EF4270" w:rsidRDefault="00D90216" w:rsidP="00CD62E6">
            <w:pPr>
              <w:pStyle w:val="Footer"/>
              <w:tabs>
                <w:tab w:val="clear" w:pos="4153"/>
                <w:tab w:val="clear" w:pos="8306"/>
                <w:tab w:val="decimal" w:pos="1121"/>
              </w:tabs>
              <w:rPr>
                <w:sz w:val="22"/>
              </w:rPr>
            </w:pPr>
          </w:p>
        </w:tc>
        <w:tc>
          <w:tcPr>
            <w:tcW w:w="1465" w:type="dxa"/>
            <w:tcBorders>
              <w:top w:val="double" w:sz="4" w:space="0" w:color="auto"/>
            </w:tcBorders>
          </w:tcPr>
          <w:p w:rsidR="00D90216" w:rsidRPr="00EF4270" w:rsidRDefault="00D90216" w:rsidP="00CD62E6">
            <w:pPr>
              <w:pStyle w:val="Footer"/>
              <w:tabs>
                <w:tab w:val="clear" w:pos="4153"/>
                <w:tab w:val="clear" w:pos="8306"/>
                <w:tab w:val="decimal" w:pos="1121"/>
              </w:tabs>
              <w:rPr>
                <w:sz w:val="22"/>
              </w:rPr>
            </w:pPr>
          </w:p>
        </w:tc>
      </w:tr>
      <w:tr w:rsidR="00D90216" w:rsidRPr="00256600" w:rsidTr="00CD62E6">
        <w:trPr>
          <w:trHeight w:hRule="exact" w:val="300"/>
        </w:trPr>
        <w:tc>
          <w:tcPr>
            <w:tcW w:w="5342" w:type="dxa"/>
          </w:tcPr>
          <w:p w:rsidR="00D90216" w:rsidRPr="001D209A" w:rsidRDefault="00D90216" w:rsidP="00CD62E6">
            <w:pPr>
              <w:pStyle w:val="Footer"/>
              <w:tabs>
                <w:tab w:val="clear" w:pos="4153"/>
                <w:tab w:val="clear" w:pos="8306"/>
              </w:tabs>
              <w:rPr>
                <w:sz w:val="22"/>
              </w:rPr>
            </w:pPr>
            <w:r w:rsidRPr="001D209A">
              <w:rPr>
                <w:sz w:val="22"/>
              </w:rPr>
              <w:t>Explanation of movements in year</w:t>
            </w:r>
          </w:p>
        </w:tc>
        <w:tc>
          <w:tcPr>
            <w:tcW w:w="1512" w:type="dxa"/>
          </w:tcPr>
          <w:p w:rsidR="00D90216" w:rsidRPr="00EF4270" w:rsidRDefault="00D90216" w:rsidP="00CD62E6">
            <w:pPr>
              <w:pStyle w:val="Footer"/>
              <w:tabs>
                <w:tab w:val="clear" w:pos="4153"/>
                <w:tab w:val="clear" w:pos="8306"/>
                <w:tab w:val="decimal" w:pos="1121"/>
              </w:tabs>
              <w:rPr>
                <w:sz w:val="22"/>
              </w:rPr>
            </w:pPr>
          </w:p>
        </w:tc>
        <w:tc>
          <w:tcPr>
            <w:tcW w:w="1465" w:type="dxa"/>
          </w:tcPr>
          <w:p w:rsidR="00D90216" w:rsidRPr="00EF4270" w:rsidRDefault="00D90216" w:rsidP="00CD62E6">
            <w:pPr>
              <w:pStyle w:val="Footer"/>
              <w:tabs>
                <w:tab w:val="clear" w:pos="4153"/>
                <w:tab w:val="clear" w:pos="8306"/>
                <w:tab w:val="decimal" w:pos="1121"/>
              </w:tabs>
              <w:rPr>
                <w:sz w:val="22"/>
              </w:rPr>
            </w:pPr>
          </w:p>
        </w:tc>
      </w:tr>
      <w:tr w:rsidR="0051757A" w:rsidRPr="00256600" w:rsidTr="00CD62E6">
        <w:trPr>
          <w:trHeight w:hRule="exact" w:val="768"/>
        </w:trPr>
        <w:tc>
          <w:tcPr>
            <w:tcW w:w="5342" w:type="dxa"/>
          </w:tcPr>
          <w:p w:rsidR="0051757A" w:rsidRPr="001D209A" w:rsidRDefault="0051757A" w:rsidP="00CD62E6">
            <w:pPr>
              <w:pStyle w:val="Footer"/>
              <w:tabs>
                <w:tab w:val="clear" w:pos="4153"/>
                <w:tab w:val="clear" w:pos="8306"/>
              </w:tabs>
              <w:ind w:left="720"/>
              <w:rPr>
                <w:sz w:val="22"/>
              </w:rPr>
            </w:pPr>
            <w:r w:rsidRPr="001D209A">
              <w:rPr>
                <w:sz w:val="22"/>
              </w:rPr>
              <w:t>(Decrease)/Increase in underlying need to borrow (supported by Government financial assistance)</w:t>
            </w:r>
          </w:p>
        </w:tc>
        <w:tc>
          <w:tcPr>
            <w:tcW w:w="1512" w:type="dxa"/>
          </w:tcPr>
          <w:p w:rsidR="0051757A" w:rsidRPr="00EF4270" w:rsidRDefault="00676414" w:rsidP="00D020D5">
            <w:pPr>
              <w:pStyle w:val="Footer"/>
              <w:tabs>
                <w:tab w:val="clear" w:pos="4153"/>
                <w:tab w:val="clear" w:pos="8306"/>
                <w:tab w:val="decimal" w:pos="1026"/>
              </w:tabs>
              <w:rPr>
                <w:sz w:val="22"/>
              </w:rPr>
            </w:pPr>
            <w:r w:rsidRPr="00EF4270">
              <w:rPr>
                <w:sz w:val="22"/>
              </w:rPr>
              <w:t>(388)</w:t>
            </w:r>
          </w:p>
        </w:tc>
        <w:tc>
          <w:tcPr>
            <w:tcW w:w="1465" w:type="dxa"/>
          </w:tcPr>
          <w:p w:rsidR="0051757A" w:rsidRPr="00EF4270" w:rsidRDefault="0051757A" w:rsidP="00C22F02">
            <w:pPr>
              <w:pStyle w:val="Footer"/>
              <w:tabs>
                <w:tab w:val="clear" w:pos="4153"/>
                <w:tab w:val="clear" w:pos="8306"/>
                <w:tab w:val="decimal" w:pos="1026"/>
              </w:tabs>
              <w:rPr>
                <w:sz w:val="22"/>
              </w:rPr>
            </w:pPr>
            <w:r w:rsidRPr="00EF4270">
              <w:rPr>
                <w:sz w:val="22"/>
              </w:rPr>
              <w:t>(331)</w:t>
            </w:r>
          </w:p>
        </w:tc>
      </w:tr>
      <w:tr w:rsidR="0051757A" w:rsidRPr="00256600" w:rsidTr="00CD62E6">
        <w:trPr>
          <w:trHeight w:hRule="exact" w:val="300"/>
        </w:trPr>
        <w:tc>
          <w:tcPr>
            <w:tcW w:w="5342" w:type="dxa"/>
          </w:tcPr>
          <w:p w:rsidR="0051757A" w:rsidRPr="001D209A" w:rsidRDefault="0051757A" w:rsidP="00CD62E6">
            <w:pPr>
              <w:rPr>
                <w:sz w:val="22"/>
              </w:rPr>
            </w:pPr>
          </w:p>
        </w:tc>
        <w:tc>
          <w:tcPr>
            <w:tcW w:w="1512" w:type="dxa"/>
            <w:tcBorders>
              <w:top w:val="single" w:sz="4" w:space="0" w:color="auto"/>
              <w:bottom w:val="double" w:sz="4" w:space="0" w:color="auto"/>
            </w:tcBorders>
          </w:tcPr>
          <w:p w:rsidR="0051757A" w:rsidRPr="00EF4270" w:rsidRDefault="00676414" w:rsidP="001D5D89">
            <w:pPr>
              <w:pStyle w:val="Footer"/>
              <w:tabs>
                <w:tab w:val="clear" w:pos="4153"/>
                <w:tab w:val="clear" w:pos="8306"/>
                <w:tab w:val="decimal" w:pos="1026"/>
              </w:tabs>
              <w:rPr>
                <w:sz w:val="22"/>
              </w:rPr>
            </w:pPr>
            <w:r w:rsidRPr="00EF4270">
              <w:rPr>
                <w:sz w:val="22"/>
              </w:rPr>
              <w:t>(388)</w:t>
            </w:r>
          </w:p>
        </w:tc>
        <w:tc>
          <w:tcPr>
            <w:tcW w:w="1465" w:type="dxa"/>
            <w:tcBorders>
              <w:top w:val="single" w:sz="4" w:space="0" w:color="auto"/>
              <w:bottom w:val="double" w:sz="4" w:space="0" w:color="auto"/>
            </w:tcBorders>
          </w:tcPr>
          <w:p w:rsidR="0051757A" w:rsidRPr="00EF4270" w:rsidRDefault="0051757A" w:rsidP="00C22F02">
            <w:pPr>
              <w:pStyle w:val="Footer"/>
              <w:tabs>
                <w:tab w:val="clear" w:pos="4153"/>
                <w:tab w:val="clear" w:pos="8306"/>
                <w:tab w:val="decimal" w:pos="1026"/>
              </w:tabs>
              <w:rPr>
                <w:sz w:val="22"/>
              </w:rPr>
            </w:pPr>
            <w:r w:rsidRPr="00EF4270">
              <w:rPr>
                <w:sz w:val="22"/>
              </w:rPr>
              <w:t>(331)</w:t>
            </w:r>
          </w:p>
        </w:tc>
      </w:tr>
    </w:tbl>
    <w:p w:rsidR="00CA025A" w:rsidRDefault="00CA025A" w:rsidP="00B6587A">
      <w:pPr>
        <w:rPr>
          <w:sz w:val="22"/>
          <w:highlight w:val="yellow"/>
        </w:rPr>
      </w:pPr>
    </w:p>
    <w:p w:rsidR="00890040" w:rsidRPr="00256600" w:rsidRDefault="00890040" w:rsidP="00B6587A">
      <w:pPr>
        <w:rPr>
          <w:sz w:val="22"/>
          <w:highlight w:val="yellow"/>
        </w:rPr>
      </w:pPr>
    </w:p>
    <w:p w:rsidR="00D90216" w:rsidRPr="005024AA" w:rsidRDefault="00D90216" w:rsidP="00D90216">
      <w:pPr>
        <w:ind w:left="720"/>
        <w:rPr>
          <w:b/>
          <w:sz w:val="22"/>
        </w:rPr>
      </w:pPr>
      <w:r w:rsidRPr="005024AA">
        <w:rPr>
          <w:b/>
          <w:sz w:val="22"/>
        </w:rPr>
        <w:t>Details of Assets Held</w:t>
      </w:r>
    </w:p>
    <w:p w:rsidR="00D90216" w:rsidRPr="005024AA" w:rsidRDefault="00D90216" w:rsidP="00D90216">
      <w:pPr>
        <w:ind w:left="720"/>
        <w:rPr>
          <w:sz w:val="22"/>
        </w:rPr>
      </w:pPr>
    </w:p>
    <w:p w:rsidR="00D90216" w:rsidRPr="005024AA" w:rsidRDefault="00D90216" w:rsidP="00D90216">
      <w:pPr>
        <w:ind w:left="720"/>
        <w:jc w:val="both"/>
        <w:rPr>
          <w:sz w:val="22"/>
        </w:rPr>
      </w:pPr>
      <w:r w:rsidRPr="005024AA">
        <w:rPr>
          <w:sz w:val="22"/>
        </w:rPr>
        <w:t xml:space="preserve">The </w:t>
      </w:r>
      <w:proofErr w:type="gramStart"/>
      <w:r w:rsidRPr="005024AA">
        <w:rPr>
          <w:sz w:val="22"/>
        </w:rPr>
        <w:t>number of main assets held by the Authority are</w:t>
      </w:r>
      <w:proofErr w:type="gramEnd"/>
      <w:r w:rsidRPr="005024AA">
        <w:rPr>
          <w:sz w:val="22"/>
        </w:rPr>
        <w:t xml:space="preserve"> shown below:</w:t>
      </w:r>
    </w:p>
    <w:p w:rsidR="00D90216" w:rsidRPr="005024AA" w:rsidRDefault="00D90216" w:rsidP="00D90216">
      <w:pPr>
        <w:ind w:left="720"/>
        <w:rPr>
          <w:sz w:val="22"/>
        </w:rPr>
      </w:pPr>
    </w:p>
    <w:tbl>
      <w:tblPr>
        <w:tblW w:w="8602" w:type="dxa"/>
        <w:tblInd w:w="817" w:type="dxa"/>
        <w:tblLayout w:type="fixed"/>
        <w:tblLook w:val="0000" w:firstRow="0" w:lastRow="0" w:firstColumn="0" w:lastColumn="0" w:noHBand="0" w:noVBand="0"/>
      </w:tblPr>
      <w:tblGrid>
        <w:gridCol w:w="5625"/>
        <w:gridCol w:w="1560"/>
        <w:gridCol w:w="1417"/>
      </w:tblGrid>
      <w:tr w:rsidR="0051757A" w:rsidRPr="005024AA" w:rsidTr="00355430">
        <w:trPr>
          <w:trHeight w:hRule="exact" w:val="300"/>
        </w:trPr>
        <w:tc>
          <w:tcPr>
            <w:tcW w:w="5625" w:type="dxa"/>
          </w:tcPr>
          <w:p w:rsidR="0051757A" w:rsidRPr="005024AA" w:rsidRDefault="0051757A" w:rsidP="00CD62E6">
            <w:pPr>
              <w:rPr>
                <w:sz w:val="22"/>
              </w:rPr>
            </w:pPr>
          </w:p>
        </w:tc>
        <w:tc>
          <w:tcPr>
            <w:tcW w:w="1560" w:type="dxa"/>
          </w:tcPr>
          <w:p w:rsidR="0051757A" w:rsidRPr="005024AA" w:rsidRDefault="0051757A" w:rsidP="00C22F02">
            <w:pPr>
              <w:pStyle w:val="BodyTextIndent"/>
              <w:ind w:left="0"/>
              <w:jc w:val="center"/>
              <w:rPr>
                <w:sz w:val="22"/>
                <w:lang w:val="en-GB"/>
              </w:rPr>
            </w:pPr>
            <w:r w:rsidRPr="005024AA">
              <w:rPr>
                <w:sz w:val="22"/>
                <w:lang w:val="en-GB"/>
              </w:rPr>
              <w:t>201</w:t>
            </w:r>
            <w:r>
              <w:rPr>
                <w:sz w:val="22"/>
                <w:lang w:val="en-GB"/>
              </w:rPr>
              <w:t>7/18</w:t>
            </w:r>
          </w:p>
        </w:tc>
        <w:tc>
          <w:tcPr>
            <w:tcW w:w="1417" w:type="dxa"/>
          </w:tcPr>
          <w:p w:rsidR="0051757A" w:rsidRPr="005024AA" w:rsidRDefault="0051757A" w:rsidP="00C22F02">
            <w:pPr>
              <w:pStyle w:val="BodyTextIndent"/>
              <w:ind w:left="0"/>
              <w:jc w:val="center"/>
              <w:rPr>
                <w:sz w:val="22"/>
                <w:lang w:val="en-GB"/>
              </w:rPr>
            </w:pPr>
            <w:r w:rsidRPr="005024AA">
              <w:rPr>
                <w:sz w:val="22"/>
                <w:lang w:val="en-GB"/>
              </w:rPr>
              <w:t>201</w:t>
            </w:r>
            <w:r>
              <w:rPr>
                <w:sz w:val="22"/>
                <w:lang w:val="en-GB"/>
              </w:rPr>
              <w:t>6/17</w:t>
            </w:r>
          </w:p>
        </w:tc>
      </w:tr>
      <w:tr w:rsidR="00355430" w:rsidRPr="005024AA" w:rsidTr="00355430">
        <w:trPr>
          <w:trHeight w:hRule="exact" w:val="300"/>
        </w:trPr>
        <w:tc>
          <w:tcPr>
            <w:tcW w:w="5625" w:type="dxa"/>
          </w:tcPr>
          <w:p w:rsidR="00355430" w:rsidRPr="005024AA" w:rsidRDefault="00355430" w:rsidP="00CD62E6">
            <w:pPr>
              <w:rPr>
                <w:sz w:val="22"/>
              </w:rPr>
            </w:pPr>
            <w:r w:rsidRPr="005024AA">
              <w:rPr>
                <w:sz w:val="22"/>
              </w:rPr>
              <w:t>Headquarters</w:t>
            </w:r>
          </w:p>
        </w:tc>
        <w:tc>
          <w:tcPr>
            <w:tcW w:w="1560" w:type="dxa"/>
            <w:vAlign w:val="center"/>
          </w:tcPr>
          <w:p w:rsidR="00355430" w:rsidRPr="006534F1" w:rsidRDefault="00355430" w:rsidP="00CD62E6">
            <w:pPr>
              <w:pStyle w:val="Footer"/>
              <w:tabs>
                <w:tab w:val="clear" w:pos="4153"/>
                <w:tab w:val="clear" w:pos="8306"/>
                <w:tab w:val="decimal" w:pos="979"/>
              </w:tabs>
              <w:rPr>
                <w:sz w:val="22"/>
              </w:rPr>
            </w:pPr>
            <w:r w:rsidRPr="006534F1">
              <w:rPr>
                <w:sz w:val="22"/>
              </w:rPr>
              <w:t>1</w:t>
            </w:r>
          </w:p>
        </w:tc>
        <w:tc>
          <w:tcPr>
            <w:tcW w:w="1417" w:type="dxa"/>
            <w:vAlign w:val="center"/>
          </w:tcPr>
          <w:p w:rsidR="00355430" w:rsidRPr="00E01707" w:rsidRDefault="00355430" w:rsidP="00355430">
            <w:pPr>
              <w:pStyle w:val="Footer"/>
              <w:tabs>
                <w:tab w:val="clear" w:pos="4153"/>
                <w:tab w:val="clear" w:pos="8306"/>
                <w:tab w:val="decimal" w:pos="979"/>
              </w:tabs>
              <w:rPr>
                <w:sz w:val="22"/>
              </w:rPr>
            </w:pPr>
            <w:r w:rsidRPr="00E01707">
              <w:rPr>
                <w:sz w:val="22"/>
              </w:rPr>
              <w:t>1</w:t>
            </w:r>
          </w:p>
        </w:tc>
      </w:tr>
      <w:tr w:rsidR="00355430" w:rsidRPr="005024AA" w:rsidTr="00355430">
        <w:trPr>
          <w:trHeight w:hRule="exact" w:val="300"/>
        </w:trPr>
        <w:tc>
          <w:tcPr>
            <w:tcW w:w="5625" w:type="dxa"/>
          </w:tcPr>
          <w:p w:rsidR="00355430" w:rsidRPr="005024AA" w:rsidRDefault="00355430" w:rsidP="00CD62E6">
            <w:pPr>
              <w:pStyle w:val="Footer"/>
              <w:tabs>
                <w:tab w:val="clear" w:pos="4153"/>
                <w:tab w:val="clear" w:pos="8306"/>
              </w:tabs>
              <w:rPr>
                <w:sz w:val="22"/>
              </w:rPr>
            </w:pPr>
            <w:r w:rsidRPr="005024AA">
              <w:rPr>
                <w:sz w:val="22"/>
              </w:rPr>
              <w:t>Fire Stations (including Area Headquarters)</w:t>
            </w:r>
          </w:p>
        </w:tc>
        <w:tc>
          <w:tcPr>
            <w:tcW w:w="1560" w:type="dxa"/>
            <w:vAlign w:val="center"/>
          </w:tcPr>
          <w:p w:rsidR="00355430" w:rsidRPr="006534F1" w:rsidRDefault="00B6587A" w:rsidP="00CD62E6">
            <w:pPr>
              <w:pStyle w:val="Footer"/>
              <w:tabs>
                <w:tab w:val="clear" w:pos="4153"/>
                <w:tab w:val="clear" w:pos="8306"/>
                <w:tab w:val="decimal" w:pos="979"/>
              </w:tabs>
              <w:rPr>
                <w:sz w:val="22"/>
              </w:rPr>
            </w:pPr>
            <w:r>
              <w:rPr>
                <w:sz w:val="22"/>
              </w:rPr>
              <w:t>39</w:t>
            </w:r>
          </w:p>
        </w:tc>
        <w:tc>
          <w:tcPr>
            <w:tcW w:w="1417" w:type="dxa"/>
            <w:vAlign w:val="center"/>
          </w:tcPr>
          <w:p w:rsidR="00355430" w:rsidRPr="00E01707" w:rsidRDefault="009655C8" w:rsidP="00355430">
            <w:pPr>
              <w:pStyle w:val="Footer"/>
              <w:tabs>
                <w:tab w:val="clear" w:pos="4153"/>
                <w:tab w:val="clear" w:pos="8306"/>
                <w:tab w:val="decimal" w:pos="979"/>
              </w:tabs>
              <w:rPr>
                <w:sz w:val="22"/>
              </w:rPr>
            </w:pPr>
            <w:r>
              <w:rPr>
                <w:sz w:val="22"/>
              </w:rPr>
              <w:t>39</w:t>
            </w:r>
          </w:p>
        </w:tc>
      </w:tr>
      <w:tr w:rsidR="00355430" w:rsidRPr="005024AA" w:rsidTr="00355430">
        <w:trPr>
          <w:trHeight w:hRule="exact" w:val="300"/>
        </w:trPr>
        <w:tc>
          <w:tcPr>
            <w:tcW w:w="5625" w:type="dxa"/>
          </w:tcPr>
          <w:p w:rsidR="00355430" w:rsidRPr="005024AA" w:rsidRDefault="00355430" w:rsidP="00CD62E6">
            <w:pPr>
              <w:rPr>
                <w:sz w:val="22"/>
              </w:rPr>
            </w:pPr>
            <w:r w:rsidRPr="005024AA">
              <w:rPr>
                <w:sz w:val="22"/>
              </w:rPr>
              <w:t>Training School</w:t>
            </w:r>
          </w:p>
        </w:tc>
        <w:tc>
          <w:tcPr>
            <w:tcW w:w="1560" w:type="dxa"/>
          </w:tcPr>
          <w:p w:rsidR="00355430" w:rsidRPr="006534F1" w:rsidRDefault="00355430" w:rsidP="00CD62E6">
            <w:pPr>
              <w:pStyle w:val="Footer"/>
              <w:tabs>
                <w:tab w:val="clear" w:pos="4153"/>
                <w:tab w:val="clear" w:pos="8306"/>
                <w:tab w:val="decimal" w:pos="979"/>
              </w:tabs>
              <w:rPr>
                <w:sz w:val="22"/>
              </w:rPr>
            </w:pPr>
            <w:r w:rsidRPr="006534F1">
              <w:rPr>
                <w:sz w:val="22"/>
              </w:rPr>
              <w:t>1</w:t>
            </w:r>
          </w:p>
        </w:tc>
        <w:tc>
          <w:tcPr>
            <w:tcW w:w="1417" w:type="dxa"/>
          </w:tcPr>
          <w:p w:rsidR="00355430" w:rsidRPr="00E01707" w:rsidRDefault="00355430" w:rsidP="00355430">
            <w:pPr>
              <w:pStyle w:val="Footer"/>
              <w:tabs>
                <w:tab w:val="clear" w:pos="4153"/>
                <w:tab w:val="clear" w:pos="8306"/>
                <w:tab w:val="decimal" w:pos="979"/>
              </w:tabs>
              <w:rPr>
                <w:sz w:val="22"/>
              </w:rPr>
            </w:pPr>
            <w:r w:rsidRPr="00E01707">
              <w:rPr>
                <w:sz w:val="22"/>
              </w:rPr>
              <w:t>1</w:t>
            </w:r>
          </w:p>
        </w:tc>
      </w:tr>
      <w:tr w:rsidR="00355430" w:rsidRPr="005024AA" w:rsidTr="00355430">
        <w:trPr>
          <w:trHeight w:hRule="exact" w:val="300"/>
        </w:trPr>
        <w:tc>
          <w:tcPr>
            <w:tcW w:w="5625" w:type="dxa"/>
          </w:tcPr>
          <w:p w:rsidR="00355430" w:rsidRPr="005024AA" w:rsidRDefault="00355430" w:rsidP="00CD62E6">
            <w:pPr>
              <w:rPr>
                <w:sz w:val="22"/>
              </w:rPr>
            </w:pPr>
            <w:r w:rsidRPr="005024AA">
              <w:rPr>
                <w:sz w:val="22"/>
              </w:rPr>
              <w:t>Fire houses</w:t>
            </w:r>
          </w:p>
        </w:tc>
        <w:tc>
          <w:tcPr>
            <w:tcW w:w="1560" w:type="dxa"/>
          </w:tcPr>
          <w:p w:rsidR="00355430" w:rsidRPr="006534F1" w:rsidRDefault="00355430" w:rsidP="00CD62E6">
            <w:pPr>
              <w:pStyle w:val="Footer"/>
              <w:tabs>
                <w:tab w:val="clear" w:pos="4153"/>
                <w:tab w:val="clear" w:pos="8306"/>
                <w:tab w:val="decimal" w:pos="979"/>
              </w:tabs>
              <w:rPr>
                <w:sz w:val="22"/>
              </w:rPr>
            </w:pPr>
            <w:r w:rsidRPr="006534F1">
              <w:rPr>
                <w:sz w:val="22"/>
              </w:rPr>
              <w:t>1</w:t>
            </w:r>
          </w:p>
        </w:tc>
        <w:tc>
          <w:tcPr>
            <w:tcW w:w="1417" w:type="dxa"/>
          </w:tcPr>
          <w:p w:rsidR="00355430" w:rsidRPr="00E01707" w:rsidRDefault="00355430" w:rsidP="00355430">
            <w:pPr>
              <w:pStyle w:val="Footer"/>
              <w:tabs>
                <w:tab w:val="clear" w:pos="4153"/>
                <w:tab w:val="clear" w:pos="8306"/>
                <w:tab w:val="decimal" w:pos="979"/>
              </w:tabs>
              <w:rPr>
                <w:sz w:val="22"/>
              </w:rPr>
            </w:pPr>
            <w:r w:rsidRPr="00E01707">
              <w:rPr>
                <w:sz w:val="22"/>
              </w:rPr>
              <w:t>1</w:t>
            </w:r>
          </w:p>
        </w:tc>
      </w:tr>
    </w:tbl>
    <w:p w:rsidR="00D90216" w:rsidRPr="005024AA" w:rsidRDefault="00D90216" w:rsidP="00D90216">
      <w:pPr>
        <w:rPr>
          <w:b/>
          <w:sz w:val="22"/>
        </w:rPr>
      </w:pPr>
    </w:p>
    <w:p w:rsidR="00D90216" w:rsidRPr="005024AA" w:rsidRDefault="00D90216" w:rsidP="00D90216">
      <w:pPr>
        <w:rPr>
          <w:sz w:val="22"/>
        </w:rPr>
      </w:pPr>
      <w:r w:rsidRPr="005024AA">
        <w:rPr>
          <w:b/>
          <w:sz w:val="22"/>
        </w:rPr>
        <w:tab/>
        <w:t xml:space="preserve">Capital Commitments </w:t>
      </w:r>
    </w:p>
    <w:p w:rsidR="00D90216" w:rsidRPr="005024AA" w:rsidRDefault="00D90216" w:rsidP="00D90216">
      <w:pPr>
        <w:ind w:left="720"/>
        <w:rPr>
          <w:sz w:val="22"/>
        </w:rPr>
      </w:pPr>
    </w:p>
    <w:p w:rsidR="00D90216" w:rsidRPr="005024AA" w:rsidRDefault="00D90216" w:rsidP="00D90216">
      <w:pPr>
        <w:pStyle w:val="BodyTextIndent"/>
        <w:jc w:val="both"/>
        <w:rPr>
          <w:sz w:val="22"/>
          <w:lang w:val="en-GB"/>
        </w:rPr>
      </w:pPr>
      <w:r w:rsidRPr="005024AA">
        <w:rPr>
          <w:sz w:val="22"/>
        </w:rPr>
        <w:t xml:space="preserve">Capital projects often take several years to complete, which means that the Authority is committed to capital expenditure in following years arising from contracts entered into at the Balance Sheet date, but on which all or part of the capital work has yet to be undertaken.  </w:t>
      </w:r>
      <w:r w:rsidRPr="005024AA">
        <w:rPr>
          <w:sz w:val="22"/>
          <w:lang w:val="en-GB"/>
        </w:rPr>
        <w:t>The estimated capital expenditure committed at 31 March 201</w:t>
      </w:r>
      <w:r w:rsidR="0051757A">
        <w:rPr>
          <w:sz w:val="22"/>
          <w:lang w:val="en-GB"/>
        </w:rPr>
        <w:t>8</w:t>
      </w:r>
      <w:r w:rsidRPr="005024AA">
        <w:rPr>
          <w:sz w:val="22"/>
          <w:lang w:val="en-GB"/>
        </w:rPr>
        <w:t xml:space="preserve"> </w:t>
      </w:r>
      <w:r w:rsidRPr="00262755">
        <w:rPr>
          <w:sz w:val="22"/>
          <w:lang w:val="en-GB"/>
        </w:rPr>
        <w:t>is £</w:t>
      </w:r>
      <w:r w:rsidR="00262755" w:rsidRPr="00262755">
        <w:rPr>
          <w:sz w:val="22"/>
          <w:lang w:val="en-GB"/>
        </w:rPr>
        <w:t>0.</w:t>
      </w:r>
      <w:r w:rsidR="005C30CB">
        <w:rPr>
          <w:sz w:val="22"/>
          <w:lang w:val="en-GB"/>
        </w:rPr>
        <w:t>545</w:t>
      </w:r>
      <w:r w:rsidRPr="00262755">
        <w:rPr>
          <w:sz w:val="22"/>
          <w:lang w:val="en-GB"/>
        </w:rPr>
        <w:t>m</w:t>
      </w:r>
      <w:r w:rsidRPr="00595C0D">
        <w:rPr>
          <w:sz w:val="22"/>
          <w:lang w:val="en-GB"/>
        </w:rPr>
        <w:t xml:space="preserve"> (201</w:t>
      </w:r>
      <w:r w:rsidR="0051757A">
        <w:rPr>
          <w:sz w:val="22"/>
          <w:lang w:val="en-GB"/>
        </w:rPr>
        <w:t>6</w:t>
      </w:r>
      <w:r w:rsidR="00355430">
        <w:rPr>
          <w:sz w:val="22"/>
          <w:lang w:val="en-GB"/>
        </w:rPr>
        <w:t>/1</w:t>
      </w:r>
      <w:r w:rsidR="0051757A">
        <w:rPr>
          <w:sz w:val="22"/>
          <w:lang w:val="en-GB"/>
        </w:rPr>
        <w:t>7</w:t>
      </w:r>
      <w:r w:rsidRPr="005024AA">
        <w:rPr>
          <w:sz w:val="22"/>
          <w:lang w:val="en-GB"/>
        </w:rPr>
        <w:t>: £</w:t>
      </w:r>
      <w:r w:rsidR="0051757A">
        <w:rPr>
          <w:sz w:val="22"/>
          <w:lang w:val="en-GB"/>
        </w:rPr>
        <w:t>3.959</w:t>
      </w:r>
      <w:r w:rsidR="009655C8">
        <w:rPr>
          <w:sz w:val="22"/>
          <w:lang w:val="en-GB"/>
        </w:rPr>
        <w:t>m</w:t>
      </w:r>
      <w:r w:rsidRPr="005024AA">
        <w:rPr>
          <w:sz w:val="22"/>
          <w:lang w:val="en-GB"/>
        </w:rPr>
        <w:t>).</w:t>
      </w:r>
    </w:p>
    <w:p w:rsidR="00D90216" w:rsidRPr="00355430" w:rsidRDefault="00D90216" w:rsidP="00355430">
      <w:pPr>
        <w:pStyle w:val="Footer"/>
        <w:tabs>
          <w:tab w:val="clear" w:pos="4153"/>
          <w:tab w:val="clear" w:pos="8306"/>
        </w:tabs>
        <w:rPr>
          <w:b/>
          <w:sz w:val="22"/>
        </w:rPr>
      </w:pPr>
      <w:r w:rsidRPr="00355430">
        <w:rPr>
          <w:b/>
          <w:sz w:val="22"/>
        </w:rPr>
        <w:br w:type="page"/>
      </w:r>
      <w:r w:rsidR="00C22F02">
        <w:rPr>
          <w:b/>
          <w:sz w:val="22"/>
        </w:rPr>
        <w:lastRenderedPageBreak/>
        <w:t>7</w:t>
      </w:r>
      <w:r w:rsidR="00355430">
        <w:rPr>
          <w:b/>
          <w:sz w:val="22"/>
        </w:rPr>
        <w:tab/>
      </w:r>
      <w:r w:rsidRPr="00355430">
        <w:rPr>
          <w:b/>
          <w:sz w:val="22"/>
          <w:szCs w:val="22"/>
        </w:rPr>
        <w:t>Intangible</w:t>
      </w:r>
      <w:r w:rsidRPr="00355430">
        <w:rPr>
          <w:b/>
          <w:sz w:val="22"/>
        </w:rPr>
        <w:t xml:space="preserve"> Assets</w:t>
      </w:r>
    </w:p>
    <w:p w:rsidR="00D90216" w:rsidRPr="00635478" w:rsidRDefault="00D90216" w:rsidP="00D90216">
      <w:pPr>
        <w:pStyle w:val="BodyTextIndent"/>
        <w:jc w:val="both"/>
        <w:rPr>
          <w:sz w:val="22"/>
        </w:rPr>
      </w:pPr>
    </w:p>
    <w:p w:rsidR="00D90216" w:rsidRPr="00635478" w:rsidRDefault="00D90216" w:rsidP="00D90216">
      <w:pPr>
        <w:pStyle w:val="BodyTextIndent"/>
        <w:jc w:val="both"/>
        <w:rPr>
          <w:sz w:val="22"/>
        </w:rPr>
      </w:pPr>
      <w:r w:rsidRPr="00635478">
        <w:rPr>
          <w:sz w:val="22"/>
        </w:rPr>
        <w:t>The Authority</w:t>
      </w:r>
      <w:r>
        <w:rPr>
          <w:sz w:val="22"/>
        </w:rPr>
        <w:t xml:space="preserve"> accounts for its software as intangible assets.  All software is given a finite useful life, based on assessments of the period that the software is expected to be of use to the Authority.  </w:t>
      </w:r>
    </w:p>
    <w:p w:rsidR="00D90216" w:rsidRPr="00635478" w:rsidRDefault="00D90216" w:rsidP="00D90216">
      <w:pPr>
        <w:pStyle w:val="BodyTextIndent"/>
        <w:jc w:val="both"/>
        <w:rPr>
          <w:sz w:val="22"/>
        </w:rPr>
      </w:pPr>
    </w:p>
    <w:tbl>
      <w:tblPr>
        <w:tblW w:w="6947" w:type="dxa"/>
        <w:tblInd w:w="817" w:type="dxa"/>
        <w:tblLayout w:type="fixed"/>
        <w:tblLook w:val="0000" w:firstRow="0" w:lastRow="0" w:firstColumn="0" w:lastColumn="0" w:noHBand="0" w:noVBand="0"/>
      </w:tblPr>
      <w:tblGrid>
        <w:gridCol w:w="4111"/>
        <w:gridCol w:w="1418"/>
        <w:gridCol w:w="1418"/>
      </w:tblGrid>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ind w:firstLine="34"/>
              <w:rPr>
                <w:rFonts w:cs="Arial"/>
                <w:b/>
                <w:bCs/>
                <w:sz w:val="22"/>
                <w:szCs w:val="22"/>
                <w:lang w:eastAsia="en-GB"/>
              </w:rPr>
            </w:pPr>
            <w:r w:rsidRPr="00570CA7">
              <w:rPr>
                <w:rFonts w:cs="Arial"/>
                <w:b/>
                <w:bCs/>
                <w:sz w:val="22"/>
                <w:szCs w:val="22"/>
                <w:lang w:eastAsia="en-GB"/>
              </w:rPr>
              <w:t xml:space="preserve">Movement during </w:t>
            </w:r>
          </w:p>
        </w:tc>
        <w:tc>
          <w:tcPr>
            <w:tcW w:w="1418" w:type="dxa"/>
            <w:tcBorders>
              <w:top w:val="nil"/>
              <w:left w:val="nil"/>
              <w:bottom w:val="nil"/>
              <w:right w:val="nil"/>
            </w:tcBorders>
            <w:shd w:val="clear" w:color="auto" w:fill="auto"/>
            <w:noWrap/>
          </w:tcPr>
          <w:p w:rsidR="00C22F02" w:rsidRPr="00E91FB1" w:rsidRDefault="00C22F02" w:rsidP="00C22F02">
            <w:pPr>
              <w:pStyle w:val="BodyTextIndent"/>
              <w:ind w:left="0"/>
              <w:jc w:val="center"/>
              <w:rPr>
                <w:sz w:val="22"/>
                <w:lang w:val="en-GB"/>
              </w:rPr>
            </w:pPr>
            <w:r w:rsidRPr="00E91FB1">
              <w:rPr>
                <w:sz w:val="22"/>
                <w:lang w:val="en-GB"/>
              </w:rPr>
              <w:t>2017/18</w:t>
            </w:r>
          </w:p>
        </w:tc>
        <w:tc>
          <w:tcPr>
            <w:tcW w:w="1418" w:type="dxa"/>
            <w:tcBorders>
              <w:top w:val="nil"/>
              <w:left w:val="nil"/>
              <w:bottom w:val="nil"/>
              <w:right w:val="nil"/>
            </w:tcBorders>
          </w:tcPr>
          <w:p w:rsidR="00C22F02" w:rsidRDefault="00C22F02" w:rsidP="00C22F02">
            <w:pPr>
              <w:pStyle w:val="BodyTextIndent"/>
              <w:ind w:left="0"/>
              <w:jc w:val="center"/>
              <w:rPr>
                <w:sz w:val="22"/>
                <w:lang w:val="en-GB"/>
              </w:rPr>
            </w:pPr>
            <w:r w:rsidRPr="005024AA">
              <w:rPr>
                <w:sz w:val="22"/>
                <w:lang w:val="en-GB"/>
              </w:rPr>
              <w:t>201</w:t>
            </w:r>
            <w:r>
              <w:rPr>
                <w:sz w:val="22"/>
                <w:lang w:val="en-GB"/>
              </w:rPr>
              <w:t>6/17</w:t>
            </w:r>
          </w:p>
          <w:p w:rsidR="00CA025A" w:rsidRPr="005024AA" w:rsidRDefault="00CA025A" w:rsidP="00C22F02">
            <w:pPr>
              <w:pStyle w:val="BodyTextIndent"/>
              <w:ind w:left="0"/>
              <w:jc w:val="center"/>
              <w:rPr>
                <w:sz w:val="22"/>
                <w:lang w:val="en-GB"/>
              </w:rPr>
            </w:pPr>
            <w:r>
              <w:rPr>
                <w:sz w:val="22"/>
                <w:lang w:val="en-GB"/>
              </w:rPr>
              <w:t>As restated</w:t>
            </w:r>
          </w:p>
        </w:tc>
      </w:tr>
      <w:tr w:rsidR="00635443" w:rsidRPr="00A60775" w:rsidTr="00807885">
        <w:trPr>
          <w:trHeight w:val="255"/>
        </w:trPr>
        <w:tc>
          <w:tcPr>
            <w:tcW w:w="4111" w:type="dxa"/>
            <w:tcBorders>
              <w:top w:val="nil"/>
              <w:left w:val="nil"/>
              <w:bottom w:val="nil"/>
              <w:right w:val="nil"/>
            </w:tcBorders>
            <w:shd w:val="clear" w:color="auto" w:fill="auto"/>
            <w:noWrap/>
            <w:vAlign w:val="bottom"/>
          </w:tcPr>
          <w:p w:rsidR="00635443" w:rsidRPr="00570CA7" w:rsidRDefault="00635443" w:rsidP="00CD62E6">
            <w:pPr>
              <w:rPr>
                <w:rFonts w:cs="Arial"/>
                <w:b/>
                <w:bCs/>
                <w:sz w:val="22"/>
                <w:szCs w:val="22"/>
                <w:lang w:eastAsia="en-GB"/>
              </w:rPr>
            </w:pPr>
          </w:p>
        </w:tc>
        <w:tc>
          <w:tcPr>
            <w:tcW w:w="1418" w:type="dxa"/>
            <w:tcBorders>
              <w:top w:val="nil"/>
              <w:left w:val="nil"/>
              <w:bottom w:val="nil"/>
              <w:right w:val="nil"/>
            </w:tcBorders>
            <w:shd w:val="clear" w:color="auto" w:fill="auto"/>
            <w:noWrap/>
            <w:vAlign w:val="bottom"/>
          </w:tcPr>
          <w:p w:rsidR="00635443" w:rsidRPr="00E91FB1" w:rsidRDefault="00635443" w:rsidP="00635443">
            <w:pPr>
              <w:jc w:val="center"/>
              <w:rPr>
                <w:rFonts w:cs="Arial"/>
                <w:sz w:val="22"/>
                <w:szCs w:val="22"/>
                <w:lang w:eastAsia="en-GB"/>
              </w:rPr>
            </w:pPr>
            <w:r w:rsidRPr="00E91FB1">
              <w:rPr>
                <w:rFonts w:cs="Arial"/>
                <w:sz w:val="22"/>
                <w:szCs w:val="22"/>
                <w:lang w:eastAsia="en-GB"/>
              </w:rPr>
              <w:t>£000</w:t>
            </w:r>
          </w:p>
        </w:tc>
        <w:tc>
          <w:tcPr>
            <w:tcW w:w="1418" w:type="dxa"/>
            <w:tcBorders>
              <w:top w:val="nil"/>
              <w:left w:val="nil"/>
              <w:bottom w:val="nil"/>
              <w:right w:val="nil"/>
            </w:tcBorders>
            <w:vAlign w:val="bottom"/>
          </w:tcPr>
          <w:p w:rsidR="00635443" w:rsidRPr="00570CA7" w:rsidRDefault="00635443" w:rsidP="00807885">
            <w:pPr>
              <w:jc w:val="center"/>
              <w:rPr>
                <w:rFonts w:cs="Arial"/>
                <w:sz w:val="22"/>
                <w:szCs w:val="22"/>
                <w:lang w:eastAsia="en-GB"/>
              </w:rPr>
            </w:pPr>
            <w:r>
              <w:rPr>
                <w:rFonts w:cs="Arial"/>
                <w:sz w:val="22"/>
                <w:szCs w:val="22"/>
                <w:lang w:eastAsia="en-GB"/>
              </w:rPr>
              <w:t>£000</w:t>
            </w:r>
          </w:p>
        </w:tc>
      </w:tr>
      <w:tr w:rsidR="00635443" w:rsidRPr="00A60775" w:rsidTr="00500BCF">
        <w:trPr>
          <w:trHeight w:val="255"/>
        </w:trPr>
        <w:tc>
          <w:tcPr>
            <w:tcW w:w="4111" w:type="dxa"/>
            <w:tcBorders>
              <w:top w:val="nil"/>
              <w:left w:val="nil"/>
              <w:bottom w:val="nil"/>
              <w:right w:val="nil"/>
            </w:tcBorders>
            <w:shd w:val="clear" w:color="auto" w:fill="auto"/>
            <w:noWrap/>
            <w:vAlign w:val="bottom"/>
          </w:tcPr>
          <w:p w:rsidR="00635443" w:rsidRPr="00570CA7" w:rsidRDefault="00635443" w:rsidP="00CD62E6">
            <w:pPr>
              <w:rPr>
                <w:rFonts w:cs="Arial"/>
                <w:b/>
                <w:bCs/>
                <w:sz w:val="22"/>
                <w:szCs w:val="22"/>
                <w:lang w:eastAsia="en-GB"/>
              </w:rPr>
            </w:pPr>
            <w:r w:rsidRPr="00570CA7">
              <w:rPr>
                <w:rFonts w:cs="Arial"/>
                <w:b/>
                <w:bCs/>
                <w:sz w:val="22"/>
                <w:szCs w:val="22"/>
                <w:lang w:eastAsia="en-GB"/>
              </w:rPr>
              <w:t>Cost or valuation</w:t>
            </w:r>
          </w:p>
        </w:tc>
        <w:tc>
          <w:tcPr>
            <w:tcW w:w="1418" w:type="dxa"/>
            <w:tcBorders>
              <w:top w:val="nil"/>
              <w:left w:val="nil"/>
              <w:bottom w:val="nil"/>
              <w:right w:val="nil"/>
            </w:tcBorders>
            <w:shd w:val="clear" w:color="auto" w:fill="auto"/>
            <w:noWrap/>
            <w:vAlign w:val="bottom"/>
          </w:tcPr>
          <w:p w:rsidR="00635443" w:rsidRPr="001D694F" w:rsidRDefault="00635443" w:rsidP="00CD62E6">
            <w:pPr>
              <w:rPr>
                <w:rFonts w:cs="Arial"/>
                <w:sz w:val="22"/>
                <w:szCs w:val="22"/>
                <w:highlight w:val="yellow"/>
                <w:lang w:eastAsia="en-GB"/>
              </w:rPr>
            </w:pPr>
          </w:p>
        </w:tc>
        <w:tc>
          <w:tcPr>
            <w:tcW w:w="1418" w:type="dxa"/>
            <w:tcBorders>
              <w:top w:val="nil"/>
              <w:left w:val="nil"/>
              <w:bottom w:val="nil"/>
              <w:right w:val="nil"/>
            </w:tcBorders>
          </w:tcPr>
          <w:p w:rsidR="00635443" w:rsidRPr="00570CA7" w:rsidRDefault="00635443" w:rsidP="00CD62E6">
            <w:pPr>
              <w:rPr>
                <w:rFonts w:cs="Arial"/>
                <w:sz w:val="22"/>
                <w:szCs w:val="22"/>
                <w:lang w:eastAsia="en-GB"/>
              </w:rPr>
            </w:pP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lang w:eastAsia="en-GB"/>
              </w:rPr>
            </w:pPr>
            <w:r w:rsidRPr="00570CA7">
              <w:rPr>
                <w:rFonts w:cs="Arial"/>
                <w:sz w:val="22"/>
                <w:szCs w:val="22"/>
                <w:lang w:eastAsia="en-GB"/>
              </w:rPr>
              <w:t>A</w:t>
            </w:r>
            <w:r>
              <w:rPr>
                <w:rFonts w:cs="Arial"/>
                <w:sz w:val="22"/>
                <w:szCs w:val="22"/>
                <w:lang w:eastAsia="en-GB"/>
              </w:rPr>
              <w:t xml:space="preserve">t 1 April </w:t>
            </w:r>
          </w:p>
        </w:tc>
        <w:tc>
          <w:tcPr>
            <w:tcW w:w="1418" w:type="dxa"/>
            <w:tcBorders>
              <w:top w:val="nil"/>
              <w:left w:val="nil"/>
              <w:bottom w:val="nil"/>
              <w:right w:val="nil"/>
            </w:tcBorders>
            <w:shd w:val="clear" w:color="auto" w:fill="auto"/>
            <w:noWrap/>
            <w:vAlign w:val="bottom"/>
          </w:tcPr>
          <w:p w:rsidR="00C22F02" w:rsidRPr="00E91FB1" w:rsidRDefault="00CA025A" w:rsidP="000C4ECF">
            <w:pPr>
              <w:jc w:val="right"/>
              <w:rPr>
                <w:rFonts w:cs="Arial"/>
                <w:sz w:val="22"/>
                <w:szCs w:val="22"/>
                <w:lang w:eastAsia="en-GB"/>
              </w:rPr>
            </w:pPr>
            <w:r>
              <w:rPr>
                <w:rFonts w:cs="Arial"/>
                <w:sz w:val="22"/>
                <w:szCs w:val="22"/>
                <w:lang w:eastAsia="en-GB"/>
              </w:rPr>
              <w:t>2,131</w:t>
            </w:r>
          </w:p>
        </w:tc>
        <w:tc>
          <w:tcPr>
            <w:tcW w:w="1418" w:type="dxa"/>
            <w:tcBorders>
              <w:top w:val="nil"/>
              <w:left w:val="nil"/>
              <w:bottom w:val="nil"/>
              <w:right w:val="nil"/>
            </w:tcBorders>
            <w:vAlign w:val="bottom"/>
          </w:tcPr>
          <w:p w:rsidR="00C22F02" w:rsidRPr="00C20BDE" w:rsidRDefault="00CA025A" w:rsidP="00C22F02">
            <w:pPr>
              <w:jc w:val="right"/>
              <w:rPr>
                <w:rFonts w:cs="Arial"/>
                <w:sz w:val="22"/>
                <w:szCs w:val="22"/>
                <w:lang w:eastAsia="en-GB"/>
              </w:rPr>
            </w:pPr>
            <w:r>
              <w:rPr>
                <w:rFonts w:cs="Arial"/>
                <w:sz w:val="22"/>
                <w:szCs w:val="22"/>
                <w:lang w:eastAsia="en-GB"/>
              </w:rPr>
              <w:t>2,044</w:t>
            </w:r>
          </w:p>
        </w:tc>
      </w:tr>
      <w:tr w:rsidR="000B4A14" w:rsidRPr="00A60775" w:rsidTr="0013515F">
        <w:trPr>
          <w:trHeight w:val="255"/>
        </w:trPr>
        <w:tc>
          <w:tcPr>
            <w:tcW w:w="4111" w:type="dxa"/>
            <w:tcBorders>
              <w:top w:val="nil"/>
              <w:left w:val="nil"/>
              <w:bottom w:val="nil"/>
              <w:right w:val="nil"/>
            </w:tcBorders>
            <w:shd w:val="clear" w:color="auto" w:fill="auto"/>
            <w:noWrap/>
            <w:vAlign w:val="bottom"/>
          </w:tcPr>
          <w:p w:rsidR="000B4A14" w:rsidRPr="00570CA7" w:rsidRDefault="000B4A14" w:rsidP="00E4334F">
            <w:pPr>
              <w:pStyle w:val="CommentText"/>
              <w:rPr>
                <w:rFonts w:cs="Arial"/>
                <w:sz w:val="22"/>
                <w:szCs w:val="22"/>
                <w:lang w:eastAsia="en-GB"/>
              </w:rPr>
            </w:pPr>
            <w:r>
              <w:rPr>
                <w:rFonts w:cs="Arial"/>
                <w:sz w:val="22"/>
                <w:szCs w:val="22"/>
                <w:lang w:eastAsia="en-GB"/>
              </w:rPr>
              <w:t>Additions</w:t>
            </w:r>
          </w:p>
        </w:tc>
        <w:tc>
          <w:tcPr>
            <w:tcW w:w="1418" w:type="dxa"/>
            <w:tcBorders>
              <w:top w:val="nil"/>
              <w:left w:val="nil"/>
              <w:right w:val="nil"/>
            </w:tcBorders>
            <w:shd w:val="clear" w:color="auto" w:fill="auto"/>
            <w:noWrap/>
            <w:vAlign w:val="bottom"/>
          </w:tcPr>
          <w:p w:rsidR="000B4A14" w:rsidRPr="00E91FB1" w:rsidRDefault="00CA025A" w:rsidP="00E4334F">
            <w:pPr>
              <w:jc w:val="right"/>
              <w:rPr>
                <w:rFonts w:cs="Arial"/>
                <w:sz w:val="22"/>
                <w:szCs w:val="22"/>
                <w:lang w:eastAsia="en-GB"/>
              </w:rPr>
            </w:pPr>
            <w:r>
              <w:rPr>
                <w:rFonts w:cs="Arial"/>
                <w:sz w:val="22"/>
                <w:szCs w:val="22"/>
                <w:lang w:eastAsia="en-GB"/>
              </w:rPr>
              <w:t>10</w:t>
            </w:r>
          </w:p>
        </w:tc>
        <w:tc>
          <w:tcPr>
            <w:tcW w:w="1418" w:type="dxa"/>
            <w:tcBorders>
              <w:top w:val="nil"/>
              <w:left w:val="nil"/>
              <w:right w:val="nil"/>
            </w:tcBorders>
            <w:vAlign w:val="bottom"/>
          </w:tcPr>
          <w:p w:rsidR="000B4A14" w:rsidRPr="00C20BDE" w:rsidRDefault="00CA025A" w:rsidP="000C4ECF">
            <w:pPr>
              <w:jc w:val="right"/>
              <w:rPr>
                <w:rFonts w:cs="Arial"/>
                <w:sz w:val="22"/>
                <w:szCs w:val="22"/>
                <w:lang w:eastAsia="en-GB"/>
              </w:rPr>
            </w:pPr>
            <w:r>
              <w:rPr>
                <w:rFonts w:cs="Arial"/>
                <w:sz w:val="22"/>
                <w:szCs w:val="22"/>
                <w:lang w:eastAsia="en-GB"/>
              </w:rPr>
              <w:t>87</w:t>
            </w: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0B4A14" w:rsidP="00CD62E6">
            <w:pPr>
              <w:pStyle w:val="CommentText"/>
              <w:rPr>
                <w:rFonts w:cs="Arial"/>
                <w:sz w:val="22"/>
                <w:szCs w:val="22"/>
                <w:lang w:eastAsia="en-GB"/>
              </w:rPr>
            </w:pPr>
            <w:r>
              <w:rPr>
                <w:rFonts w:cs="Arial"/>
                <w:sz w:val="22"/>
                <w:szCs w:val="22"/>
                <w:lang w:eastAsia="en-GB"/>
              </w:rPr>
              <w:t>Disposals</w:t>
            </w:r>
          </w:p>
        </w:tc>
        <w:tc>
          <w:tcPr>
            <w:tcW w:w="1418" w:type="dxa"/>
            <w:tcBorders>
              <w:top w:val="nil"/>
              <w:left w:val="nil"/>
              <w:right w:val="nil"/>
            </w:tcBorders>
            <w:shd w:val="clear" w:color="auto" w:fill="auto"/>
            <w:noWrap/>
            <w:vAlign w:val="bottom"/>
          </w:tcPr>
          <w:p w:rsidR="00C22F02" w:rsidRPr="00E91FB1" w:rsidRDefault="000B4A14" w:rsidP="006B7922">
            <w:pPr>
              <w:jc w:val="right"/>
              <w:rPr>
                <w:rFonts w:cs="Arial"/>
                <w:sz w:val="22"/>
                <w:szCs w:val="22"/>
                <w:lang w:eastAsia="en-GB"/>
              </w:rPr>
            </w:pPr>
            <w:r>
              <w:rPr>
                <w:rFonts w:cs="Arial"/>
                <w:sz w:val="22"/>
                <w:szCs w:val="22"/>
                <w:lang w:eastAsia="en-GB"/>
              </w:rPr>
              <w:t>(54)</w:t>
            </w:r>
          </w:p>
        </w:tc>
        <w:tc>
          <w:tcPr>
            <w:tcW w:w="1418" w:type="dxa"/>
            <w:tcBorders>
              <w:top w:val="nil"/>
              <w:left w:val="nil"/>
              <w:right w:val="nil"/>
            </w:tcBorders>
            <w:vAlign w:val="bottom"/>
          </w:tcPr>
          <w:p w:rsidR="00C22F02" w:rsidRPr="00C20BDE" w:rsidRDefault="000B4A14" w:rsidP="00C22F02">
            <w:pPr>
              <w:jc w:val="right"/>
              <w:rPr>
                <w:rFonts w:cs="Arial"/>
                <w:sz w:val="22"/>
                <w:szCs w:val="22"/>
                <w:lang w:eastAsia="en-GB"/>
              </w:rPr>
            </w:pPr>
            <w:r>
              <w:rPr>
                <w:rFonts w:cs="Arial"/>
                <w:sz w:val="22"/>
                <w:szCs w:val="22"/>
                <w:lang w:eastAsia="en-GB"/>
              </w:rPr>
              <w:t>-</w:t>
            </w: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lang w:eastAsia="en-GB"/>
              </w:rPr>
            </w:pPr>
            <w:r w:rsidRPr="00570CA7">
              <w:rPr>
                <w:rFonts w:cs="Arial"/>
                <w:sz w:val="22"/>
                <w:szCs w:val="22"/>
                <w:lang w:eastAsia="en-GB"/>
              </w:rPr>
              <w:t>As at 31 March</w:t>
            </w:r>
          </w:p>
        </w:tc>
        <w:tc>
          <w:tcPr>
            <w:tcW w:w="1418" w:type="dxa"/>
            <w:tcBorders>
              <w:top w:val="single" w:sz="4" w:space="0" w:color="auto"/>
              <w:left w:val="nil"/>
              <w:bottom w:val="nil"/>
              <w:right w:val="nil"/>
            </w:tcBorders>
            <w:shd w:val="clear" w:color="auto" w:fill="auto"/>
            <w:noWrap/>
            <w:vAlign w:val="bottom"/>
          </w:tcPr>
          <w:p w:rsidR="00C22F02" w:rsidRPr="00E91FB1" w:rsidRDefault="00CA025A" w:rsidP="000C4ECF">
            <w:pPr>
              <w:jc w:val="right"/>
              <w:rPr>
                <w:rFonts w:cs="Arial"/>
                <w:sz w:val="22"/>
                <w:szCs w:val="22"/>
                <w:lang w:eastAsia="en-GB"/>
              </w:rPr>
            </w:pPr>
            <w:r>
              <w:rPr>
                <w:rFonts w:cs="Arial"/>
                <w:sz w:val="22"/>
                <w:szCs w:val="22"/>
                <w:lang w:eastAsia="en-GB"/>
              </w:rPr>
              <w:t>2,087</w:t>
            </w:r>
          </w:p>
        </w:tc>
        <w:tc>
          <w:tcPr>
            <w:tcW w:w="1418" w:type="dxa"/>
            <w:tcBorders>
              <w:top w:val="single" w:sz="4" w:space="0" w:color="auto"/>
              <w:left w:val="nil"/>
              <w:bottom w:val="nil"/>
              <w:right w:val="nil"/>
            </w:tcBorders>
            <w:vAlign w:val="bottom"/>
          </w:tcPr>
          <w:p w:rsidR="00C22F02" w:rsidRPr="00C20BDE" w:rsidRDefault="00CA025A" w:rsidP="000C4ECF">
            <w:pPr>
              <w:jc w:val="right"/>
              <w:rPr>
                <w:rFonts w:cs="Arial"/>
                <w:sz w:val="22"/>
                <w:szCs w:val="22"/>
                <w:lang w:eastAsia="en-GB"/>
              </w:rPr>
            </w:pPr>
            <w:r>
              <w:rPr>
                <w:rFonts w:cs="Arial"/>
                <w:sz w:val="22"/>
                <w:szCs w:val="22"/>
                <w:lang w:eastAsia="en-GB"/>
              </w:rPr>
              <w:t>2,131</w:t>
            </w: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highlight w:val="cyan"/>
                <w:lang w:eastAsia="en-GB"/>
              </w:rPr>
            </w:pPr>
          </w:p>
        </w:tc>
        <w:tc>
          <w:tcPr>
            <w:tcW w:w="1418" w:type="dxa"/>
            <w:tcBorders>
              <w:top w:val="nil"/>
              <w:left w:val="nil"/>
              <w:bottom w:val="nil"/>
              <w:right w:val="nil"/>
            </w:tcBorders>
            <w:shd w:val="clear" w:color="auto" w:fill="auto"/>
            <w:noWrap/>
            <w:vAlign w:val="bottom"/>
          </w:tcPr>
          <w:p w:rsidR="00C22F02" w:rsidRPr="00E91FB1" w:rsidRDefault="00C22F02" w:rsidP="00CD62E6">
            <w:pPr>
              <w:rPr>
                <w:rFonts w:cs="Arial"/>
                <w:sz w:val="22"/>
                <w:szCs w:val="22"/>
                <w:lang w:eastAsia="en-GB"/>
              </w:rPr>
            </w:pPr>
          </w:p>
        </w:tc>
        <w:tc>
          <w:tcPr>
            <w:tcW w:w="1418" w:type="dxa"/>
            <w:tcBorders>
              <w:top w:val="nil"/>
              <w:left w:val="nil"/>
              <w:bottom w:val="nil"/>
              <w:right w:val="nil"/>
            </w:tcBorders>
            <w:vAlign w:val="bottom"/>
          </w:tcPr>
          <w:p w:rsidR="00C22F02" w:rsidRPr="00C20BDE" w:rsidRDefault="00C22F02" w:rsidP="00C22F02">
            <w:pPr>
              <w:rPr>
                <w:rFonts w:cs="Arial"/>
                <w:sz w:val="22"/>
                <w:szCs w:val="22"/>
                <w:lang w:eastAsia="en-GB"/>
              </w:rPr>
            </w:pP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lang w:eastAsia="en-GB"/>
              </w:rPr>
            </w:pPr>
            <w:r w:rsidRPr="00570CA7">
              <w:rPr>
                <w:rFonts w:cs="Arial"/>
                <w:b/>
                <w:bCs/>
                <w:sz w:val="22"/>
                <w:szCs w:val="22"/>
                <w:lang w:eastAsia="en-GB"/>
              </w:rPr>
              <w:t>Amortisation</w:t>
            </w:r>
            <w:r>
              <w:rPr>
                <w:rFonts w:cs="Arial"/>
                <w:b/>
                <w:bCs/>
                <w:sz w:val="22"/>
                <w:szCs w:val="22"/>
                <w:lang w:eastAsia="en-GB"/>
              </w:rPr>
              <w:t xml:space="preserve"> &amp; impairment</w:t>
            </w:r>
          </w:p>
        </w:tc>
        <w:tc>
          <w:tcPr>
            <w:tcW w:w="1418" w:type="dxa"/>
            <w:tcBorders>
              <w:top w:val="nil"/>
              <w:left w:val="nil"/>
              <w:bottom w:val="nil"/>
              <w:right w:val="nil"/>
            </w:tcBorders>
            <w:shd w:val="clear" w:color="auto" w:fill="auto"/>
            <w:noWrap/>
            <w:vAlign w:val="bottom"/>
          </w:tcPr>
          <w:p w:rsidR="00C22F02" w:rsidRPr="00E91FB1" w:rsidRDefault="00C22F02" w:rsidP="00CD62E6">
            <w:pPr>
              <w:jc w:val="right"/>
              <w:rPr>
                <w:rFonts w:cs="Arial"/>
                <w:sz w:val="22"/>
                <w:szCs w:val="22"/>
                <w:lang w:eastAsia="en-GB"/>
              </w:rPr>
            </w:pPr>
          </w:p>
        </w:tc>
        <w:tc>
          <w:tcPr>
            <w:tcW w:w="1418" w:type="dxa"/>
            <w:tcBorders>
              <w:top w:val="nil"/>
              <w:left w:val="nil"/>
              <w:bottom w:val="nil"/>
              <w:right w:val="nil"/>
            </w:tcBorders>
            <w:vAlign w:val="bottom"/>
          </w:tcPr>
          <w:p w:rsidR="00C22F02" w:rsidRPr="00C20BDE" w:rsidRDefault="00C22F02" w:rsidP="00C22F02">
            <w:pPr>
              <w:jc w:val="right"/>
              <w:rPr>
                <w:rFonts w:cs="Arial"/>
                <w:sz w:val="22"/>
                <w:szCs w:val="22"/>
                <w:lang w:eastAsia="en-GB"/>
              </w:rPr>
            </w:pPr>
          </w:p>
        </w:tc>
      </w:tr>
      <w:tr w:rsidR="00C22F02" w:rsidRPr="00A60775" w:rsidTr="000B4A14">
        <w:trPr>
          <w:trHeight w:val="255"/>
        </w:trPr>
        <w:tc>
          <w:tcPr>
            <w:tcW w:w="4111" w:type="dxa"/>
            <w:tcBorders>
              <w:top w:val="nil"/>
              <w:left w:val="nil"/>
              <w:bottom w:val="nil"/>
              <w:right w:val="nil"/>
            </w:tcBorders>
            <w:shd w:val="clear" w:color="auto" w:fill="auto"/>
            <w:noWrap/>
            <w:vAlign w:val="bottom"/>
          </w:tcPr>
          <w:p w:rsidR="00C22F02" w:rsidRPr="000E2F44" w:rsidRDefault="00C22F02" w:rsidP="00CD62E6">
            <w:pPr>
              <w:rPr>
                <w:rFonts w:cs="Arial"/>
                <w:sz w:val="22"/>
                <w:szCs w:val="22"/>
                <w:lang w:eastAsia="en-GB"/>
              </w:rPr>
            </w:pPr>
            <w:r w:rsidRPr="000E2F44">
              <w:rPr>
                <w:rFonts w:cs="Arial"/>
                <w:sz w:val="22"/>
                <w:szCs w:val="22"/>
                <w:lang w:eastAsia="en-GB"/>
              </w:rPr>
              <w:t xml:space="preserve"> At 1 April </w:t>
            </w:r>
          </w:p>
        </w:tc>
        <w:tc>
          <w:tcPr>
            <w:tcW w:w="1418" w:type="dxa"/>
            <w:tcBorders>
              <w:top w:val="nil"/>
              <w:left w:val="nil"/>
              <w:right w:val="nil"/>
            </w:tcBorders>
            <w:shd w:val="clear" w:color="auto" w:fill="auto"/>
            <w:noWrap/>
            <w:vAlign w:val="bottom"/>
          </w:tcPr>
          <w:p w:rsidR="00C22F02" w:rsidRPr="00E91FB1" w:rsidRDefault="00C22F02" w:rsidP="007D6EEA">
            <w:pPr>
              <w:jc w:val="right"/>
              <w:rPr>
                <w:rFonts w:cs="Arial"/>
                <w:sz w:val="22"/>
                <w:szCs w:val="22"/>
                <w:lang w:eastAsia="en-GB"/>
              </w:rPr>
            </w:pPr>
            <w:r w:rsidRPr="00E91FB1">
              <w:rPr>
                <w:rFonts w:cs="Arial"/>
                <w:sz w:val="22"/>
                <w:szCs w:val="22"/>
                <w:lang w:eastAsia="en-GB"/>
              </w:rPr>
              <w:t>(1,</w:t>
            </w:r>
            <w:r w:rsidR="007D6EEA">
              <w:rPr>
                <w:rFonts w:cs="Arial"/>
                <w:sz w:val="22"/>
                <w:szCs w:val="22"/>
                <w:lang w:eastAsia="en-GB"/>
              </w:rPr>
              <w:t>447</w:t>
            </w:r>
            <w:r w:rsidRPr="00E91FB1">
              <w:rPr>
                <w:rFonts w:cs="Arial"/>
                <w:sz w:val="22"/>
                <w:szCs w:val="22"/>
                <w:lang w:eastAsia="en-GB"/>
              </w:rPr>
              <w:t>)</w:t>
            </w:r>
          </w:p>
        </w:tc>
        <w:tc>
          <w:tcPr>
            <w:tcW w:w="1418" w:type="dxa"/>
            <w:tcBorders>
              <w:top w:val="nil"/>
              <w:left w:val="nil"/>
              <w:right w:val="nil"/>
            </w:tcBorders>
            <w:vAlign w:val="bottom"/>
          </w:tcPr>
          <w:p w:rsidR="00C22F02" w:rsidRPr="00C20BDE" w:rsidRDefault="00C22F02" w:rsidP="00CA025A">
            <w:pPr>
              <w:jc w:val="right"/>
              <w:rPr>
                <w:rFonts w:cs="Arial"/>
                <w:sz w:val="22"/>
                <w:szCs w:val="22"/>
                <w:lang w:eastAsia="en-GB"/>
              </w:rPr>
            </w:pPr>
            <w:r w:rsidRPr="00C20BDE">
              <w:rPr>
                <w:rFonts w:cs="Arial"/>
                <w:sz w:val="22"/>
                <w:szCs w:val="22"/>
                <w:lang w:eastAsia="en-GB"/>
              </w:rPr>
              <w:t>(</w:t>
            </w:r>
            <w:r>
              <w:rPr>
                <w:rFonts w:cs="Arial"/>
                <w:sz w:val="22"/>
                <w:szCs w:val="22"/>
                <w:lang w:eastAsia="en-GB"/>
              </w:rPr>
              <w:t>1,</w:t>
            </w:r>
            <w:r w:rsidR="00CA025A">
              <w:rPr>
                <w:rFonts w:cs="Arial"/>
                <w:sz w:val="22"/>
                <w:szCs w:val="22"/>
                <w:lang w:eastAsia="en-GB"/>
              </w:rPr>
              <w:t>217</w:t>
            </w:r>
            <w:r w:rsidRPr="00C20BDE">
              <w:rPr>
                <w:rFonts w:cs="Arial"/>
                <w:sz w:val="22"/>
                <w:szCs w:val="22"/>
                <w:lang w:eastAsia="en-GB"/>
              </w:rPr>
              <w:t>)</w:t>
            </w:r>
          </w:p>
        </w:tc>
      </w:tr>
      <w:tr w:rsidR="00C22F02" w:rsidRPr="00570CA7" w:rsidTr="000B4A14">
        <w:trPr>
          <w:trHeight w:val="255"/>
        </w:trPr>
        <w:tc>
          <w:tcPr>
            <w:tcW w:w="4111" w:type="dxa"/>
            <w:tcBorders>
              <w:top w:val="nil"/>
              <w:left w:val="nil"/>
              <w:bottom w:val="nil"/>
              <w:right w:val="nil"/>
            </w:tcBorders>
            <w:shd w:val="clear" w:color="auto" w:fill="auto"/>
            <w:noWrap/>
            <w:vAlign w:val="bottom"/>
          </w:tcPr>
          <w:p w:rsidR="00C22F02" w:rsidRPr="000E2F44" w:rsidRDefault="00C22F02" w:rsidP="00CD62E6">
            <w:pPr>
              <w:rPr>
                <w:rFonts w:cs="Arial"/>
                <w:sz w:val="22"/>
                <w:szCs w:val="22"/>
                <w:lang w:eastAsia="en-GB"/>
              </w:rPr>
            </w:pPr>
            <w:r w:rsidRPr="000E2F44">
              <w:rPr>
                <w:rFonts w:cs="Arial"/>
                <w:sz w:val="22"/>
                <w:szCs w:val="22"/>
                <w:lang w:eastAsia="en-GB"/>
              </w:rPr>
              <w:t>Amortisation charge for the year</w:t>
            </w:r>
          </w:p>
        </w:tc>
        <w:tc>
          <w:tcPr>
            <w:tcW w:w="1418" w:type="dxa"/>
            <w:tcBorders>
              <w:top w:val="nil"/>
              <w:left w:val="nil"/>
              <w:right w:val="nil"/>
            </w:tcBorders>
            <w:shd w:val="clear" w:color="auto" w:fill="auto"/>
            <w:noWrap/>
            <w:vAlign w:val="bottom"/>
          </w:tcPr>
          <w:p w:rsidR="00C22F02" w:rsidRPr="00E91FB1" w:rsidRDefault="000B4A14" w:rsidP="007D6EEA">
            <w:pPr>
              <w:jc w:val="right"/>
              <w:rPr>
                <w:rFonts w:cs="Arial"/>
                <w:sz w:val="22"/>
                <w:szCs w:val="22"/>
                <w:lang w:eastAsia="en-GB"/>
              </w:rPr>
            </w:pPr>
            <w:r>
              <w:rPr>
                <w:rFonts w:cs="Arial"/>
                <w:sz w:val="22"/>
                <w:szCs w:val="22"/>
                <w:lang w:eastAsia="en-GB"/>
              </w:rPr>
              <w:t>(</w:t>
            </w:r>
            <w:r w:rsidR="007D6EEA">
              <w:rPr>
                <w:rFonts w:cs="Arial"/>
                <w:sz w:val="22"/>
                <w:szCs w:val="22"/>
                <w:lang w:eastAsia="en-GB"/>
              </w:rPr>
              <w:t>222</w:t>
            </w:r>
            <w:r>
              <w:rPr>
                <w:rFonts w:cs="Arial"/>
                <w:sz w:val="22"/>
                <w:szCs w:val="22"/>
                <w:lang w:eastAsia="en-GB"/>
              </w:rPr>
              <w:t>)</w:t>
            </w:r>
          </w:p>
        </w:tc>
        <w:tc>
          <w:tcPr>
            <w:tcW w:w="1418" w:type="dxa"/>
            <w:tcBorders>
              <w:top w:val="nil"/>
              <w:left w:val="nil"/>
              <w:right w:val="nil"/>
            </w:tcBorders>
            <w:vAlign w:val="bottom"/>
          </w:tcPr>
          <w:p w:rsidR="00C22F02" w:rsidRPr="00C20BDE" w:rsidRDefault="00C22F02" w:rsidP="00CA025A">
            <w:pPr>
              <w:jc w:val="right"/>
              <w:rPr>
                <w:rFonts w:cs="Arial"/>
                <w:sz w:val="22"/>
                <w:szCs w:val="22"/>
                <w:lang w:eastAsia="en-GB"/>
              </w:rPr>
            </w:pPr>
            <w:r>
              <w:rPr>
                <w:rFonts w:cs="Arial"/>
                <w:sz w:val="22"/>
                <w:szCs w:val="22"/>
                <w:lang w:eastAsia="en-GB"/>
              </w:rPr>
              <w:t>(</w:t>
            </w:r>
            <w:r w:rsidR="00CA025A">
              <w:rPr>
                <w:rFonts w:cs="Arial"/>
                <w:sz w:val="22"/>
                <w:szCs w:val="22"/>
                <w:lang w:eastAsia="en-GB"/>
              </w:rPr>
              <w:t>230</w:t>
            </w:r>
            <w:r>
              <w:rPr>
                <w:rFonts w:cs="Arial"/>
                <w:sz w:val="22"/>
                <w:szCs w:val="22"/>
                <w:lang w:eastAsia="en-GB"/>
              </w:rPr>
              <w:t>)</w:t>
            </w:r>
          </w:p>
        </w:tc>
      </w:tr>
      <w:tr w:rsidR="000B4A14" w:rsidRPr="00A60775" w:rsidTr="000B4A14">
        <w:trPr>
          <w:trHeight w:val="255"/>
        </w:trPr>
        <w:tc>
          <w:tcPr>
            <w:tcW w:w="4111" w:type="dxa"/>
            <w:tcBorders>
              <w:top w:val="nil"/>
              <w:left w:val="nil"/>
              <w:bottom w:val="nil"/>
              <w:right w:val="nil"/>
            </w:tcBorders>
            <w:shd w:val="clear" w:color="auto" w:fill="auto"/>
            <w:noWrap/>
            <w:vAlign w:val="bottom"/>
          </w:tcPr>
          <w:p w:rsidR="000B4A14" w:rsidRPr="00570CA7" w:rsidRDefault="000B4A14" w:rsidP="00CD62E6">
            <w:pPr>
              <w:rPr>
                <w:rFonts w:cs="Arial"/>
                <w:sz w:val="22"/>
                <w:szCs w:val="22"/>
                <w:lang w:eastAsia="en-GB"/>
              </w:rPr>
            </w:pPr>
            <w:r>
              <w:rPr>
                <w:rFonts w:cs="Arial"/>
                <w:sz w:val="22"/>
                <w:szCs w:val="22"/>
                <w:lang w:eastAsia="en-GB"/>
              </w:rPr>
              <w:t>Disposals</w:t>
            </w:r>
          </w:p>
        </w:tc>
        <w:tc>
          <w:tcPr>
            <w:tcW w:w="1418" w:type="dxa"/>
            <w:tcBorders>
              <w:left w:val="nil"/>
              <w:bottom w:val="single" w:sz="4" w:space="0" w:color="auto"/>
              <w:right w:val="nil"/>
            </w:tcBorders>
            <w:shd w:val="clear" w:color="auto" w:fill="auto"/>
            <w:noWrap/>
            <w:vAlign w:val="bottom"/>
          </w:tcPr>
          <w:p w:rsidR="000B4A14" w:rsidRPr="00E91FB1" w:rsidRDefault="000B4A14" w:rsidP="006B7922">
            <w:pPr>
              <w:jc w:val="right"/>
              <w:rPr>
                <w:rFonts w:cs="Arial"/>
                <w:sz w:val="22"/>
                <w:szCs w:val="22"/>
                <w:lang w:eastAsia="en-GB"/>
              </w:rPr>
            </w:pPr>
            <w:r>
              <w:rPr>
                <w:rFonts w:cs="Arial"/>
                <w:sz w:val="22"/>
                <w:szCs w:val="22"/>
                <w:lang w:eastAsia="en-GB"/>
              </w:rPr>
              <w:t>54</w:t>
            </w:r>
          </w:p>
        </w:tc>
        <w:tc>
          <w:tcPr>
            <w:tcW w:w="1418" w:type="dxa"/>
            <w:tcBorders>
              <w:left w:val="nil"/>
              <w:bottom w:val="single" w:sz="4" w:space="0" w:color="auto"/>
              <w:right w:val="nil"/>
            </w:tcBorders>
            <w:vAlign w:val="bottom"/>
          </w:tcPr>
          <w:p w:rsidR="000B4A14" w:rsidRDefault="000B4A14" w:rsidP="00C22F02">
            <w:pPr>
              <w:jc w:val="right"/>
              <w:rPr>
                <w:rFonts w:cs="Arial"/>
                <w:sz w:val="22"/>
                <w:szCs w:val="22"/>
                <w:lang w:eastAsia="en-GB"/>
              </w:rPr>
            </w:pPr>
            <w:r>
              <w:rPr>
                <w:rFonts w:cs="Arial"/>
                <w:sz w:val="22"/>
                <w:szCs w:val="22"/>
                <w:lang w:eastAsia="en-GB"/>
              </w:rPr>
              <w:t>-</w:t>
            </w:r>
          </w:p>
        </w:tc>
      </w:tr>
      <w:tr w:rsidR="00C22F02" w:rsidRPr="00A60775" w:rsidTr="000B4A14">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lang w:eastAsia="en-GB"/>
              </w:rPr>
            </w:pPr>
            <w:r w:rsidRPr="00570CA7">
              <w:rPr>
                <w:rFonts w:cs="Arial"/>
                <w:sz w:val="22"/>
                <w:szCs w:val="22"/>
                <w:lang w:eastAsia="en-GB"/>
              </w:rPr>
              <w:t xml:space="preserve">As at 31 March </w:t>
            </w:r>
          </w:p>
        </w:tc>
        <w:tc>
          <w:tcPr>
            <w:tcW w:w="1418" w:type="dxa"/>
            <w:tcBorders>
              <w:top w:val="single" w:sz="4" w:space="0" w:color="auto"/>
              <w:left w:val="nil"/>
              <w:bottom w:val="nil"/>
              <w:right w:val="nil"/>
            </w:tcBorders>
            <w:shd w:val="clear" w:color="auto" w:fill="auto"/>
            <w:noWrap/>
            <w:vAlign w:val="bottom"/>
          </w:tcPr>
          <w:p w:rsidR="00C22F02" w:rsidRPr="00E91FB1" w:rsidRDefault="000B4A14" w:rsidP="007D6EEA">
            <w:pPr>
              <w:jc w:val="right"/>
              <w:rPr>
                <w:rFonts w:cs="Arial"/>
                <w:sz w:val="22"/>
                <w:szCs w:val="22"/>
                <w:lang w:eastAsia="en-GB"/>
              </w:rPr>
            </w:pPr>
            <w:r>
              <w:rPr>
                <w:rFonts w:cs="Arial"/>
                <w:sz w:val="22"/>
                <w:szCs w:val="22"/>
                <w:lang w:eastAsia="en-GB"/>
              </w:rPr>
              <w:t>(1,</w:t>
            </w:r>
            <w:r w:rsidR="007D6EEA">
              <w:rPr>
                <w:rFonts w:cs="Arial"/>
                <w:sz w:val="22"/>
                <w:szCs w:val="22"/>
                <w:lang w:eastAsia="en-GB"/>
              </w:rPr>
              <w:t>615</w:t>
            </w:r>
            <w:r>
              <w:rPr>
                <w:rFonts w:cs="Arial"/>
                <w:sz w:val="22"/>
                <w:szCs w:val="22"/>
                <w:lang w:eastAsia="en-GB"/>
              </w:rPr>
              <w:t>)</w:t>
            </w:r>
          </w:p>
        </w:tc>
        <w:tc>
          <w:tcPr>
            <w:tcW w:w="1418" w:type="dxa"/>
            <w:tcBorders>
              <w:top w:val="single" w:sz="4" w:space="0" w:color="auto"/>
              <w:left w:val="nil"/>
              <w:bottom w:val="nil"/>
              <w:right w:val="nil"/>
            </w:tcBorders>
            <w:vAlign w:val="bottom"/>
          </w:tcPr>
          <w:p w:rsidR="00C22F02" w:rsidRPr="00C20BDE" w:rsidRDefault="00C22F02" w:rsidP="00CA025A">
            <w:pPr>
              <w:jc w:val="right"/>
              <w:rPr>
                <w:rFonts w:cs="Arial"/>
                <w:sz w:val="22"/>
                <w:szCs w:val="22"/>
                <w:lang w:eastAsia="en-GB"/>
              </w:rPr>
            </w:pPr>
            <w:r>
              <w:rPr>
                <w:rFonts w:cs="Arial"/>
                <w:sz w:val="22"/>
                <w:szCs w:val="22"/>
                <w:lang w:eastAsia="en-GB"/>
              </w:rPr>
              <w:t>(1,</w:t>
            </w:r>
            <w:r w:rsidR="00CA025A">
              <w:rPr>
                <w:rFonts w:cs="Arial"/>
                <w:sz w:val="22"/>
                <w:szCs w:val="22"/>
                <w:lang w:eastAsia="en-GB"/>
              </w:rPr>
              <w:t>447</w:t>
            </w:r>
            <w:r>
              <w:rPr>
                <w:rFonts w:cs="Arial"/>
                <w:sz w:val="22"/>
                <w:szCs w:val="22"/>
                <w:lang w:eastAsia="en-GB"/>
              </w:rPr>
              <w:t>)</w:t>
            </w: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highlight w:val="cyan"/>
                <w:lang w:eastAsia="en-GB"/>
              </w:rPr>
            </w:pPr>
          </w:p>
        </w:tc>
        <w:tc>
          <w:tcPr>
            <w:tcW w:w="1418" w:type="dxa"/>
            <w:tcBorders>
              <w:top w:val="nil"/>
              <w:left w:val="nil"/>
              <w:bottom w:val="nil"/>
              <w:right w:val="nil"/>
            </w:tcBorders>
            <w:shd w:val="clear" w:color="auto" w:fill="auto"/>
            <w:noWrap/>
            <w:vAlign w:val="bottom"/>
          </w:tcPr>
          <w:p w:rsidR="00C22F02" w:rsidRPr="00E91FB1" w:rsidRDefault="00C22F02" w:rsidP="00CD62E6">
            <w:pPr>
              <w:rPr>
                <w:rFonts w:cs="Arial"/>
                <w:sz w:val="22"/>
                <w:szCs w:val="22"/>
                <w:lang w:eastAsia="en-GB"/>
              </w:rPr>
            </w:pPr>
          </w:p>
        </w:tc>
        <w:tc>
          <w:tcPr>
            <w:tcW w:w="1418" w:type="dxa"/>
            <w:tcBorders>
              <w:top w:val="nil"/>
              <w:left w:val="nil"/>
              <w:bottom w:val="nil"/>
              <w:right w:val="nil"/>
            </w:tcBorders>
            <w:vAlign w:val="bottom"/>
          </w:tcPr>
          <w:p w:rsidR="00C22F02" w:rsidRPr="00C20BDE" w:rsidRDefault="00C22F02" w:rsidP="00C22F02">
            <w:pPr>
              <w:rPr>
                <w:rFonts w:cs="Arial"/>
                <w:sz w:val="22"/>
                <w:szCs w:val="22"/>
                <w:lang w:eastAsia="en-GB"/>
              </w:rPr>
            </w:pP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1D694F">
            <w:pPr>
              <w:rPr>
                <w:rFonts w:cs="Arial"/>
                <w:sz w:val="22"/>
                <w:szCs w:val="22"/>
                <w:lang w:eastAsia="en-GB"/>
              </w:rPr>
            </w:pPr>
            <w:r w:rsidRPr="00570CA7">
              <w:rPr>
                <w:rFonts w:cs="Arial"/>
                <w:sz w:val="22"/>
                <w:szCs w:val="22"/>
                <w:lang w:eastAsia="en-GB"/>
              </w:rPr>
              <w:t xml:space="preserve">Balance sheet at 31 March </w:t>
            </w:r>
            <w:r>
              <w:rPr>
                <w:rFonts w:cs="Arial"/>
                <w:sz w:val="22"/>
                <w:szCs w:val="22"/>
                <w:lang w:eastAsia="en-GB"/>
              </w:rPr>
              <w:t>201</w:t>
            </w:r>
            <w:r w:rsidR="001D694F">
              <w:rPr>
                <w:rFonts w:cs="Arial"/>
                <w:sz w:val="22"/>
                <w:szCs w:val="22"/>
                <w:lang w:eastAsia="en-GB"/>
              </w:rPr>
              <w:t>8</w:t>
            </w:r>
          </w:p>
        </w:tc>
        <w:tc>
          <w:tcPr>
            <w:tcW w:w="1418" w:type="dxa"/>
            <w:tcBorders>
              <w:top w:val="nil"/>
              <w:left w:val="nil"/>
              <w:bottom w:val="nil"/>
              <w:right w:val="nil"/>
            </w:tcBorders>
            <w:shd w:val="clear" w:color="auto" w:fill="auto"/>
            <w:noWrap/>
            <w:vAlign w:val="bottom"/>
          </w:tcPr>
          <w:p w:rsidR="00C22F02" w:rsidRPr="00E91FB1" w:rsidRDefault="007D6EEA" w:rsidP="00CD62E6">
            <w:pPr>
              <w:jc w:val="right"/>
              <w:rPr>
                <w:rFonts w:cs="Arial"/>
                <w:sz w:val="22"/>
                <w:szCs w:val="22"/>
                <w:lang w:eastAsia="en-GB"/>
              </w:rPr>
            </w:pPr>
            <w:r>
              <w:rPr>
                <w:rFonts w:cs="Arial"/>
                <w:sz w:val="22"/>
                <w:szCs w:val="22"/>
                <w:lang w:eastAsia="en-GB"/>
              </w:rPr>
              <w:t>472</w:t>
            </w:r>
          </w:p>
        </w:tc>
        <w:tc>
          <w:tcPr>
            <w:tcW w:w="1418" w:type="dxa"/>
            <w:tcBorders>
              <w:top w:val="nil"/>
              <w:left w:val="nil"/>
              <w:bottom w:val="nil"/>
              <w:right w:val="nil"/>
            </w:tcBorders>
            <w:vAlign w:val="bottom"/>
          </w:tcPr>
          <w:p w:rsidR="00C22F02" w:rsidRPr="00C20BDE" w:rsidRDefault="00CA025A" w:rsidP="00C22F02">
            <w:pPr>
              <w:jc w:val="right"/>
              <w:rPr>
                <w:rFonts w:cs="Arial"/>
                <w:sz w:val="22"/>
                <w:szCs w:val="22"/>
                <w:lang w:eastAsia="en-GB"/>
              </w:rPr>
            </w:pPr>
            <w:r>
              <w:rPr>
                <w:rFonts w:cs="Arial"/>
                <w:sz w:val="22"/>
                <w:szCs w:val="22"/>
                <w:lang w:eastAsia="en-GB"/>
              </w:rPr>
              <w:t>684</w:t>
            </w: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CD62E6">
            <w:pPr>
              <w:rPr>
                <w:rFonts w:cs="Arial"/>
                <w:sz w:val="22"/>
                <w:szCs w:val="22"/>
                <w:lang w:eastAsia="en-GB"/>
              </w:rPr>
            </w:pPr>
          </w:p>
        </w:tc>
        <w:tc>
          <w:tcPr>
            <w:tcW w:w="1418" w:type="dxa"/>
            <w:tcBorders>
              <w:top w:val="nil"/>
              <w:left w:val="nil"/>
              <w:bottom w:val="nil"/>
              <w:right w:val="nil"/>
            </w:tcBorders>
            <w:shd w:val="clear" w:color="auto" w:fill="auto"/>
            <w:noWrap/>
            <w:vAlign w:val="bottom"/>
          </w:tcPr>
          <w:p w:rsidR="00C22F02" w:rsidRPr="00E91FB1" w:rsidRDefault="00C22F02" w:rsidP="00CD62E6">
            <w:pPr>
              <w:rPr>
                <w:rFonts w:cs="Arial"/>
                <w:sz w:val="22"/>
                <w:szCs w:val="22"/>
                <w:lang w:eastAsia="en-GB"/>
              </w:rPr>
            </w:pPr>
          </w:p>
        </w:tc>
        <w:tc>
          <w:tcPr>
            <w:tcW w:w="1418" w:type="dxa"/>
            <w:tcBorders>
              <w:top w:val="nil"/>
              <w:left w:val="nil"/>
              <w:bottom w:val="nil"/>
              <w:right w:val="nil"/>
            </w:tcBorders>
            <w:vAlign w:val="bottom"/>
          </w:tcPr>
          <w:p w:rsidR="00C22F02" w:rsidRPr="00570CA7" w:rsidRDefault="00C22F02" w:rsidP="00C22F02">
            <w:pPr>
              <w:rPr>
                <w:rFonts w:cs="Arial"/>
                <w:sz w:val="22"/>
                <w:szCs w:val="22"/>
                <w:highlight w:val="cyan"/>
                <w:lang w:eastAsia="en-GB"/>
              </w:rPr>
            </w:pPr>
          </w:p>
        </w:tc>
      </w:tr>
      <w:tr w:rsidR="00C22F02" w:rsidRPr="00A60775" w:rsidTr="0013515F">
        <w:trPr>
          <w:trHeight w:val="255"/>
        </w:trPr>
        <w:tc>
          <w:tcPr>
            <w:tcW w:w="4111" w:type="dxa"/>
            <w:tcBorders>
              <w:top w:val="nil"/>
              <w:left w:val="nil"/>
              <w:bottom w:val="nil"/>
              <w:right w:val="nil"/>
            </w:tcBorders>
            <w:shd w:val="clear" w:color="auto" w:fill="auto"/>
            <w:noWrap/>
            <w:vAlign w:val="bottom"/>
          </w:tcPr>
          <w:p w:rsidR="00C22F02" w:rsidRPr="00570CA7" w:rsidRDefault="00C22F02" w:rsidP="001D694F">
            <w:pPr>
              <w:rPr>
                <w:rFonts w:cs="Arial"/>
                <w:sz w:val="22"/>
                <w:szCs w:val="22"/>
                <w:lang w:eastAsia="en-GB"/>
              </w:rPr>
            </w:pPr>
            <w:r w:rsidRPr="00570CA7">
              <w:rPr>
                <w:rFonts w:cs="Arial"/>
                <w:sz w:val="22"/>
                <w:szCs w:val="22"/>
                <w:lang w:eastAsia="en-GB"/>
              </w:rPr>
              <w:t xml:space="preserve">Balance sheet at </w:t>
            </w:r>
            <w:r>
              <w:rPr>
                <w:rFonts w:cs="Arial"/>
                <w:sz w:val="22"/>
                <w:szCs w:val="22"/>
                <w:lang w:eastAsia="en-GB"/>
              </w:rPr>
              <w:t>31 March 201</w:t>
            </w:r>
            <w:r w:rsidR="001D694F">
              <w:rPr>
                <w:rFonts w:cs="Arial"/>
                <w:sz w:val="22"/>
                <w:szCs w:val="22"/>
                <w:lang w:eastAsia="en-GB"/>
              </w:rPr>
              <w:t>7</w:t>
            </w:r>
          </w:p>
        </w:tc>
        <w:tc>
          <w:tcPr>
            <w:tcW w:w="1418" w:type="dxa"/>
            <w:tcBorders>
              <w:top w:val="nil"/>
              <w:left w:val="nil"/>
              <w:bottom w:val="nil"/>
              <w:right w:val="nil"/>
            </w:tcBorders>
            <w:shd w:val="clear" w:color="auto" w:fill="auto"/>
            <w:noWrap/>
            <w:vAlign w:val="bottom"/>
          </w:tcPr>
          <w:p w:rsidR="00C22F02" w:rsidRPr="00E91FB1" w:rsidRDefault="00CA025A" w:rsidP="00CD62E6">
            <w:pPr>
              <w:jc w:val="right"/>
              <w:rPr>
                <w:rFonts w:cs="Arial"/>
                <w:sz w:val="22"/>
                <w:szCs w:val="22"/>
                <w:lang w:eastAsia="en-GB"/>
              </w:rPr>
            </w:pPr>
            <w:r>
              <w:rPr>
                <w:rFonts w:cs="Arial"/>
                <w:sz w:val="22"/>
                <w:szCs w:val="22"/>
                <w:lang w:eastAsia="en-GB"/>
              </w:rPr>
              <w:t>684</w:t>
            </w:r>
          </w:p>
        </w:tc>
        <w:tc>
          <w:tcPr>
            <w:tcW w:w="1418" w:type="dxa"/>
            <w:tcBorders>
              <w:top w:val="nil"/>
              <w:left w:val="nil"/>
              <w:bottom w:val="nil"/>
              <w:right w:val="nil"/>
            </w:tcBorders>
            <w:vAlign w:val="bottom"/>
          </w:tcPr>
          <w:p w:rsidR="00C22F02" w:rsidRPr="00570CA7" w:rsidRDefault="00CA025A" w:rsidP="00C22F02">
            <w:pPr>
              <w:jc w:val="right"/>
              <w:rPr>
                <w:rFonts w:cs="Arial"/>
                <w:sz w:val="22"/>
                <w:szCs w:val="22"/>
                <w:lang w:eastAsia="en-GB"/>
              </w:rPr>
            </w:pPr>
            <w:r>
              <w:rPr>
                <w:rFonts w:cs="Arial"/>
                <w:sz w:val="22"/>
                <w:szCs w:val="22"/>
                <w:lang w:eastAsia="en-GB"/>
              </w:rPr>
              <w:t>827</w:t>
            </w:r>
          </w:p>
        </w:tc>
      </w:tr>
    </w:tbl>
    <w:p w:rsidR="00D90216" w:rsidRDefault="00D90216" w:rsidP="00D90216">
      <w:pPr>
        <w:rPr>
          <w:b/>
          <w:sz w:val="22"/>
          <w:highlight w:val="cyan"/>
        </w:rPr>
      </w:pPr>
    </w:p>
    <w:p w:rsidR="00CA025A" w:rsidRPr="00CA025A" w:rsidRDefault="00CA025A" w:rsidP="00CA025A">
      <w:pPr>
        <w:pStyle w:val="BodyTextIndent"/>
        <w:jc w:val="both"/>
        <w:rPr>
          <w:sz w:val="22"/>
        </w:rPr>
      </w:pPr>
      <w:r w:rsidRPr="00CA025A">
        <w:rPr>
          <w:sz w:val="22"/>
        </w:rPr>
        <w:t xml:space="preserve">The 2016/17 note has been restated to include the Authority’s 25% share in North West </w:t>
      </w:r>
      <w:proofErr w:type="spellStart"/>
      <w:r w:rsidRPr="00CA025A">
        <w:rPr>
          <w:sz w:val="22"/>
        </w:rPr>
        <w:t>FireControl</w:t>
      </w:r>
      <w:proofErr w:type="spellEnd"/>
      <w:r w:rsidRPr="00CA025A">
        <w:rPr>
          <w:sz w:val="22"/>
        </w:rPr>
        <w:t xml:space="preserve"> Limited</w:t>
      </w:r>
    </w:p>
    <w:p w:rsidR="00CA025A" w:rsidRPr="00CA025A" w:rsidRDefault="00CA025A" w:rsidP="00CA025A">
      <w:pPr>
        <w:pStyle w:val="BodyTextIndent"/>
        <w:jc w:val="both"/>
        <w:rPr>
          <w:sz w:val="22"/>
        </w:rPr>
      </w:pPr>
    </w:p>
    <w:p w:rsidR="00D90216" w:rsidRPr="007A7327" w:rsidRDefault="00C22F02" w:rsidP="00D90216">
      <w:pPr>
        <w:rPr>
          <w:b/>
          <w:sz w:val="22"/>
          <w:highlight w:val="cyan"/>
        </w:rPr>
      </w:pPr>
      <w:r>
        <w:rPr>
          <w:b/>
          <w:sz w:val="22"/>
        </w:rPr>
        <w:t>8</w:t>
      </w:r>
      <w:r w:rsidR="00D90216" w:rsidRPr="00A8744F">
        <w:rPr>
          <w:b/>
          <w:sz w:val="22"/>
        </w:rPr>
        <w:tab/>
      </w:r>
      <w:r w:rsidR="00D90216">
        <w:rPr>
          <w:b/>
          <w:sz w:val="22"/>
        </w:rPr>
        <w:t>Financial Instruments</w:t>
      </w:r>
    </w:p>
    <w:p w:rsidR="00D90216" w:rsidRDefault="00D90216" w:rsidP="00D90216">
      <w:pPr>
        <w:ind w:left="720"/>
        <w:rPr>
          <w:sz w:val="22"/>
          <w:highlight w:val="cyan"/>
        </w:rPr>
      </w:pPr>
    </w:p>
    <w:p w:rsidR="00D90216" w:rsidRPr="00DB549E" w:rsidRDefault="00D90216" w:rsidP="00D90216">
      <w:pPr>
        <w:ind w:left="709" w:hanging="709"/>
        <w:rPr>
          <w:b/>
          <w:sz w:val="22"/>
          <w:szCs w:val="22"/>
        </w:rPr>
      </w:pPr>
      <w:r w:rsidRPr="00DB549E">
        <w:rPr>
          <w:b/>
          <w:sz w:val="22"/>
          <w:szCs w:val="22"/>
        </w:rPr>
        <w:tab/>
      </w:r>
      <w:r>
        <w:rPr>
          <w:b/>
          <w:sz w:val="22"/>
          <w:szCs w:val="22"/>
        </w:rPr>
        <w:t xml:space="preserve">Categories of </w:t>
      </w:r>
      <w:r w:rsidRPr="00DB549E">
        <w:rPr>
          <w:b/>
          <w:sz w:val="22"/>
          <w:szCs w:val="22"/>
        </w:rPr>
        <w:t>Financial Instruments</w:t>
      </w:r>
    </w:p>
    <w:p w:rsidR="00D90216" w:rsidRPr="00DB549E" w:rsidRDefault="00D90216" w:rsidP="00D90216">
      <w:pPr>
        <w:ind w:left="709" w:hanging="709"/>
        <w:rPr>
          <w:sz w:val="22"/>
          <w:szCs w:val="22"/>
        </w:rPr>
      </w:pPr>
    </w:p>
    <w:p w:rsidR="00D90216" w:rsidRDefault="00D90216" w:rsidP="00D90216">
      <w:pPr>
        <w:ind w:left="709" w:hanging="7"/>
        <w:rPr>
          <w:sz w:val="22"/>
          <w:szCs w:val="22"/>
        </w:rPr>
      </w:pPr>
      <w:r>
        <w:rPr>
          <w:sz w:val="22"/>
          <w:szCs w:val="22"/>
        </w:rPr>
        <w:t>The following categories of financial instruments are carried in the Balance Sheet:</w:t>
      </w:r>
    </w:p>
    <w:p w:rsidR="00D90216" w:rsidRDefault="00D90216" w:rsidP="00D90216">
      <w:pPr>
        <w:ind w:left="709" w:hanging="7"/>
        <w:rPr>
          <w:sz w:val="22"/>
          <w:szCs w:val="22"/>
        </w:rPr>
      </w:pPr>
    </w:p>
    <w:tbl>
      <w:tblPr>
        <w:tblW w:w="8788" w:type="dxa"/>
        <w:tblInd w:w="817" w:type="dxa"/>
        <w:tblLayout w:type="fixed"/>
        <w:tblLook w:val="0000" w:firstRow="0" w:lastRow="0" w:firstColumn="0" w:lastColumn="0" w:noHBand="0" w:noVBand="0"/>
      </w:tblPr>
      <w:tblGrid>
        <w:gridCol w:w="4110"/>
        <w:gridCol w:w="1134"/>
        <w:gridCol w:w="1134"/>
        <w:gridCol w:w="1134"/>
        <w:gridCol w:w="1276"/>
      </w:tblGrid>
      <w:tr w:rsidR="00E42E0C" w:rsidRPr="005A1BFB" w:rsidTr="009C21E7">
        <w:trPr>
          <w:cantSplit/>
          <w:trHeight w:val="536"/>
        </w:trPr>
        <w:tc>
          <w:tcPr>
            <w:tcW w:w="4110" w:type="dxa"/>
          </w:tcPr>
          <w:p w:rsidR="00E42E0C" w:rsidRPr="005A1BFB" w:rsidRDefault="00E42E0C" w:rsidP="00CD62E6">
            <w:pPr>
              <w:rPr>
                <w:sz w:val="22"/>
                <w:szCs w:val="22"/>
                <w:highlight w:val="cyan"/>
              </w:rPr>
            </w:pPr>
          </w:p>
        </w:tc>
        <w:tc>
          <w:tcPr>
            <w:tcW w:w="2268" w:type="dxa"/>
            <w:gridSpan w:val="2"/>
            <w:shd w:val="clear" w:color="00FFFF" w:fill="auto"/>
            <w:vAlign w:val="center"/>
          </w:tcPr>
          <w:p w:rsidR="00E42E0C" w:rsidRPr="00DB549E" w:rsidRDefault="00E42E0C" w:rsidP="00CD62E6">
            <w:pPr>
              <w:jc w:val="center"/>
              <w:rPr>
                <w:sz w:val="22"/>
                <w:szCs w:val="22"/>
              </w:rPr>
            </w:pPr>
            <w:r>
              <w:rPr>
                <w:sz w:val="22"/>
                <w:szCs w:val="22"/>
              </w:rPr>
              <w:t>Long-Term</w:t>
            </w:r>
          </w:p>
        </w:tc>
        <w:tc>
          <w:tcPr>
            <w:tcW w:w="2410" w:type="dxa"/>
            <w:gridSpan w:val="2"/>
            <w:shd w:val="clear" w:color="00FFFF" w:fill="auto"/>
            <w:vAlign w:val="center"/>
          </w:tcPr>
          <w:p w:rsidR="00E42E0C" w:rsidRPr="00DB549E" w:rsidRDefault="00E42E0C" w:rsidP="00E42E0C">
            <w:pPr>
              <w:jc w:val="center"/>
              <w:rPr>
                <w:sz w:val="22"/>
                <w:szCs w:val="22"/>
              </w:rPr>
            </w:pPr>
            <w:r>
              <w:rPr>
                <w:sz w:val="22"/>
                <w:szCs w:val="22"/>
              </w:rPr>
              <w:t>Current</w:t>
            </w:r>
          </w:p>
        </w:tc>
      </w:tr>
      <w:tr w:rsidR="001D694F" w:rsidRPr="005A1BFB" w:rsidTr="00766A7A">
        <w:trPr>
          <w:cantSplit/>
          <w:trHeight w:val="536"/>
        </w:trPr>
        <w:tc>
          <w:tcPr>
            <w:tcW w:w="4110" w:type="dxa"/>
          </w:tcPr>
          <w:p w:rsidR="001D694F" w:rsidRPr="005A1BFB" w:rsidRDefault="001D694F" w:rsidP="00CD62E6">
            <w:pPr>
              <w:rPr>
                <w:sz w:val="22"/>
                <w:szCs w:val="22"/>
                <w:highlight w:val="cyan"/>
              </w:rPr>
            </w:pPr>
          </w:p>
        </w:tc>
        <w:tc>
          <w:tcPr>
            <w:tcW w:w="1134" w:type="dxa"/>
            <w:vAlign w:val="center"/>
          </w:tcPr>
          <w:p w:rsidR="001D694F" w:rsidRPr="00E91FB1" w:rsidRDefault="001D694F" w:rsidP="001D694F">
            <w:pPr>
              <w:jc w:val="center"/>
              <w:rPr>
                <w:sz w:val="22"/>
                <w:szCs w:val="22"/>
              </w:rPr>
            </w:pPr>
            <w:r w:rsidRPr="00E91FB1">
              <w:rPr>
                <w:sz w:val="22"/>
                <w:szCs w:val="22"/>
              </w:rPr>
              <w:t>31 March 2018</w:t>
            </w:r>
          </w:p>
        </w:tc>
        <w:tc>
          <w:tcPr>
            <w:tcW w:w="1134" w:type="dxa"/>
            <w:shd w:val="clear" w:color="00FFFF" w:fill="auto"/>
            <w:vAlign w:val="center"/>
          </w:tcPr>
          <w:p w:rsidR="001D694F" w:rsidRPr="00E91FB1" w:rsidRDefault="001D694F" w:rsidP="001D694F">
            <w:pPr>
              <w:jc w:val="center"/>
              <w:rPr>
                <w:sz w:val="22"/>
                <w:szCs w:val="22"/>
              </w:rPr>
            </w:pPr>
            <w:r w:rsidRPr="00E91FB1">
              <w:rPr>
                <w:sz w:val="22"/>
                <w:szCs w:val="22"/>
              </w:rPr>
              <w:t>31 March 2017</w:t>
            </w:r>
          </w:p>
        </w:tc>
        <w:tc>
          <w:tcPr>
            <w:tcW w:w="1134" w:type="dxa"/>
            <w:shd w:val="clear" w:color="00FFFF" w:fill="auto"/>
            <w:vAlign w:val="center"/>
          </w:tcPr>
          <w:p w:rsidR="001D694F" w:rsidRPr="00E91FB1" w:rsidRDefault="001D694F" w:rsidP="001D694F">
            <w:pPr>
              <w:jc w:val="center"/>
              <w:rPr>
                <w:sz w:val="22"/>
                <w:szCs w:val="22"/>
              </w:rPr>
            </w:pPr>
            <w:r w:rsidRPr="00E91FB1">
              <w:rPr>
                <w:sz w:val="22"/>
                <w:szCs w:val="22"/>
              </w:rPr>
              <w:t>31 March 2018</w:t>
            </w:r>
          </w:p>
        </w:tc>
        <w:tc>
          <w:tcPr>
            <w:tcW w:w="1276" w:type="dxa"/>
            <w:shd w:val="clear" w:color="00FFFF" w:fill="auto"/>
            <w:vAlign w:val="center"/>
          </w:tcPr>
          <w:p w:rsidR="001D694F" w:rsidRPr="00D72DD9" w:rsidRDefault="001D694F" w:rsidP="001D694F">
            <w:pPr>
              <w:jc w:val="center"/>
              <w:rPr>
                <w:sz w:val="22"/>
                <w:szCs w:val="22"/>
              </w:rPr>
            </w:pPr>
            <w:r w:rsidRPr="00D72DD9">
              <w:rPr>
                <w:sz w:val="22"/>
                <w:szCs w:val="22"/>
              </w:rPr>
              <w:t>31 March 201</w:t>
            </w:r>
            <w:r>
              <w:rPr>
                <w:sz w:val="22"/>
                <w:szCs w:val="22"/>
              </w:rPr>
              <w:t>7</w:t>
            </w:r>
          </w:p>
        </w:tc>
      </w:tr>
      <w:tr w:rsidR="00E42E0C" w:rsidRPr="005A1BFB" w:rsidTr="009C21E7">
        <w:trPr>
          <w:cantSplit/>
          <w:trHeight w:val="405"/>
        </w:trPr>
        <w:tc>
          <w:tcPr>
            <w:tcW w:w="4110" w:type="dxa"/>
          </w:tcPr>
          <w:p w:rsidR="00E42E0C" w:rsidRPr="005A1BFB" w:rsidRDefault="00E42E0C" w:rsidP="00CD62E6">
            <w:pPr>
              <w:rPr>
                <w:sz w:val="22"/>
                <w:szCs w:val="22"/>
                <w:highlight w:val="cyan"/>
              </w:rPr>
            </w:pPr>
          </w:p>
        </w:tc>
        <w:tc>
          <w:tcPr>
            <w:tcW w:w="1134" w:type="dxa"/>
            <w:vAlign w:val="center"/>
          </w:tcPr>
          <w:p w:rsidR="00E42E0C" w:rsidRPr="00E91FB1" w:rsidRDefault="00E42E0C" w:rsidP="00CD62E6">
            <w:pPr>
              <w:jc w:val="center"/>
              <w:rPr>
                <w:sz w:val="22"/>
                <w:szCs w:val="22"/>
              </w:rPr>
            </w:pPr>
            <w:r w:rsidRPr="00E91FB1">
              <w:rPr>
                <w:sz w:val="22"/>
                <w:szCs w:val="22"/>
              </w:rPr>
              <w:t>£000</w:t>
            </w:r>
          </w:p>
        </w:tc>
        <w:tc>
          <w:tcPr>
            <w:tcW w:w="1134" w:type="dxa"/>
            <w:shd w:val="clear" w:color="00FFFF" w:fill="auto"/>
            <w:vAlign w:val="center"/>
          </w:tcPr>
          <w:p w:rsidR="00E42E0C" w:rsidRPr="00E91FB1" w:rsidRDefault="00E42E0C" w:rsidP="00AA780E">
            <w:pPr>
              <w:jc w:val="center"/>
              <w:rPr>
                <w:sz w:val="22"/>
                <w:szCs w:val="22"/>
              </w:rPr>
            </w:pPr>
            <w:r w:rsidRPr="00E91FB1">
              <w:rPr>
                <w:sz w:val="22"/>
                <w:szCs w:val="22"/>
              </w:rPr>
              <w:t>£000</w:t>
            </w:r>
          </w:p>
        </w:tc>
        <w:tc>
          <w:tcPr>
            <w:tcW w:w="1134" w:type="dxa"/>
            <w:shd w:val="clear" w:color="00FFFF" w:fill="auto"/>
            <w:vAlign w:val="center"/>
          </w:tcPr>
          <w:p w:rsidR="00E42E0C" w:rsidRPr="00E91FB1" w:rsidRDefault="00E42E0C" w:rsidP="00A5558A">
            <w:pPr>
              <w:jc w:val="center"/>
              <w:rPr>
                <w:sz w:val="22"/>
                <w:szCs w:val="22"/>
              </w:rPr>
            </w:pPr>
            <w:r w:rsidRPr="00E91FB1">
              <w:rPr>
                <w:sz w:val="22"/>
                <w:szCs w:val="22"/>
              </w:rPr>
              <w:t>£000</w:t>
            </w:r>
          </w:p>
        </w:tc>
        <w:tc>
          <w:tcPr>
            <w:tcW w:w="1276" w:type="dxa"/>
            <w:shd w:val="clear" w:color="00FFFF" w:fill="auto"/>
            <w:vAlign w:val="center"/>
          </w:tcPr>
          <w:p w:rsidR="00E42E0C" w:rsidRPr="00DB549E" w:rsidRDefault="00E42E0C" w:rsidP="00AA780E">
            <w:pPr>
              <w:jc w:val="center"/>
              <w:rPr>
                <w:sz w:val="22"/>
                <w:szCs w:val="22"/>
              </w:rPr>
            </w:pPr>
            <w:r w:rsidRPr="00DB549E">
              <w:rPr>
                <w:sz w:val="22"/>
                <w:szCs w:val="22"/>
              </w:rPr>
              <w:t>£000</w:t>
            </w:r>
          </w:p>
        </w:tc>
      </w:tr>
      <w:tr w:rsidR="001D694F" w:rsidRPr="005A1BFB" w:rsidTr="00954EB4">
        <w:trPr>
          <w:cantSplit/>
          <w:trHeight w:val="382"/>
        </w:trPr>
        <w:tc>
          <w:tcPr>
            <w:tcW w:w="4110" w:type="dxa"/>
            <w:vAlign w:val="center"/>
          </w:tcPr>
          <w:p w:rsidR="001D694F" w:rsidRDefault="001D694F" w:rsidP="00CD62E6">
            <w:pPr>
              <w:rPr>
                <w:sz w:val="22"/>
                <w:szCs w:val="22"/>
              </w:rPr>
            </w:pPr>
            <w:r w:rsidRPr="00EA08C2">
              <w:rPr>
                <w:sz w:val="22"/>
                <w:szCs w:val="22"/>
                <w:u w:val="single"/>
              </w:rPr>
              <w:t>Investments</w:t>
            </w:r>
          </w:p>
          <w:p w:rsidR="001D694F" w:rsidRPr="00DB549E" w:rsidRDefault="001D694F" w:rsidP="00CD62E6">
            <w:pPr>
              <w:rPr>
                <w:sz w:val="22"/>
                <w:szCs w:val="22"/>
              </w:rPr>
            </w:pPr>
            <w:r w:rsidRPr="00DB549E">
              <w:rPr>
                <w:sz w:val="22"/>
                <w:szCs w:val="22"/>
              </w:rPr>
              <w:t>Loans and receivables</w:t>
            </w:r>
          </w:p>
        </w:tc>
        <w:tc>
          <w:tcPr>
            <w:tcW w:w="1134" w:type="dxa"/>
            <w:vAlign w:val="bottom"/>
          </w:tcPr>
          <w:p w:rsidR="001D694F" w:rsidRPr="00AD541A" w:rsidRDefault="00AD541A" w:rsidP="00954EB4">
            <w:pPr>
              <w:pStyle w:val="Footer"/>
              <w:tabs>
                <w:tab w:val="clear" w:pos="4153"/>
                <w:tab w:val="clear" w:pos="8306"/>
                <w:tab w:val="decimal" w:pos="468"/>
              </w:tabs>
              <w:jc w:val="center"/>
              <w:rPr>
                <w:sz w:val="22"/>
                <w:szCs w:val="22"/>
              </w:rPr>
            </w:pPr>
            <w:r w:rsidRPr="00AD541A">
              <w:rPr>
                <w:sz w:val="22"/>
                <w:szCs w:val="22"/>
              </w:rPr>
              <w:t>5,000</w:t>
            </w:r>
          </w:p>
        </w:tc>
        <w:tc>
          <w:tcPr>
            <w:tcW w:w="1134" w:type="dxa"/>
            <w:shd w:val="clear" w:color="00FFFF" w:fill="auto"/>
            <w:vAlign w:val="bottom"/>
          </w:tcPr>
          <w:p w:rsidR="001D694F" w:rsidRPr="00AD541A" w:rsidRDefault="001D694F" w:rsidP="001D694F">
            <w:pPr>
              <w:pStyle w:val="Footer"/>
              <w:tabs>
                <w:tab w:val="clear" w:pos="4153"/>
                <w:tab w:val="clear" w:pos="8306"/>
                <w:tab w:val="decimal" w:pos="468"/>
              </w:tabs>
              <w:jc w:val="center"/>
              <w:rPr>
                <w:sz w:val="22"/>
                <w:szCs w:val="22"/>
              </w:rPr>
            </w:pPr>
            <w:r w:rsidRPr="00AD541A">
              <w:rPr>
                <w:sz w:val="22"/>
                <w:szCs w:val="22"/>
              </w:rPr>
              <w:t>5,000</w:t>
            </w:r>
          </w:p>
        </w:tc>
        <w:tc>
          <w:tcPr>
            <w:tcW w:w="1134" w:type="dxa"/>
            <w:shd w:val="clear" w:color="00FFFF" w:fill="auto"/>
            <w:vAlign w:val="bottom"/>
          </w:tcPr>
          <w:p w:rsidR="001D694F" w:rsidRPr="00AD541A" w:rsidRDefault="00AD541A" w:rsidP="00954EB4">
            <w:pPr>
              <w:pStyle w:val="Footer"/>
              <w:tabs>
                <w:tab w:val="clear" w:pos="4153"/>
                <w:tab w:val="clear" w:pos="8306"/>
                <w:tab w:val="decimal" w:pos="576"/>
                <w:tab w:val="decimal" w:pos="1012"/>
              </w:tabs>
              <w:jc w:val="center"/>
              <w:rPr>
                <w:sz w:val="22"/>
                <w:szCs w:val="22"/>
              </w:rPr>
            </w:pPr>
            <w:r w:rsidRPr="00AD541A">
              <w:rPr>
                <w:sz w:val="22"/>
                <w:szCs w:val="22"/>
              </w:rPr>
              <w:t>-</w:t>
            </w:r>
          </w:p>
        </w:tc>
        <w:tc>
          <w:tcPr>
            <w:tcW w:w="1276" w:type="dxa"/>
            <w:shd w:val="clear" w:color="00FFFF" w:fill="auto"/>
            <w:vAlign w:val="bottom"/>
          </w:tcPr>
          <w:p w:rsidR="001D694F" w:rsidRPr="00A02BDA" w:rsidRDefault="001D694F" w:rsidP="001D694F">
            <w:pPr>
              <w:pStyle w:val="Footer"/>
              <w:tabs>
                <w:tab w:val="clear" w:pos="4153"/>
                <w:tab w:val="clear" w:pos="8306"/>
                <w:tab w:val="decimal" w:pos="576"/>
                <w:tab w:val="decimal" w:pos="1012"/>
              </w:tabs>
              <w:jc w:val="center"/>
              <w:rPr>
                <w:sz w:val="22"/>
                <w:szCs w:val="22"/>
              </w:rPr>
            </w:pPr>
            <w:r>
              <w:rPr>
                <w:sz w:val="22"/>
                <w:szCs w:val="22"/>
              </w:rPr>
              <w:t>5,000</w:t>
            </w:r>
          </w:p>
        </w:tc>
      </w:tr>
      <w:tr w:rsidR="001D694F" w:rsidRPr="005A1BFB" w:rsidTr="00954EB4">
        <w:trPr>
          <w:cantSplit/>
          <w:trHeight w:val="382"/>
        </w:trPr>
        <w:tc>
          <w:tcPr>
            <w:tcW w:w="4110" w:type="dxa"/>
            <w:vAlign w:val="bottom"/>
          </w:tcPr>
          <w:p w:rsidR="001D694F" w:rsidRDefault="001D694F" w:rsidP="00954EB4">
            <w:pPr>
              <w:rPr>
                <w:sz w:val="22"/>
                <w:szCs w:val="22"/>
                <w:u w:val="single"/>
              </w:rPr>
            </w:pPr>
          </w:p>
          <w:p w:rsidR="001D694F" w:rsidRDefault="001D694F" w:rsidP="00954EB4">
            <w:pPr>
              <w:rPr>
                <w:sz w:val="22"/>
                <w:szCs w:val="22"/>
              </w:rPr>
            </w:pPr>
            <w:r w:rsidRPr="00EA08C2">
              <w:rPr>
                <w:sz w:val="22"/>
                <w:szCs w:val="22"/>
                <w:u w:val="single"/>
              </w:rPr>
              <w:t>Debtors</w:t>
            </w:r>
          </w:p>
          <w:p w:rsidR="001D694F" w:rsidRPr="00DB549E" w:rsidRDefault="001D694F" w:rsidP="00954EB4">
            <w:pPr>
              <w:rPr>
                <w:sz w:val="22"/>
                <w:szCs w:val="22"/>
              </w:rPr>
            </w:pPr>
            <w:r>
              <w:rPr>
                <w:sz w:val="22"/>
                <w:szCs w:val="22"/>
              </w:rPr>
              <w:t>Financial assets carried at contract amounts</w:t>
            </w:r>
          </w:p>
        </w:tc>
        <w:tc>
          <w:tcPr>
            <w:tcW w:w="1134" w:type="dxa"/>
            <w:vAlign w:val="bottom"/>
          </w:tcPr>
          <w:p w:rsidR="001D694F" w:rsidRPr="001D694F" w:rsidRDefault="001D694F" w:rsidP="00954EB4">
            <w:pPr>
              <w:pStyle w:val="Footer"/>
              <w:tabs>
                <w:tab w:val="clear" w:pos="4153"/>
                <w:tab w:val="clear" w:pos="8306"/>
                <w:tab w:val="decimal" w:pos="468"/>
              </w:tabs>
              <w:jc w:val="center"/>
              <w:rPr>
                <w:sz w:val="22"/>
                <w:szCs w:val="22"/>
                <w:highlight w:val="yellow"/>
              </w:rPr>
            </w:pPr>
            <w:r w:rsidRPr="00E91FB1">
              <w:rPr>
                <w:sz w:val="22"/>
                <w:szCs w:val="22"/>
              </w:rPr>
              <w:t>-</w:t>
            </w:r>
          </w:p>
        </w:tc>
        <w:tc>
          <w:tcPr>
            <w:tcW w:w="1134" w:type="dxa"/>
            <w:shd w:val="clear" w:color="00FFFF" w:fill="auto"/>
            <w:vAlign w:val="bottom"/>
          </w:tcPr>
          <w:p w:rsidR="001D694F" w:rsidRPr="00FC5CB4" w:rsidRDefault="001D694F" w:rsidP="001D694F">
            <w:pPr>
              <w:pStyle w:val="Footer"/>
              <w:tabs>
                <w:tab w:val="clear" w:pos="4153"/>
                <w:tab w:val="clear" w:pos="8306"/>
                <w:tab w:val="decimal" w:pos="468"/>
              </w:tabs>
              <w:jc w:val="center"/>
              <w:rPr>
                <w:sz w:val="22"/>
                <w:szCs w:val="22"/>
                <w:highlight w:val="yellow"/>
              </w:rPr>
            </w:pPr>
            <w:r w:rsidRPr="00932D7E">
              <w:rPr>
                <w:sz w:val="22"/>
                <w:szCs w:val="22"/>
              </w:rPr>
              <w:t>-</w:t>
            </w:r>
          </w:p>
        </w:tc>
        <w:tc>
          <w:tcPr>
            <w:tcW w:w="1134" w:type="dxa"/>
            <w:shd w:val="clear" w:color="00FFFF" w:fill="auto"/>
            <w:vAlign w:val="bottom"/>
          </w:tcPr>
          <w:p w:rsidR="001D694F" w:rsidRPr="001D694F" w:rsidRDefault="00D30BEE" w:rsidP="00954EB4">
            <w:pPr>
              <w:pStyle w:val="Footer"/>
              <w:tabs>
                <w:tab w:val="clear" w:pos="4153"/>
                <w:tab w:val="clear" w:pos="8306"/>
                <w:tab w:val="decimal" w:pos="435"/>
              </w:tabs>
              <w:jc w:val="center"/>
              <w:rPr>
                <w:sz w:val="22"/>
                <w:szCs w:val="22"/>
                <w:highlight w:val="yellow"/>
              </w:rPr>
            </w:pPr>
            <w:r w:rsidRPr="00D30BEE">
              <w:rPr>
                <w:sz w:val="22"/>
                <w:szCs w:val="22"/>
              </w:rPr>
              <w:t>59</w:t>
            </w:r>
          </w:p>
        </w:tc>
        <w:tc>
          <w:tcPr>
            <w:tcW w:w="1276" w:type="dxa"/>
            <w:shd w:val="clear" w:color="00FFFF" w:fill="auto"/>
            <w:vAlign w:val="bottom"/>
          </w:tcPr>
          <w:p w:rsidR="001D694F" w:rsidRPr="00426BCB" w:rsidRDefault="001D694F" w:rsidP="001D694F">
            <w:pPr>
              <w:pStyle w:val="Footer"/>
              <w:tabs>
                <w:tab w:val="clear" w:pos="4153"/>
                <w:tab w:val="clear" w:pos="8306"/>
                <w:tab w:val="decimal" w:pos="435"/>
              </w:tabs>
              <w:jc w:val="center"/>
              <w:rPr>
                <w:sz w:val="22"/>
                <w:szCs w:val="22"/>
              </w:rPr>
            </w:pPr>
            <w:r>
              <w:rPr>
                <w:sz w:val="22"/>
                <w:szCs w:val="22"/>
              </w:rPr>
              <w:t>51</w:t>
            </w:r>
          </w:p>
        </w:tc>
      </w:tr>
      <w:tr w:rsidR="001D694F" w:rsidRPr="005A1BFB" w:rsidTr="00954EB4">
        <w:trPr>
          <w:cantSplit/>
          <w:trHeight w:val="382"/>
        </w:trPr>
        <w:tc>
          <w:tcPr>
            <w:tcW w:w="4110" w:type="dxa"/>
            <w:vAlign w:val="center"/>
          </w:tcPr>
          <w:p w:rsidR="001D694F" w:rsidRDefault="001D694F" w:rsidP="00CD62E6">
            <w:pPr>
              <w:tabs>
                <w:tab w:val="left" w:pos="0"/>
              </w:tabs>
              <w:rPr>
                <w:sz w:val="22"/>
                <w:szCs w:val="22"/>
              </w:rPr>
            </w:pPr>
          </w:p>
          <w:p w:rsidR="001D694F" w:rsidRDefault="001D694F" w:rsidP="00CD62E6">
            <w:pPr>
              <w:tabs>
                <w:tab w:val="left" w:pos="0"/>
              </w:tabs>
              <w:rPr>
                <w:sz w:val="22"/>
                <w:szCs w:val="22"/>
              </w:rPr>
            </w:pPr>
            <w:r w:rsidRPr="00EA08C2">
              <w:rPr>
                <w:sz w:val="22"/>
                <w:szCs w:val="22"/>
                <w:u w:val="single"/>
              </w:rPr>
              <w:t>Borrowings</w:t>
            </w:r>
          </w:p>
          <w:p w:rsidR="001D694F" w:rsidRPr="00DB549E" w:rsidRDefault="001D694F" w:rsidP="00CD62E6">
            <w:pPr>
              <w:tabs>
                <w:tab w:val="left" w:pos="0"/>
              </w:tabs>
              <w:rPr>
                <w:sz w:val="22"/>
                <w:szCs w:val="22"/>
              </w:rPr>
            </w:pPr>
            <w:r w:rsidRPr="00DB549E">
              <w:rPr>
                <w:sz w:val="22"/>
                <w:szCs w:val="22"/>
              </w:rPr>
              <w:t>PWLB Borrowings at amortised cost</w:t>
            </w:r>
          </w:p>
        </w:tc>
        <w:tc>
          <w:tcPr>
            <w:tcW w:w="1134" w:type="dxa"/>
            <w:vAlign w:val="bottom"/>
          </w:tcPr>
          <w:p w:rsidR="001D694F" w:rsidRPr="004021A0" w:rsidRDefault="004021A0" w:rsidP="0089332B">
            <w:pPr>
              <w:pStyle w:val="Footer"/>
              <w:tabs>
                <w:tab w:val="clear" w:pos="4153"/>
                <w:tab w:val="clear" w:pos="8306"/>
                <w:tab w:val="decimal" w:pos="468"/>
              </w:tabs>
              <w:jc w:val="center"/>
              <w:rPr>
                <w:sz w:val="22"/>
                <w:szCs w:val="22"/>
              </w:rPr>
            </w:pPr>
            <w:r w:rsidRPr="004021A0">
              <w:rPr>
                <w:sz w:val="22"/>
                <w:szCs w:val="22"/>
              </w:rPr>
              <w:t>2,02</w:t>
            </w:r>
            <w:r w:rsidR="00275717">
              <w:rPr>
                <w:sz w:val="22"/>
                <w:szCs w:val="22"/>
              </w:rPr>
              <w:t>3</w:t>
            </w:r>
          </w:p>
        </w:tc>
        <w:tc>
          <w:tcPr>
            <w:tcW w:w="1134" w:type="dxa"/>
            <w:shd w:val="clear" w:color="00FFFF" w:fill="auto"/>
            <w:vAlign w:val="bottom"/>
          </w:tcPr>
          <w:p w:rsidR="001D694F" w:rsidRPr="004021A0" w:rsidRDefault="001D694F" w:rsidP="0089332B">
            <w:pPr>
              <w:pStyle w:val="Footer"/>
              <w:tabs>
                <w:tab w:val="clear" w:pos="4153"/>
                <w:tab w:val="clear" w:pos="8306"/>
                <w:tab w:val="decimal" w:pos="468"/>
              </w:tabs>
              <w:jc w:val="center"/>
              <w:rPr>
                <w:sz w:val="22"/>
                <w:szCs w:val="22"/>
              </w:rPr>
            </w:pPr>
            <w:r w:rsidRPr="004021A0">
              <w:rPr>
                <w:sz w:val="22"/>
                <w:szCs w:val="22"/>
              </w:rPr>
              <w:t>5,243</w:t>
            </w:r>
          </w:p>
        </w:tc>
        <w:tc>
          <w:tcPr>
            <w:tcW w:w="1134" w:type="dxa"/>
            <w:shd w:val="clear" w:color="00FFFF" w:fill="auto"/>
            <w:vAlign w:val="bottom"/>
          </w:tcPr>
          <w:p w:rsidR="001D694F" w:rsidRPr="004021A0" w:rsidRDefault="004021A0" w:rsidP="00954EB4">
            <w:pPr>
              <w:pStyle w:val="Footer"/>
              <w:tabs>
                <w:tab w:val="clear" w:pos="4153"/>
                <w:tab w:val="clear" w:pos="8306"/>
                <w:tab w:val="decimal" w:pos="468"/>
              </w:tabs>
              <w:jc w:val="center"/>
              <w:rPr>
                <w:sz w:val="22"/>
                <w:szCs w:val="22"/>
              </w:rPr>
            </w:pPr>
            <w:r w:rsidRPr="004021A0">
              <w:rPr>
                <w:sz w:val="22"/>
                <w:szCs w:val="22"/>
              </w:rPr>
              <w:t>-</w:t>
            </w:r>
          </w:p>
        </w:tc>
        <w:tc>
          <w:tcPr>
            <w:tcW w:w="1276" w:type="dxa"/>
            <w:shd w:val="clear" w:color="00FFFF" w:fill="auto"/>
            <w:vAlign w:val="bottom"/>
          </w:tcPr>
          <w:p w:rsidR="001D694F" w:rsidRPr="00A02BDA" w:rsidRDefault="001D694F" w:rsidP="001D694F">
            <w:pPr>
              <w:pStyle w:val="Footer"/>
              <w:tabs>
                <w:tab w:val="clear" w:pos="4153"/>
                <w:tab w:val="clear" w:pos="8306"/>
                <w:tab w:val="decimal" w:pos="468"/>
              </w:tabs>
              <w:jc w:val="center"/>
              <w:rPr>
                <w:sz w:val="22"/>
                <w:szCs w:val="22"/>
              </w:rPr>
            </w:pPr>
            <w:r>
              <w:rPr>
                <w:sz w:val="22"/>
                <w:szCs w:val="22"/>
              </w:rPr>
              <w:t>333</w:t>
            </w:r>
          </w:p>
        </w:tc>
      </w:tr>
      <w:tr w:rsidR="001D694F" w:rsidRPr="005A1BFB" w:rsidTr="00954EB4">
        <w:trPr>
          <w:cantSplit/>
          <w:trHeight w:val="405"/>
        </w:trPr>
        <w:tc>
          <w:tcPr>
            <w:tcW w:w="4110" w:type="dxa"/>
            <w:vAlign w:val="center"/>
          </w:tcPr>
          <w:p w:rsidR="001D694F" w:rsidRDefault="001D694F" w:rsidP="00CD62E6">
            <w:pPr>
              <w:rPr>
                <w:sz w:val="22"/>
                <w:szCs w:val="22"/>
              </w:rPr>
            </w:pPr>
          </w:p>
          <w:p w:rsidR="001D694F" w:rsidRDefault="001D694F" w:rsidP="00CD62E6">
            <w:pPr>
              <w:rPr>
                <w:sz w:val="22"/>
                <w:szCs w:val="22"/>
              </w:rPr>
            </w:pPr>
            <w:r w:rsidRPr="00EA08C2">
              <w:rPr>
                <w:sz w:val="22"/>
                <w:szCs w:val="22"/>
                <w:u w:val="single"/>
              </w:rPr>
              <w:t>Other Long Term Liabilities</w:t>
            </w:r>
          </w:p>
          <w:p w:rsidR="001D694F" w:rsidRPr="002A50C0" w:rsidRDefault="001D694F" w:rsidP="00CD62E6">
            <w:pPr>
              <w:rPr>
                <w:sz w:val="22"/>
                <w:szCs w:val="22"/>
              </w:rPr>
            </w:pPr>
            <w:r w:rsidRPr="002A50C0">
              <w:rPr>
                <w:sz w:val="22"/>
                <w:szCs w:val="22"/>
              </w:rPr>
              <w:t>PFI and finance lease liabilities</w:t>
            </w:r>
          </w:p>
        </w:tc>
        <w:tc>
          <w:tcPr>
            <w:tcW w:w="1134" w:type="dxa"/>
            <w:vAlign w:val="bottom"/>
          </w:tcPr>
          <w:p w:rsidR="001D694F" w:rsidRPr="004021A0" w:rsidRDefault="004021A0" w:rsidP="00954EB4">
            <w:pPr>
              <w:pStyle w:val="Footer"/>
              <w:tabs>
                <w:tab w:val="clear" w:pos="4153"/>
                <w:tab w:val="clear" w:pos="8306"/>
                <w:tab w:val="decimal" w:pos="326"/>
              </w:tabs>
              <w:jc w:val="center"/>
              <w:rPr>
                <w:sz w:val="22"/>
                <w:szCs w:val="22"/>
              </w:rPr>
            </w:pPr>
            <w:r w:rsidRPr="004021A0">
              <w:rPr>
                <w:sz w:val="22"/>
                <w:szCs w:val="22"/>
              </w:rPr>
              <w:t>13,987</w:t>
            </w:r>
          </w:p>
        </w:tc>
        <w:tc>
          <w:tcPr>
            <w:tcW w:w="1134" w:type="dxa"/>
            <w:shd w:val="clear" w:color="00FFFF" w:fill="auto"/>
            <w:vAlign w:val="bottom"/>
          </w:tcPr>
          <w:p w:rsidR="001D694F" w:rsidRPr="004021A0" w:rsidRDefault="001D694F" w:rsidP="001D694F">
            <w:pPr>
              <w:pStyle w:val="Footer"/>
              <w:tabs>
                <w:tab w:val="clear" w:pos="4153"/>
                <w:tab w:val="clear" w:pos="8306"/>
                <w:tab w:val="decimal" w:pos="326"/>
              </w:tabs>
              <w:jc w:val="center"/>
              <w:rPr>
                <w:sz w:val="22"/>
                <w:szCs w:val="22"/>
              </w:rPr>
            </w:pPr>
            <w:r w:rsidRPr="004021A0">
              <w:rPr>
                <w:sz w:val="22"/>
                <w:szCs w:val="22"/>
              </w:rPr>
              <w:t>14,316</w:t>
            </w:r>
          </w:p>
        </w:tc>
        <w:tc>
          <w:tcPr>
            <w:tcW w:w="1134" w:type="dxa"/>
            <w:shd w:val="clear" w:color="00FFFF" w:fill="auto"/>
            <w:vAlign w:val="bottom"/>
          </w:tcPr>
          <w:p w:rsidR="001D694F" w:rsidRPr="004021A0" w:rsidRDefault="004021A0" w:rsidP="00954EB4">
            <w:pPr>
              <w:pStyle w:val="Footer"/>
              <w:tabs>
                <w:tab w:val="clear" w:pos="4153"/>
                <w:tab w:val="clear" w:pos="8306"/>
                <w:tab w:val="decimal" w:pos="435"/>
              </w:tabs>
              <w:jc w:val="center"/>
              <w:rPr>
                <w:sz w:val="22"/>
                <w:szCs w:val="22"/>
              </w:rPr>
            </w:pPr>
            <w:r w:rsidRPr="004021A0">
              <w:rPr>
                <w:sz w:val="22"/>
                <w:szCs w:val="22"/>
              </w:rPr>
              <w:t>329</w:t>
            </w:r>
          </w:p>
        </w:tc>
        <w:tc>
          <w:tcPr>
            <w:tcW w:w="1276" w:type="dxa"/>
            <w:shd w:val="clear" w:color="00FFFF" w:fill="auto"/>
            <w:vAlign w:val="bottom"/>
          </w:tcPr>
          <w:p w:rsidR="001D694F" w:rsidRPr="00A02BDA" w:rsidRDefault="001D694F" w:rsidP="001D694F">
            <w:pPr>
              <w:pStyle w:val="Footer"/>
              <w:tabs>
                <w:tab w:val="clear" w:pos="4153"/>
                <w:tab w:val="clear" w:pos="8306"/>
                <w:tab w:val="decimal" w:pos="435"/>
              </w:tabs>
              <w:jc w:val="center"/>
              <w:rPr>
                <w:sz w:val="22"/>
                <w:szCs w:val="22"/>
              </w:rPr>
            </w:pPr>
            <w:r>
              <w:rPr>
                <w:sz w:val="22"/>
                <w:szCs w:val="22"/>
              </w:rPr>
              <w:t>335</w:t>
            </w:r>
          </w:p>
        </w:tc>
      </w:tr>
      <w:tr w:rsidR="001D694F" w:rsidRPr="005A1BFB" w:rsidTr="00954EB4">
        <w:trPr>
          <w:cantSplit/>
          <w:trHeight w:val="405"/>
        </w:trPr>
        <w:tc>
          <w:tcPr>
            <w:tcW w:w="4110" w:type="dxa"/>
            <w:vAlign w:val="center"/>
          </w:tcPr>
          <w:p w:rsidR="001D694F" w:rsidRDefault="001D694F" w:rsidP="00CD62E6">
            <w:pPr>
              <w:rPr>
                <w:sz w:val="22"/>
                <w:szCs w:val="22"/>
              </w:rPr>
            </w:pPr>
          </w:p>
          <w:p w:rsidR="001D694F" w:rsidRDefault="001D694F" w:rsidP="00CD62E6">
            <w:pPr>
              <w:rPr>
                <w:sz w:val="22"/>
                <w:szCs w:val="22"/>
              </w:rPr>
            </w:pPr>
            <w:r>
              <w:rPr>
                <w:sz w:val="22"/>
                <w:szCs w:val="22"/>
                <w:u w:val="single"/>
              </w:rPr>
              <w:t>Creditors</w:t>
            </w:r>
          </w:p>
          <w:p w:rsidR="001D694F" w:rsidRPr="002A50C0" w:rsidRDefault="001D694F" w:rsidP="00CD62E6">
            <w:pPr>
              <w:rPr>
                <w:sz w:val="22"/>
                <w:szCs w:val="22"/>
              </w:rPr>
            </w:pPr>
            <w:r>
              <w:rPr>
                <w:sz w:val="22"/>
                <w:szCs w:val="22"/>
              </w:rPr>
              <w:t>Financial liabilities carried at amortised cost</w:t>
            </w:r>
          </w:p>
        </w:tc>
        <w:tc>
          <w:tcPr>
            <w:tcW w:w="1134" w:type="dxa"/>
            <w:vAlign w:val="bottom"/>
          </w:tcPr>
          <w:p w:rsidR="001D694F" w:rsidRPr="00E91FB1" w:rsidRDefault="001D694F" w:rsidP="00954EB4">
            <w:pPr>
              <w:pStyle w:val="Footer"/>
              <w:tabs>
                <w:tab w:val="clear" w:pos="4153"/>
                <w:tab w:val="clear" w:pos="8306"/>
                <w:tab w:val="decimal" w:pos="326"/>
              </w:tabs>
              <w:jc w:val="center"/>
              <w:rPr>
                <w:sz w:val="22"/>
                <w:szCs w:val="22"/>
              </w:rPr>
            </w:pPr>
            <w:r w:rsidRPr="00E91FB1">
              <w:rPr>
                <w:sz w:val="22"/>
                <w:szCs w:val="22"/>
              </w:rPr>
              <w:t>-</w:t>
            </w:r>
          </w:p>
        </w:tc>
        <w:tc>
          <w:tcPr>
            <w:tcW w:w="1134" w:type="dxa"/>
            <w:shd w:val="clear" w:color="00FFFF" w:fill="auto"/>
            <w:vAlign w:val="bottom"/>
          </w:tcPr>
          <w:p w:rsidR="001D694F" w:rsidRPr="00426BCB" w:rsidRDefault="001D694F" w:rsidP="00954EB4">
            <w:pPr>
              <w:pStyle w:val="Footer"/>
              <w:tabs>
                <w:tab w:val="clear" w:pos="4153"/>
                <w:tab w:val="clear" w:pos="8306"/>
                <w:tab w:val="decimal" w:pos="326"/>
              </w:tabs>
              <w:jc w:val="center"/>
              <w:rPr>
                <w:sz w:val="22"/>
                <w:szCs w:val="22"/>
              </w:rPr>
            </w:pPr>
            <w:r w:rsidRPr="00426BCB">
              <w:rPr>
                <w:sz w:val="22"/>
                <w:szCs w:val="22"/>
              </w:rPr>
              <w:t>-</w:t>
            </w:r>
          </w:p>
        </w:tc>
        <w:tc>
          <w:tcPr>
            <w:tcW w:w="1134" w:type="dxa"/>
            <w:shd w:val="clear" w:color="00FFFF" w:fill="auto"/>
            <w:vAlign w:val="bottom"/>
          </w:tcPr>
          <w:p w:rsidR="001D694F" w:rsidRPr="001D694F" w:rsidRDefault="00EB6B6A" w:rsidP="00954EB4">
            <w:pPr>
              <w:pStyle w:val="Footer"/>
              <w:tabs>
                <w:tab w:val="clear" w:pos="4153"/>
                <w:tab w:val="clear" w:pos="8306"/>
                <w:tab w:val="decimal" w:pos="435"/>
              </w:tabs>
              <w:jc w:val="center"/>
              <w:rPr>
                <w:sz w:val="22"/>
                <w:szCs w:val="22"/>
                <w:highlight w:val="yellow"/>
              </w:rPr>
            </w:pPr>
            <w:r w:rsidRPr="00EB6B6A">
              <w:rPr>
                <w:sz w:val="22"/>
                <w:szCs w:val="22"/>
              </w:rPr>
              <w:t>2,869</w:t>
            </w:r>
          </w:p>
        </w:tc>
        <w:tc>
          <w:tcPr>
            <w:tcW w:w="1276" w:type="dxa"/>
            <w:shd w:val="clear" w:color="00FFFF" w:fill="auto"/>
            <w:vAlign w:val="bottom"/>
          </w:tcPr>
          <w:p w:rsidR="001D694F" w:rsidRPr="00F763E7" w:rsidRDefault="001D694F" w:rsidP="001D694F">
            <w:pPr>
              <w:pStyle w:val="Footer"/>
              <w:tabs>
                <w:tab w:val="clear" w:pos="4153"/>
                <w:tab w:val="clear" w:pos="8306"/>
                <w:tab w:val="decimal" w:pos="435"/>
              </w:tabs>
              <w:jc w:val="center"/>
              <w:rPr>
                <w:sz w:val="22"/>
                <w:szCs w:val="22"/>
              </w:rPr>
            </w:pPr>
            <w:r>
              <w:rPr>
                <w:sz w:val="22"/>
                <w:szCs w:val="22"/>
              </w:rPr>
              <w:t>2,639</w:t>
            </w:r>
          </w:p>
        </w:tc>
      </w:tr>
    </w:tbl>
    <w:p w:rsidR="00104FD1" w:rsidRDefault="00104FD1" w:rsidP="00B22562">
      <w:pPr>
        <w:rPr>
          <w:sz w:val="22"/>
          <w:szCs w:val="22"/>
        </w:rPr>
      </w:pPr>
    </w:p>
    <w:p w:rsidR="004B11BE" w:rsidRDefault="00C46406" w:rsidP="00D90216">
      <w:pPr>
        <w:pStyle w:val="Heading1"/>
        <w:ind w:left="709"/>
        <w:rPr>
          <w:sz w:val="22"/>
          <w:szCs w:val="22"/>
        </w:rPr>
      </w:pPr>
      <w:r>
        <w:rPr>
          <w:sz w:val="22"/>
          <w:szCs w:val="22"/>
        </w:rPr>
        <w:br w:type="page"/>
      </w:r>
    </w:p>
    <w:p w:rsidR="004B11BE" w:rsidRDefault="004B11BE" w:rsidP="00D90216">
      <w:pPr>
        <w:pStyle w:val="Heading1"/>
        <w:ind w:left="709"/>
        <w:rPr>
          <w:sz w:val="22"/>
          <w:szCs w:val="22"/>
        </w:rPr>
      </w:pPr>
    </w:p>
    <w:p w:rsidR="00D90216" w:rsidRPr="00EA08C2" w:rsidRDefault="00D90216" w:rsidP="00D90216">
      <w:pPr>
        <w:pStyle w:val="Heading1"/>
        <w:ind w:left="709"/>
        <w:rPr>
          <w:sz w:val="22"/>
          <w:szCs w:val="22"/>
        </w:rPr>
      </w:pPr>
      <w:r w:rsidRPr="00EA08C2">
        <w:rPr>
          <w:sz w:val="22"/>
          <w:szCs w:val="22"/>
        </w:rPr>
        <w:t>Income, Expense, Gains and Losses</w:t>
      </w:r>
    </w:p>
    <w:p w:rsidR="00D90216" w:rsidRPr="00EA08C2" w:rsidRDefault="00D90216" w:rsidP="00D90216">
      <w:pPr>
        <w:ind w:left="709"/>
        <w:jc w:val="both"/>
        <w:rPr>
          <w:sz w:val="22"/>
          <w:szCs w:val="22"/>
          <w:highlight w:val="cyan"/>
        </w:rPr>
      </w:pPr>
    </w:p>
    <w:tbl>
      <w:tblPr>
        <w:tblW w:w="8792" w:type="dxa"/>
        <w:tblInd w:w="817" w:type="dxa"/>
        <w:tblLayout w:type="fixed"/>
        <w:tblLook w:val="0000" w:firstRow="0" w:lastRow="0" w:firstColumn="0" w:lastColumn="0" w:noHBand="0" w:noVBand="0"/>
      </w:tblPr>
      <w:tblGrid>
        <w:gridCol w:w="4252"/>
        <w:gridCol w:w="1134"/>
        <w:gridCol w:w="1136"/>
        <w:gridCol w:w="1132"/>
        <w:gridCol w:w="1138"/>
      </w:tblGrid>
      <w:tr w:rsidR="00D76635" w:rsidRPr="005A1BFB" w:rsidTr="009C21E7">
        <w:trPr>
          <w:cantSplit/>
          <w:trHeight w:val="530"/>
        </w:trPr>
        <w:tc>
          <w:tcPr>
            <w:tcW w:w="4252" w:type="dxa"/>
          </w:tcPr>
          <w:p w:rsidR="00D76635" w:rsidRPr="005A1BFB" w:rsidRDefault="00D76635" w:rsidP="00CD62E6">
            <w:pPr>
              <w:rPr>
                <w:sz w:val="22"/>
                <w:szCs w:val="22"/>
                <w:highlight w:val="cyan"/>
              </w:rPr>
            </w:pPr>
          </w:p>
        </w:tc>
        <w:tc>
          <w:tcPr>
            <w:tcW w:w="4540" w:type="dxa"/>
            <w:gridSpan w:val="4"/>
          </w:tcPr>
          <w:p w:rsidR="00D76635" w:rsidRPr="00BA48D7" w:rsidRDefault="00D76635" w:rsidP="00BA48D7">
            <w:pPr>
              <w:jc w:val="center"/>
              <w:rPr>
                <w:sz w:val="22"/>
                <w:szCs w:val="22"/>
              </w:rPr>
            </w:pPr>
            <w:r w:rsidRPr="00BA48D7">
              <w:rPr>
                <w:sz w:val="22"/>
                <w:szCs w:val="22"/>
              </w:rPr>
              <w:t>Financial assets: Loans and receivables</w:t>
            </w:r>
          </w:p>
        </w:tc>
      </w:tr>
      <w:tr w:rsidR="001D694F" w:rsidRPr="005A1BFB" w:rsidTr="009C21E7">
        <w:trPr>
          <w:cantSplit/>
          <w:trHeight w:val="271"/>
        </w:trPr>
        <w:tc>
          <w:tcPr>
            <w:tcW w:w="4252" w:type="dxa"/>
          </w:tcPr>
          <w:p w:rsidR="001D694F" w:rsidRPr="005A1BFB" w:rsidRDefault="001D694F" w:rsidP="00CD62E6">
            <w:pPr>
              <w:rPr>
                <w:sz w:val="22"/>
                <w:szCs w:val="22"/>
                <w:highlight w:val="cyan"/>
              </w:rPr>
            </w:pPr>
          </w:p>
        </w:tc>
        <w:tc>
          <w:tcPr>
            <w:tcW w:w="1134" w:type="dxa"/>
          </w:tcPr>
          <w:p w:rsidR="001D694F" w:rsidRPr="005024AA" w:rsidRDefault="001D694F" w:rsidP="001D694F">
            <w:pPr>
              <w:pStyle w:val="BodyTextIndent"/>
              <w:ind w:left="0"/>
              <w:jc w:val="center"/>
              <w:rPr>
                <w:sz w:val="22"/>
                <w:lang w:val="en-GB"/>
              </w:rPr>
            </w:pPr>
            <w:r w:rsidRPr="005024AA">
              <w:rPr>
                <w:sz w:val="22"/>
                <w:lang w:val="en-GB"/>
              </w:rPr>
              <w:t>201</w:t>
            </w:r>
            <w:r>
              <w:rPr>
                <w:sz w:val="22"/>
                <w:lang w:val="en-GB"/>
              </w:rPr>
              <w:t>7/18</w:t>
            </w:r>
          </w:p>
        </w:tc>
        <w:tc>
          <w:tcPr>
            <w:tcW w:w="1136" w:type="dxa"/>
          </w:tcPr>
          <w:p w:rsidR="001D694F" w:rsidRPr="005024AA" w:rsidRDefault="001D694F" w:rsidP="001D694F">
            <w:pPr>
              <w:pStyle w:val="BodyTextIndent"/>
              <w:ind w:left="0"/>
              <w:jc w:val="center"/>
              <w:rPr>
                <w:sz w:val="22"/>
                <w:lang w:val="en-GB"/>
              </w:rPr>
            </w:pPr>
            <w:r w:rsidRPr="005024AA">
              <w:rPr>
                <w:sz w:val="22"/>
                <w:lang w:val="en-GB"/>
              </w:rPr>
              <w:t>201</w:t>
            </w:r>
            <w:r>
              <w:rPr>
                <w:sz w:val="22"/>
                <w:lang w:val="en-GB"/>
              </w:rPr>
              <w:t>6/17</w:t>
            </w:r>
          </w:p>
        </w:tc>
        <w:tc>
          <w:tcPr>
            <w:tcW w:w="1132" w:type="dxa"/>
          </w:tcPr>
          <w:p w:rsidR="001D694F" w:rsidRPr="005024AA" w:rsidRDefault="001D694F" w:rsidP="001D694F">
            <w:pPr>
              <w:pStyle w:val="BodyTextIndent"/>
              <w:ind w:left="0"/>
              <w:jc w:val="center"/>
              <w:rPr>
                <w:sz w:val="22"/>
                <w:lang w:val="en-GB"/>
              </w:rPr>
            </w:pPr>
            <w:r w:rsidRPr="005024AA">
              <w:rPr>
                <w:sz w:val="22"/>
                <w:lang w:val="en-GB"/>
              </w:rPr>
              <w:t>201</w:t>
            </w:r>
            <w:r>
              <w:rPr>
                <w:sz w:val="22"/>
                <w:lang w:val="en-GB"/>
              </w:rPr>
              <w:t>7/18</w:t>
            </w:r>
          </w:p>
        </w:tc>
        <w:tc>
          <w:tcPr>
            <w:tcW w:w="1138" w:type="dxa"/>
          </w:tcPr>
          <w:p w:rsidR="001D694F" w:rsidRPr="005024AA" w:rsidRDefault="001D694F" w:rsidP="001D694F">
            <w:pPr>
              <w:pStyle w:val="BodyTextIndent"/>
              <w:ind w:left="0"/>
              <w:jc w:val="center"/>
              <w:rPr>
                <w:sz w:val="22"/>
                <w:lang w:val="en-GB"/>
              </w:rPr>
            </w:pPr>
            <w:r w:rsidRPr="005024AA">
              <w:rPr>
                <w:sz w:val="22"/>
                <w:lang w:val="en-GB"/>
              </w:rPr>
              <w:t>201</w:t>
            </w:r>
            <w:r>
              <w:rPr>
                <w:sz w:val="22"/>
                <w:lang w:val="en-GB"/>
              </w:rPr>
              <w:t>6/17</w:t>
            </w:r>
          </w:p>
        </w:tc>
      </w:tr>
      <w:tr w:rsidR="00D76635" w:rsidRPr="005A1BFB" w:rsidTr="009C21E7">
        <w:trPr>
          <w:cantSplit/>
          <w:trHeight w:val="275"/>
        </w:trPr>
        <w:tc>
          <w:tcPr>
            <w:tcW w:w="4252" w:type="dxa"/>
          </w:tcPr>
          <w:p w:rsidR="00D76635" w:rsidRPr="005A1BFB" w:rsidRDefault="00D76635" w:rsidP="00CD62E6">
            <w:pPr>
              <w:rPr>
                <w:sz w:val="22"/>
                <w:szCs w:val="22"/>
                <w:highlight w:val="cyan"/>
              </w:rPr>
            </w:pPr>
          </w:p>
        </w:tc>
        <w:tc>
          <w:tcPr>
            <w:tcW w:w="1134" w:type="dxa"/>
          </w:tcPr>
          <w:p w:rsidR="00D76635" w:rsidRPr="00BA48D7" w:rsidRDefault="00D76635" w:rsidP="00BA48D7">
            <w:pPr>
              <w:jc w:val="center"/>
              <w:rPr>
                <w:sz w:val="22"/>
                <w:szCs w:val="22"/>
              </w:rPr>
            </w:pPr>
            <w:r w:rsidRPr="00BA48D7">
              <w:rPr>
                <w:sz w:val="22"/>
                <w:szCs w:val="22"/>
              </w:rPr>
              <w:t>£000</w:t>
            </w:r>
          </w:p>
        </w:tc>
        <w:tc>
          <w:tcPr>
            <w:tcW w:w="1136" w:type="dxa"/>
          </w:tcPr>
          <w:p w:rsidR="00D76635" w:rsidRPr="00BA48D7" w:rsidRDefault="00D76635" w:rsidP="00AA780E">
            <w:pPr>
              <w:jc w:val="center"/>
              <w:rPr>
                <w:sz w:val="22"/>
                <w:szCs w:val="22"/>
              </w:rPr>
            </w:pPr>
            <w:r w:rsidRPr="00BA48D7">
              <w:rPr>
                <w:sz w:val="22"/>
                <w:szCs w:val="22"/>
              </w:rPr>
              <w:t>£000</w:t>
            </w:r>
          </w:p>
        </w:tc>
        <w:tc>
          <w:tcPr>
            <w:tcW w:w="1132" w:type="dxa"/>
          </w:tcPr>
          <w:p w:rsidR="00D76635" w:rsidRPr="00BA48D7" w:rsidRDefault="00D76635" w:rsidP="00D804F4">
            <w:pPr>
              <w:jc w:val="center"/>
              <w:rPr>
                <w:sz w:val="22"/>
                <w:szCs w:val="22"/>
              </w:rPr>
            </w:pPr>
            <w:r w:rsidRPr="00BA48D7">
              <w:rPr>
                <w:sz w:val="22"/>
                <w:szCs w:val="22"/>
              </w:rPr>
              <w:t>£000</w:t>
            </w:r>
          </w:p>
        </w:tc>
        <w:tc>
          <w:tcPr>
            <w:tcW w:w="1138" w:type="dxa"/>
          </w:tcPr>
          <w:p w:rsidR="00D76635" w:rsidRPr="00BA48D7" w:rsidRDefault="00D76635" w:rsidP="00AA780E">
            <w:pPr>
              <w:jc w:val="center"/>
              <w:rPr>
                <w:sz w:val="22"/>
                <w:szCs w:val="22"/>
              </w:rPr>
            </w:pPr>
            <w:r w:rsidRPr="00BA48D7">
              <w:rPr>
                <w:sz w:val="22"/>
                <w:szCs w:val="22"/>
              </w:rPr>
              <w:t>£000</w:t>
            </w:r>
          </w:p>
        </w:tc>
      </w:tr>
      <w:tr w:rsidR="001D694F" w:rsidRPr="005A1BFB" w:rsidTr="00B6176F">
        <w:trPr>
          <w:cantSplit/>
          <w:trHeight w:val="382"/>
        </w:trPr>
        <w:tc>
          <w:tcPr>
            <w:tcW w:w="4252" w:type="dxa"/>
            <w:vAlign w:val="center"/>
          </w:tcPr>
          <w:p w:rsidR="001D694F" w:rsidRPr="00030789" w:rsidRDefault="001D694F" w:rsidP="00CD62E6">
            <w:pPr>
              <w:tabs>
                <w:tab w:val="left" w:pos="0"/>
              </w:tabs>
              <w:rPr>
                <w:sz w:val="22"/>
                <w:szCs w:val="22"/>
              </w:rPr>
            </w:pPr>
            <w:r w:rsidRPr="00030789">
              <w:rPr>
                <w:sz w:val="22"/>
                <w:szCs w:val="22"/>
              </w:rPr>
              <w:t>Interest expense</w:t>
            </w:r>
          </w:p>
        </w:tc>
        <w:tc>
          <w:tcPr>
            <w:tcW w:w="1134" w:type="dxa"/>
            <w:tcBorders>
              <w:bottom w:val="single" w:sz="4" w:space="0" w:color="auto"/>
            </w:tcBorders>
            <w:vAlign w:val="center"/>
          </w:tcPr>
          <w:p w:rsidR="001D694F" w:rsidRPr="00C72440" w:rsidRDefault="000B5FC3" w:rsidP="004D6FAD">
            <w:pPr>
              <w:pStyle w:val="Footer"/>
              <w:tabs>
                <w:tab w:val="clear" w:pos="4153"/>
                <w:tab w:val="clear" w:pos="8306"/>
                <w:tab w:val="decimal" w:pos="326"/>
              </w:tabs>
              <w:jc w:val="center"/>
              <w:rPr>
                <w:sz w:val="22"/>
                <w:szCs w:val="22"/>
              </w:rPr>
            </w:pPr>
            <w:r>
              <w:rPr>
                <w:sz w:val="22"/>
                <w:szCs w:val="22"/>
              </w:rPr>
              <w:t>1,576</w:t>
            </w:r>
          </w:p>
        </w:tc>
        <w:tc>
          <w:tcPr>
            <w:tcW w:w="1136" w:type="dxa"/>
            <w:tcBorders>
              <w:bottom w:val="single" w:sz="4" w:space="0" w:color="auto"/>
            </w:tcBorders>
            <w:vAlign w:val="center"/>
          </w:tcPr>
          <w:p w:rsidR="001D694F" w:rsidRPr="00C72440" w:rsidRDefault="001D694F" w:rsidP="001D694F">
            <w:pPr>
              <w:pStyle w:val="Footer"/>
              <w:tabs>
                <w:tab w:val="clear" w:pos="4153"/>
                <w:tab w:val="clear" w:pos="8306"/>
                <w:tab w:val="decimal" w:pos="326"/>
              </w:tabs>
              <w:jc w:val="center"/>
              <w:rPr>
                <w:sz w:val="22"/>
                <w:szCs w:val="22"/>
              </w:rPr>
            </w:pPr>
            <w:r w:rsidRPr="00C72440">
              <w:rPr>
                <w:sz w:val="22"/>
                <w:szCs w:val="22"/>
              </w:rPr>
              <w:t>1,674</w:t>
            </w:r>
          </w:p>
        </w:tc>
        <w:tc>
          <w:tcPr>
            <w:tcW w:w="1132" w:type="dxa"/>
            <w:tcBorders>
              <w:bottom w:val="single" w:sz="4" w:space="0" w:color="auto"/>
            </w:tcBorders>
            <w:vAlign w:val="center"/>
          </w:tcPr>
          <w:p w:rsidR="001D694F" w:rsidRPr="00641AD9" w:rsidRDefault="001D694F" w:rsidP="00B6176F">
            <w:pPr>
              <w:pStyle w:val="Footer"/>
              <w:tabs>
                <w:tab w:val="clear" w:pos="4153"/>
                <w:tab w:val="clear" w:pos="8306"/>
                <w:tab w:val="decimal" w:pos="599"/>
              </w:tabs>
              <w:rPr>
                <w:sz w:val="22"/>
                <w:szCs w:val="22"/>
              </w:rPr>
            </w:pPr>
            <w:r w:rsidRPr="00641AD9">
              <w:rPr>
                <w:sz w:val="22"/>
                <w:szCs w:val="22"/>
              </w:rPr>
              <w:t>-</w:t>
            </w:r>
          </w:p>
        </w:tc>
        <w:tc>
          <w:tcPr>
            <w:tcW w:w="1138" w:type="dxa"/>
            <w:tcBorders>
              <w:bottom w:val="single" w:sz="4" w:space="0" w:color="auto"/>
            </w:tcBorders>
            <w:vAlign w:val="center"/>
          </w:tcPr>
          <w:p w:rsidR="001D694F" w:rsidRPr="00641AD9" w:rsidRDefault="001D694F" w:rsidP="00B6176F">
            <w:pPr>
              <w:pStyle w:val="Footer"/>
              <w:tabs>
                <w:tab w:val="clear" w:pos="4153"/>
                <w:tab w:val="clear" w:pos="8306"/>
                <w:tab w:val="decimal" w:pos="599"/>
              </w:tabs>
              <w:rPr>
                <w:sz w:val="22"/>
                <w:szCs w:val="22"/>
              </w:rPr>
            </w:pPr>
            <w:r w:rsidRPr="00641AD9">
              <w:rPr>
                <w:sz w:val="22"/>
                <w:szCs w:val="22"/>
              </w:rPr>
              <w:t>-</w:t>
            </w:r>
          </w:p>
        </w:tc>
      </w:tr>
      <w:tr w:rsidR="001D694F" w:rsidRPr="005A1BFB" w:rsidTr="00B6176F">
        <w:trPr>
          <w:cantSplit/>
          <w:trHeight w:val="405"/>
        </w:trPr>
        <w:tc>
          <w:tcPr>
            <w:tcW w:w="4252" w:type="dxa"/>
            <w:vAlign w:val="center"/>
          </w:tcPr>
          <w:p w:rsidR="001D694F" w:rsidRPr="00030789" w:rsidRDefault="001D694F" w:rsidP="00CD62E6">
            <w:pPr>
              <w:rPr>
                <w:sz w:val="22"/>
                <w:szCs w:val="22"/>
              </w:rPr>
            </w:pPr>
            <w:r w:rsidRPr="00030789">
              <w:rPr>
                <w:sz w:val="22"/>
                <w:szCs w:val="22"/>
              </w:rPr>
              <w:t>Total expense in Deficit on the Provision of Services</w:t>
            </w:r>
          </w:p>
        </w:tc>
        <w:tc>
          <w:tcPr>
            <w:tcW w:w="1134" w:type="dxa"/>
            <w:tcBorders>
              <w:top w:val="single" w:sz="4" w:space="0" w:color="auto"/>
            </w:tcBorders>
          </w:tcPr>
          <w:p w:rsidR="001D694F" w:rsidRDefault="001D694F" w:rsidP="007A789F">
            <w:pPr>
              <w:pStyle w:val="Footer"/>
              <w:tabs>
                <w:tab w:val="clear" w:pos="4153"/>
                <w:tab w:val="clear" w:pos="8306"/>
                <w:tab w:val="decimal" w:pos="326"/>
              </w:tabs>
              <w:jc w:val="center"/>
              <w:rPr>
                <w:sz w:val="22"/>
                <w:szCs w:val="22"/>
              </w:rPr>
            </w:pPr>
          </w:p>
          <w:p w:rsidR="000B5FC3" w:rsidRPr="00C72440" w:rsidRDefault="000B5FC3" w:rsidP="007A789F">
            <w:pPr>
              <w:pStyle w:val="Footer"/>
              <w:tabs>
                <w:tab w:val="clear" w:pos="4153"/>
                <w:tab w:val="clear" w:pos="8306"/>
                <w:tab w:val="decimal" w:pos="326"/>
              </w:tabs>
              <w:jc w:val="center"/>
              <w:rPr>
                <w:sz w:val="22"/>
                <w:szCs w:val="22"/>
              </w:rPr>
            </w:pPr>
            <w:r>
              <w:rPr>
                <w:sz w:val="22"/>
                <w:szCs w:val="22"/>
              </w:rPr>
              <w:t>1,576</w:t>
            </w:r>
          </w:p>
        </w:tc>
        <w:tc>
          <w:tcPr>
            <w:tcW w:w="1136" w:type="dxa"/>
            <w:tcBorders>
              <w:top w:val="single" w:sz="4" w:space="0" w:color="auto"/>
            </w:tcBorders>
          </w:tcPr>
          <w:p w:rsidR="001D694F" w:rsidRPr="00C72440" w:rsidRDefault="001D694F" w:rsidP="001D694F">
            <w:pPr>
              <w:pStyle w:val="Footer"/>
              <w:tabs>
                <w:tab w:val="clear" w:pos="4153"/>
                <w:tab w:val="clear" w:pos="8306"/>
                <w:tab w:val="decimal" w:pos="326"/>
              </w:tabs>
              <w:jc w:val="center"/>
              <w:rPr>
                <w:sz w:val="22"/>
                <w:szCs w:val="22"/>
              </w:rPr>
            </w:pPr>
          </w:p>
          <w:p w:rsidR="001D694F" w:rsidRPr="00C72440" w:rsidRDefault="001D694F" w:rsidP="001D694F">
            <w:pPr>
              <w:pStyle w:val="Footer"/>
              <w:tabs>
                <w:tab w:val="clear" w:pos="4153"/>
                <w:tab w:val="clear" w:pos="8306"/>
                <w:tab w:val="decimal" w:pos="326"/>
              </w:tabs>
              <w:jc w:val="center"/>
              <w:rPr>
                <w:sz w:val="22"/>
                <w:szCs w:val="22"/>
              </w:rPr>
            </w:pPr>
            <w:r w:rsidRPr="00C72440">
              <w:rPr>
                <w:sz w:val="22"/>
                <w:szCs w:val="22"/>
              </w:rPr>
              <w:t>1,674</w:t>
            </w:r>
          </w:p>
        </w:tc>
        <w:tc>
          <w:tcPr>
            <w:tcW w:w="1132" w:type="dxa"/>
            <w:tcBorders>
              <w:top w:val="single" w:sz="4" w:space="0" w:color="auto"/>
            </w:tcBorders>
          </w:tcPr>
          <w:p w:rsidR="001D694F" w:rsidRPr="00641AD9" w:rsidRDefault="001D694F" w:rsidP="00B6176F">
            <w:pPr>
              <w:pStyle w:val="Footer"/>
              <w:tabs>
                <w:tab w:val="clear" w:pos="4153"/>
                <w:tab w:val="clear" w:pos="8306"/>
                <w:tab w:val="decimal" w:pos="599"/>
              </w:tabs>
              <w:rPr>
                <w:sz w:val="22"/>
                <w:szCs w:val="22"/>
              </w:rPr>
            </w:pPr>
          </w:p>
          <w:p w:rsidR="001D694F" w:rsidRPr="00641AD9" w:rsidRDefault="001D694F" w:rsidP="00B6176F">
            <w:pPr>
              <w:pStyle w:val="Footer"/>
              <w:tabs>
                <w:tab w:val="clear" w:pos="4153"/>
                <w:tab w:val="clear" w:pos="8306"/>
                <w:tab w:val="decimal" w:pos="599"/>
              </w:tabs>
              <w:rPr>
                <w:sz w:val="22"/>
                <w:szCs w:val="22"/>
              </w:rPr>
            </w:pPr>
            <w:r w:rsidRPr="00641AD9">
              <w:rPr>
                <w:sz w:val="22"/>
                <w:szCs w:val="22"/>
              </w:rPr>
              <w:t>-</w:t>
            </w:r>
          </w:p>
        </w:tc>
        <w:tc>
          <w:tcPr>
            <w:tcW w:w="1138" w:type="dxa"/>
            <w:tcBorders>
              <w:top w:val="single" w:sz="4" w:space="0" w:color="auto"/>
            </w:tcBorders>
          </w:tcPr>
          <w:p w:rsidR="001D694F" w:rsidRPr="00641AD9" w:rsidRDefault="001D694F" w:rsidP="00B6176F">
            <w:pPr>
              <w:pStyle w:val="Footer"/>
              <w:tabs>
                <w:tab w:val="clear" w:pos="4153"/>
                <w:tab w:val="clear" w:pos="8306"/>
                <w:tab w:val="decimal" w:pos="599"/>
              </w:tabs>
              <w:rPr>
                <w:sz w:val="22"/>
                <w:szCs w:val="22"/>
              </w:rPr>
            </w:pPr>
          </w:p>
          <w:p w:rsidR="001D694F" w:rsidRPr="00641AD9" w:rsidRDefault="001D694F" w:rsidP="00B6176F">
            <w:pPr>
              <w:pStyle w:val="Footer"/>
              <w:tabs>
                <w:tab w:val="clear" w:pos="4153"/>
                <w:tab w:val="clear" w:pos="8306"/>
                <w:tab w:val="decimal" w:pos="599"/>
              </w:tabs>
              <w:rPr>
                <w:sz w:val="22"/>
                <w:szCs w:val="22"/>
              </w:rPr>
            </w:pPr>
            <w:r w:rsidRPr="00641AD9">
              <w:rPr>
                <w:sz w:val="22"/>
                <w:szCs w:val="22"/>
              </w:rPr>
              <w:t>-</w:t>
            </w:r>
          </w:p>
        </w:tc>
      </w:tr>
      <w:tr w:rsidR="001D694F" w:rsidRPr="005A1BFB" w:rsidTr="009C21E7">
        <w:trPr>
          <w:cantSplit/>
          <w:trHeight w:val="146"/>
        </w:trPr>
        <w:tc>
          <w:tcPr>
            <w:tcW w:w="4252" w:type="dxa"/>
            <w:vAlign w:val="center"/>
          </w:tcPr>
          <w:p w:rsidR="001D694F" w:rsidRPr="00030789" w:rsidRDefault="001D694F" w:rsidP="00CD62E6">
            <w:pPr>
              <w:ind w:left="720" w:hanging="720"/>
              <w:rPr>
                <w:sz w:val="16"/>
                <w:szCs w:val="16"/>
                <w:highlight w:val="cyan"/>
              </w:rPr>
            </w:pPr>
          </w:p>
        </w:tc>
        <w:tc>
          <w:tcPr>
            <w:tcW w:w="1134" w:type="dxa"/>
          </w:tcPr>
          <w:p w:rsidR="001D694F" w:rsidRPr="007A789F" w:rsidRDefault="001D694F" w:rsidP="00CD62E6">
            <w:pPr>
              <w:ind w:left="720" w:hanging="720"/>
              <w:rPr>
                <w:sz w:val="16"/>
                <w:szCs w:val="16"/>
              </w:rPr>
            </w:pPr>
          </w:p>
        </w:tc>
        <w:tc>
          <w:tcPr>
            <w:tcW w:w="1136" w:type="dxa"/>
          </w:tcPr>
          <w:p w:rsidR="001D694F" w:rsidRPr="007A789F" w:rsidRDefault="001D694F" w:rsidP="001D694F">
            <w:pPr>
              <w:ind w:left="720" w:hanging="720"/>
              <w:rPr>
                <w:sz w:val="16"/>
                <w:szCs w:val="16"/>
              </w:rPr>
            </w:pPr>
          </w:p>
        </w:tc>
        <w:tc>
          <w:tcPr>
            <w:tcW w:w="1132" w:type="dxa"/>
          </w:tcPr>
          <w:p w:rsidR="001D694F" w:rsidRPr="00CE7A41" w:rsidRDefault="001D694F" w:rsidP="00BA48D7">
            <w:pPr>
              <w:pStyle w:val="Footer"/>
              <w:tabs>
                <w:tab w:val="clear" w:pos="4153"/>
                <w:tab w:val="clear" w:pos="8306"/>
                <w:tab w:val="decimal" w:pos="326"/>
              </w:tabs>
              <w:jc w:val="center"/>
              <w:rPr>
                <w:sz w:val="22"/>
                <w:szCs w:val="22"/>
                <w:highlight w:val="yellow"/>
              </w:rPr>
            </w:pPr>
          </w:p>
        </w:tc>
        <w:tc>
          <w:tcPr>
            <w:tcW w:w="1138" w:type="dxa"/>
          </w:tcPr>
          <w:p w:rsidR="001D694F" w:rsidRPr="00CE7A41" w:rsidRDefault="001D694F" w:rsidP="00D71FAB">
            <w:pPr>
              <w:pStyle w:val="Footer"/>
              <w:tabs>
                <w:tab w:val="clear" w:pos="4153"/>
                <w:tab w:val="clear" w:pos="8306"/>
                <w:tab w:val="decimal" w:pos="326"/>
              </w:tabs>
              <w:jc w:val="center"/>
              <w:rPr>
                <w:sz w:val="22"/>
                <w:szCs w:val="22"/>
                <w:highlight w:val="yellow"/>
              </w:rPr>
            </w:pPr>
          </w:p>
        </w:tc>
      </w:tr>
      <w:tr w:rsidR="001D694F" w:rsidRPr="005A1BFB" w:rsidTr="009C21E7">
        <w:trPr>
          <w:cantSplit/>
          <w:trHeight w:val="405"/>
        </w:trPr>
        <w:tc>
          <w:tcPr>
            <w:tcW w:w="4252" w:type="dxa"/>
            <w:vAlign w:val="center"/>
          </w:tcPr>
          <w:p w:rsidR="001D694F" w:rsidRPr="00030789" w:rsidRDefault="001D694F" w:rsidP="00CD62E6">
            <w:pPr>
              <w:tabs>
                <w:tab w:val="left" w:pos="0"/>
              </w:tabs>
              <w:rPr>
                <w:sz w:val="22"/>
                <w:szCs w:val="22"/>
              </w:rPr>
            </w:pPr>
            <w:r w:rsidRPr="00030789">
              <w:rPr>
                <w:sz w:val="22"/>
                <w:szCs w:val="22"/>
              </w:rPr>
              <w:t xml:space="preserve">Interest </w:t>
            </w:r>
            <w:r>
              <w:rPr>
                <w:sz w:val="22"/>
                <w:szCs w:val="22"/>
              </w:rPr>
              <w:t>income</w:t>
            </w:r>
          </w:p>
        </w:tc>
        <w:tc>
          <w:tcPr>
            <w:tcW w:w="1134" w:type="dxa"/>
          </w:tcPr>
          <w:p w:rsidR="001D694F" w:rsidRPr="007A789F" w:rsidRDefault="001D694F" w:rsidP="00BA48D7">
            <w:pPr>
              <w:pStyle w:val="Footer"/>
              <w:tabs>
                <w:tab w:val="clear" w:pos="4153"/>
                <w:tab w:val="clear" w:pos="8306"/>
                <w:tab w:val="decimal" w:pos="326"/>
              </w:tabs>
              <w:jc w:val="center"/>
              <w:rPr>
                <w:sz w:val="22"/>
                <w:szCs w:val="22"/>
              </w:rPr>
            </w:pPr>
            <w:r>
              <w:rPr>
                <w:sz w:val="22"/>
                <w:szCs w:val="22"/>
              </w:rPr>
              <w:t>-</w:t>
            </w:r>
          </w:p>
        </w:tc>
        <w:tc>
          <w:tcPr>
            <w:tcW w:w="1136" w:type="dxa"/>
          </w:tcPr>
          <w:p w:rsidR="001D694F" w:rsidRPr="007A789F" w:rsidRDefault="001D694F" w:rsidP="001D694F">
            <w:pPr>
              <w:pStyle w:val="Footer"/>
              <w:tabs>
                <w:tab w:val="clear" w:pos="4153"/>
                <w:tab w:val="clear" w:pos="8306"/>
                <w:tab w:val="decimal" w:pos="326"/>
              </w:tabs>
              <w:jc w:val="center"/>
              <w:rPr>
                <w:sz w:val="22"/>
                <w:szCs w:val="22"/>
              </w:rPr>
            </w:pPr>
            <w:r>
              <w:rPr>
                <w:sz w:val="22"/>
                <w:szCs w:val="22"/>
              </w:rPr>
              <w:t>-</w:t>
            </w:r>
          </w:p>
        </w:tc>
        <w:tc>
          <w:tcPr>
            <w:tcW w:w="1132" w:type="dxa"/>
          </w:tcPr>
          <w:p w:rsidR="001D694F" w:rsidRPr="00754A9E" w:rsidRDefault="000B5FC3" w:rsidP="00754A9E">
            <w:pPr>
              <w:pStyle w:val="Footer"/>
              <w:tabs>
                <w:tab w:val="clear" w:pos="4153"/>
                <w:tab w:val="clear" w:pos="8306"/>
                <w:tab w:val="decimal" w:pos="435"/>
              </w:tabs>
              <w:jc w:val="center"/>
              <w:rPr>
                <w:sz w:val="22"/>
                <w:szCs w:val="22"/>
              </w:rPr>
            </w:pPr>
            <w:r>
              <w:rPr>
                <w:sz w:val="22"/>
                <w:szCs w:val="22"/>
              </w:rPr>
              <w:t>(266)</w:t>
            </w:r>
          </w:p>
        </w:tc>
        <w:tc>
          <w:tcPr>
            <w:tcW w:w="1138" w:type="dxa"/>
          </w:tcPr>
          <w:p w:rsidR="001D694F" w:rsidRPr="00754A9E" w:rsidRDefault="001D694F" w:rsidP="001D694F">
            <w:pPr>
              <w:pStyle w:val="Footer"/>
              <w:tabs>
                <w:tab w:val="clear" w:pos="4153"/>
                <w:tab w:val="clear" w:pos="8306"/>
                <w:tab w:val="decimal" w:pos="435"/>
              </w:tabs>
              <w:jc w:val="center"/>
              <w:rPr>
                <w:sz w:val="22"/>
                <w:szCs w:val="22"/>
              </w:rPr>
            </w:pPr>
            <w:r w:rsidRPr="00754A9E">
              <w:rPr>
                <w:sz w:val="22"/>
                <w:szCs w:val="22"/>
              </w:rPr>
              <w:t>(304)</w:t>
            </w:r>
          </w:p>
        </w:tc>
      </w:tr>
      <w:tr w:rsidR="001D694F" w:rsidRPr="005A1BFB" w:rsidTr="009C21E7">
        <w:trPr>
          <w:cantSplit/>
          <w:trHeight w:val="405"/>
        </w:trPr>
        <w:tc>
          <w:tcPr>
            <w:tcW w:w="4252" w:type="dxa"/>
            <w:vAlign w:val="center"/>
          </w:tcPr>
          <w:p w:rsidR="001D694F" w:rsidRPr="005A1BFB" w:rsidRDefault="001D694F" w:rsidP="00CD62E6">
            <w:pPr>
              <w:ind w:left="-37"/>
              <w:rPr>
                <w:sz w:val="22"/>
                <w:szCs w:val="22"/>
                <w:highlight w:val="cyan"/>
              </w:rPr>
            </w:pPr>
            <w:r w:rsidRPr="00030789">
              <w:rPr>
                <w:sz w:val="22"/>
                <w:szCs w:val="22"/>
              </w:rPr>
              <w:t>Total income in Deficit on the Provision of Services</w:t>
            </w:r>
          </w:p>
        </w:tc>
        <w:tc>
          <w:tcPr>
            <w:tcW w:w="1134" w:type="dxa"/>
            <w:tcBorders>
              <w:top w:val="single" w:sz="4" w:space="0" w:color="auto"/>
              <w:bottom w:val="single" w:sz="4" w:space="0" w:color="auto"/>
            </w:tcBorders>
          </w:tcPr>
          <w:p w:rsidR="001D694F" w:rsidRDefault="001D694F" w:rsidP="00BA48D7">
            <w:pPr>
              <w:pStyle w:val="Footer"/>
              <w:tabs>
                <w:tab w:val="clear" w:pos="4153"/>
                <w:tab w:val="clear" w:pos="8306"/>
                <w:tab w:val="decimal" w:pos="326"/>
              </w:tabs>
              <w:jc w:val="center"/>
              <w:rPr>
                <w:sz w:val="22"/>
                <w:szCs w:val="22"/>
              </w:rPr>
            </w:pPr>
          </w:p>
          <w:p w:rsidR="001D694F" w:rsidRPr="007A789F" w:rsidRDefault="001D694F" w:rsidP="00BA48D7">
            <w:pPr>
              <w:pStyle w:val="Footer"/>
              <w:tabs>
                <w:tab w:val="clear" w:pos="4153"/>
                <w:tab w:val="clear" w:pos="8306"/>
                <w:tab w:val="decimal" w:pos="326"/>
              </w:tabs>
              <w:jc w:val="center"/>
              <w:rPr>
                <w:sz w:val="22"/>
                <w:szCs w:val="22"/>
              </w:rPr>
            </w:pPr>
            <w:r>
              <w:rPr>
                <w:sz w:val="22"/>
                <w:szCs w:val="22"/>
              </w:rPr>
              <w:t>-</w:t>
            </w:r>
          </w:p>
        </w:tc>
        <w:tc>
          <w:tcPr>
            <w:tcW w:w="1136" w:type="dxa"/>
            <w:tcBorders>
              <w:top w:val="single" w:sz="4" w:space="0" w:color="auto"/>
              <w:bottom w:val="single" w:sz="4" w:space="0" w:color="auto"/>
            </w:tcBorders>
          </w:tcPr>
          <w:p w:rsidR="001D694F" w:rsidRDefault="001D694F" w:rsidP="001D694F">
            <w:pPr>
              <w:pStyle w:val="Footer"/>
              <w:tabs>
                <w:tab w:val="clear" w:pos="4153"/>
                <w:tab w:val="clear" w:pos="8306"/>
                <w:tab w:val="decimal" w:pos="326"/>
              </w:tabs>
              <w:jc w:val="center"/>
              <w:rPr>
                <w:sz w:val="22"/>
                <w:szCs w:val="22"/>
              </w:rPr>
            </w:pPr>
          </w:p>
          <w:p w:rsidR="001D694F" w:rsidRPr="007A789F" w:rsidRDefault="001D694F" w:rsidP="001D694F">
            <w:pPr>
              <w:pStyle w:val="Footer"/>
              <w:tabs>
                <w:tab w:val="clear" w:pos="4153"/>
                <w:tab w:val="clear" w:pos="8306"/>
                <w:tab w:val="decimal" w:pos="326"/>
              </w:tabs>
              <w:jc w:val="center"/>
              <w:rPr>
                <w:sz w:val="22"/>
                <w:szCs w:val="22"/>
              </w:rPr>
            </w:pPr>
            <w:r>
              <w:rPr>
                <w:sz w:val="22"/>
                <w:szCs w:val="22"/>
              </w:rPr>
              <w:t>-</w:t>
            </w:r>
          </w:p>
        </w:tc>
        <w:tc>
          <w:tcPr>
            <w:tcW w:w="1132" w:type="dxa"/>
            <w:tcBorders>
              <w:top w:val="single" w:sz="4" w:space="0" w:color="auto"/>
              <w:bottom w:val="single" w:sz="4" w:space="0" w:color="auto"/>
            </w:tcBorders>
          </w:tcPr>
          <w:p w:rsidR="001D694F" w:rsidRDefault="001D694F" w:rsidP="00754A9E">
            <w:pPr>
              <w:pStyle w:val="Footer"/>
              <w:tabs>
                <w:tab w:val="clear" w:pos="4153"/>
                <w:tab w:val="clear" w:pos="8306"/>
                <w:tab w:val="decimal" w:pos="326"/>
              </w:tabs>
              <w:jc w:val="center"/>
              <w:rPr>
                <w:sz w:val="22"/>
                <w:szCs w:val="22"/>
              </w:rPr>
            </w:pPr>
          </w:p>
          <w:p w:rsidR="000B5FC3" w:rsidRPr="00754A9E" w:rsidRDefault="000B5FC3" w:rsidP="00754A9E">
            <w:pPr>
              <w:pStyle w:val="Footer"/>
              <w:tabs>
                <w:tab w:val="clear" w:pos="4153"/>
                <w:tab w:val="clear" w:pos="8306"/>
                <w:tab w:val="decimal" w:pos="326"/>
              </w:tabs>
              <w:jc w:val="center"/>
              <w:rPr>
                <w:sz w:val="22"/>
                <w:szCs w:val="22"/>
              </w:rPr>
            </w:pPr>
            <w:r>
              <w:rPr>
                <w:sz w:val="22"/>
                <w:szCs w:val="22"/>
              </w:rPr>
              <w:t>(266)</w:t>
            </w:r>
          </w:p>
        </w:tc>
        <w:tc>
          <w:tcPr>
            <w:tcW w:w="1138" w:type="dxa"/>
            <w:tcBorders>
              <w:top w:val="single" w:sz="4" w:space="0" w:color="auto"/>
              <w:bottom w:val="single" w:sz="4" w:space="0" w:color="auto"/>
            </w:tcBorders>
          </w:tcPr>
          <w:p w:rsidR="001D694F" w:rsidRPr="00754A9E" w:rsidRDefault="001D694F" w:rsidP="001D694F">
            <w:pPr>
              <w:pStyle w:val="Footer"/>
              <w:tabs>
                <w:tab w:val="clear" w:pos="4153"/>
                <w:tab w:val="clear" w:pos="8306"/>
                <w:tab w:val="decimal" w:pos="326"/>
              </w:tabs>
              <w:jc w:val="center"/>
              <w:rPr>
                <w:sz w:val="22"/>
                <w:szCs w:val="22"/>
              </w:rPr>
            </w:pPr>
          </w:p>
          <w:p w:rsidR="001D694F" w:rsidRPr="00754A9E" w:rsidRDefault="001D694F" w:rsidP="001D694F">
            <w:pPr>
              <w:pStyle w:val="Footer"/>
              <w:tabs>
                <w:tab w:val="clear" w:pos="4153"/>
                <w:tab w:val="clear" w:pos="8306"/>
                <w:tab w:val="decimal" w:pos="326"/>
              </w:tabs>
              <w:jc w:val="center"/>
              <w:rPr>
                <w:sz w:val="22"/>
                <w:szCs w:val="22"/>
              </w:rPr>
            </w:pPr>
            <w:r w:rsidRPr="00754A9E">
              <w:rPr>
                <w:sz w:val="22"/>
                <w:szCs w:val="22"/>
              </w:rPr>
              <w:t>(304)</w:t>
            </w:r>
          </w:p>
        </w:tc>
      </w:tr>
      <w:tr w:rsidR="001D694F" w:rsidRPr="005A1BFB" w:rsidTr="009C21E7">
        <w:trPr>
          <w:cantSplit/>
          <w:trHeight w:val="405"/>
        </w:trPr>
        <w:tc>
          <w:tcPr>
            <w:tcW w:w="4252" w:type="dxa"/>
            <w:vAlign w:val="center"/>
          </w:tcPr>
          <w:p w:rsidR="001D694F" w:rsidRPr="00030789" w:rsidRDefault="001D694F" w:rsidP="00BA48D7">
            <w:pPr>
              <w:ind w:left="33"/>
              <w:rPr>
                <w:sz w:val="22"/>
                <w:szCs w:val="22"/>
              </w:rPr>
            </w:pPr>
            <w:r w:rsidRPr="00030789">
              <w:rPr>
                <w:sz w:val="22"/>
                <w:szCs w:val="22"/>
              </w:rPr>
              <w:t>Net gain/(loss) for the year</w:t>
            </w:r>
          </w:p>
        </w:tc>
        <w:tc>
          <w:tcPr>
            <w:tcW w:w="1134" w:type="dxa"/>
            <w:tcBorders>
              <w:top w:val="single" w:sz="4" w:space="0" w:color="auto"/>
              <w:bottom w:val="double" w:sz="4" w:space="0" w:color="auto"/>
            </w:tcBorders>
          </w:tcPr>
          <w:p w:rsidR="001D694F" w:rsidRDefault="001D694F" w:rsidP="007A789F">
            <w:pPr>
              <w:pStyle w:val="Footer"/>
              <w:tabs>
                <w:tab w:val="clear" w:pos="4153"/>
                <w:tab w:val="clear" w:pos="8306"/>
                <w:tab w:val="decimal" w:pos="326"/>
              </w:tabs>
              <w:jc w:val="center"/>
              <w:rPr>
                <w:sz w:val="22"/>
                <w:szCs w:val="22"/>
              </w:rPr>
            </w:pPr>
          </w:p>
          <w:p w:rsidR="001D694F" w:rsidRPr="007A789F" w:rsidRDefault="000B5FC3" w:rsidP="007A789F">
            <w:pPr>
              <w:pStyle w:val="Footer"/>
              <w:tabs>
                <w:tab w:val="clear" w:pos="4153"/>
                <w:tab w:val="clear" w:pos="8306"/>
                <w:tab w:val="decimal" w:pos="326"/>
              </w:tabs>
              <w:jc w:val="center"/>
              <w:rPr>
                <w:sz w:val="22"/>
                <w:szCs w:val="22"/>
              </w:rPr>
            </w:pPr>
            <w:r>
              <w:rPr>
                <w:sz w:val="22"/>
                <w:szCs w:val="22"/>
              </w:rPr>
              <w:t>1,576</w:t>
            </w:r>
          </w:p>
        </w:tc>
        <w:tc>
          <w:tcPr>
            <w:tcW w:w="1136" w:type="dxa"/>
            <w:tcBorders>
              <w:top w:val="single" w:sz="4" w:space="0" w:color="auto"/>
              <w:bottom w:val="double" w:sz="4" w:space="0" w:color="auto"/>
            </w:tcBorders>
          </w:tcPr>
          <w:p w:rsidR="001D694F" w:rsidRDefault="001D694F" w:rsidP="001D694F">
            <w:pPr>
              <w:pStyle w:val="Footer"/>
              <w:tabs>
                <w:tab w:val="clear" w:pos="4153"/>
                <w:tab w:val="clear" w:pos="8306"/>
                <w:tab w:val="decimal" w:pos="326"/>
              </w:tabs>
              <w:jc w:val="center"/>
              <w:rPr>
                <w:sz w:val="22"/>
                <w:szCs w:val="22"/>
              </w:rPr>
            </w:pPr>
          </w:p>
          <w:p w:rsidR="001D694F" w:rsidRPr="007A789F" w:rsidRDefault="001D694F" w:rsidP="001D694F">
            <w:pPr>
              <w:pStyle w:val="Footer"/>
              <w:tabs>
                <w:tab w:val="clear" w:pos="4153"/>
                <w:tab w:val="clear" w:pos="8306"/>
                <w:tab w:val="decimal" w:pos="326"/>
              </w:tabs>
              <w:jc w:val="center"/>
              <w:rPr>
                <w:sz w:val="22"/>
                <w:szCs w:val="22"/>
              </w:rPr>
            </w:pPr>
            <w:r>
              <w:rPr>
                <w:sz w:val="22"/>
                <w:szCs w:val="22"/>
              </w:rPr>
              <w:t>1,674</w:t>
            </w:r>
          </w:p>
        </w:tc>
        <w:tc>
          <w:tcPr>
            <w:tcW w:w="1132" w:type="dxa"/>
            <w:tcBorders>
              <w:top w:val="single" w:sz="4" w:space="0" w:color="auto"/>
              <w:bottom w:val="double" w:sz="4" w:space="0" w:color="auto"/>
            </w:tcBorders>
          </w:tcPr>
          <w:p w:rsidR="001D694F" w:rsidRDefault="001D694F" w:rsidP="00754A9E">
            <w:pPr>
              <w:pStyle w:val="Footer"/>
              <w:tabs>
                <w:tab w:val="clear" w:pos="4153"/>
                <w:tab w:val="clear" w:pos="8306"/>
                <w:tab w:val="decimal" w:pos="326"/>
              </w:tabs>
              <w:jc w:val="center"/>
              <w:rPr>
                <w:sz w:val="22"/>
                <w:szCs w:val="22"/>
              </w:rPr>
            </w:pPr>
          </w:p>
          <w:p w:rsidR="000B5FC3" w:rsidRPr="00754A9E" w:rsidRDefault="000B5FC3" w:rsidP="00754A9E">
            <w:pPr>
              <w:pStyle w:val="Footer"/>
              <w:tabs>
                <w:tab w:val="clear" w:pos="4153"/>
                <w:tab w:val="clear" w:pos="8306"/>
                <w:tab w:val="decimal" w:pos="326"/>
              </w:tabs>
              <w:jc w:val="center"/>
              <w:rPr>
                <w:sz w:val="22"/>
                <w:szCs w:val="22"/>
              </w:rPr>
            </w:pPr>
            <w:r>
              <w:rPr>
                <w:sz w:val="22"/>
                <w:szCs w:val="22"/>
              </w:rPr>
              <w:t>(266)</w:t>
            </w:r>
          </w:p>
        </w:tc>
        <w:tc>
          <w:tcPr>
            <w:tcW w:w="1138" w:type="dxa"/>
            <w:tcBorders>
              <w:top w:val="single" w:sz="4" w:space="0" w:color="auto"/>
              <w:bottom w:val="double" w:sz="4" w:space="0" w:color="auto"/>
            </w:tcBorders>
          </w:tcPr>
          <w:p w:rsidR="001D694F" w:rsidRPr="00754A9E" w:rsidRDefault="001D694F" w:rsidP="001D694F">
            <w:pPr>
              <w:pStyle w:val="Footer"/>
              <w:tabs>
                <w:tab w:val="clear" w:pos="4153"/>
                <w:tab w:val="clear" w:pos="8306"/>
                <w:tab w:val="decimal" w:pos="326"/>
              </w:tabs>
              <w:jc w:val="center"/>
              <w:rPr>
                <w:sz w:val="22"/>
                <w:szCs w:val="22"/>
              </w:rPr>
            </w:pPr>
          </w:p>
          <w:p w:rsidR="001D694F" w:rsidRPr="00754A9E" w:rsidRDefault="001D694F" w:rsidP="001D694F">
            <w:pPr>
              <w:pStyle w:val="Footer"/>
              <w:tabs>
                <w:tab w:val="clear" w:pos="4153"/>
                <w:tab w:val="clear" w:pos="8306"/>
                <w:tab w:val="decimal" w:pos="326"/>
              </w:tabs>
              <w:jc w:val="center"/>
              <w:rPr>
                <w:sz w:val="22"/>
                <w:szCs w:val="22"/>
              </w:rPr>
            </w:pPr>
            <w:r w:rsidRPr="00754A9E">
              <w:rPr>
                <w:sz w:val="22"/>
                <w:szCs w:val="22"/>
              </w:rPr>
              <w:t>(304)</w:t>
            </w:r>
          </w:p>
        </w:tc>
      </w:tr>
    </w:tbl>
    <w:p w:rsidR="00BF24AC" w:rsidRDefault="00BF24AC" w:rsidP="00D90216">
      <w:pPr>
        <w:rPr>
          <w:b/>
          <w:sz w:val="22"/>
          <w:szCs w:val="22"/>
        </w:rPr>
      </w:pPr>
    </w:p>
    <w:p w:rsidR="00D90216" w:rsidRPr="00F50151" w:rsidRDefault="00F004B0" w:rsidP="00BF24AC">
      <w:pPr>
        <w:ind w:left="709"/>
        <w:rPr>
          <w:b/>
          <w:sz w:val="22"/>
          <w:szCs w:val="22"/>
        </w:rPr>
      </w:pPr>
      <w:r>
        <w:rPr>
          <w:b/>
          <w:sz w:val="22"/>
          <w:szCs w:val="22"/>
        </w:rPr>
        <w:t xml:space="preserve">Fair Values of Assets </w:t>
      </w:r>
      <w:r w:rsidR="00D90216" w:rsidRPr="00F50151">
        <w:rPr>
          <w:b/>
          <w:sz w:val="22"/>
          <w:szCs w:val="22"/>
        </w:rPr>
        <w:t xml:space="preserve">and Liabilities </w:t>
      </w:r>
    </w:p>
    <w:p w:rsidR="00D90216" w:rsidRPr="00304667" w:rsidRDefault="00D90216" w:rsidP="00D90216">
      <w:pPr>
        <w:ind w:firstLine="709"/>
        <w:rPr>
          <w:b/>
          <w:sz w:val="22"/>
          <w:szCs w:val="22"/>
        </w:rPr>
      </w:pPr>
    </w:p>
    <w:p w:rsidR="00D90216" w:rsidRDefault="00D90216" w:rsidP="00D90216">
      <w:pPr>
        <w:ind w:left="709"/>
        <w:jc w:val="both"/>
        <w:rPr>
          <w:sz w:val="22"/>
          <w:szCs w:val="22"/>
        </w:rPr>
      </w:pPr>
      <w:r w:rsidRPr="00304667">
        <w:rPr>
          <w:sz w:val="22"/>
          <w:szCs w:val="22"/>
        </w:rPr>
        <w:t xml:space="preserve">Financial liabilities, financial assets represented by loans and receivables and long term creditors, are carried in the Balance Sheet at amortised cost. </w:t>
      </w:r>
      <w:r>
        <w:rPr>
          <w:sz w:val="22"/>
          <w:szCs w:val="22"/>
        </w:rPr>
        <w:t xml:space="preserve"> Their fair value can be assessed by calculating the present value of the cash flows that will take place over the remaining term of the instruments, using the following assumptions:</w:t>
      </w:r>
    </w:p>
    <w:p w:rsidR="00D90216" w:rsidRPr="00B743A6" w:rsidRDefault="00D90216" w:rsidP="00882E25">
      <w:pPr>
        <w:numPr>
          <w:ilvl w:val="0"/>
          <w:numId w:val="17"/>
        </w:numPr>
        <w:jc w:val="both"/>
        <w:rPr>
          <w:sz w:val="22"/>
          <w:szCs w:val="22"/>
        </w:rPr>
      </w:pPr>
      <w:r w:rsidRPr="00B743A6">
        <w:rPr>
          <w:sz w:val="22"/>
          <w:szCs w:val="22"/>
        </w:rPr>
        <w:t>Estimated ranges of interest rates at 31 March 201</w:t>
      </w:r>
      <w:r w:rsidR="001D694F" w:rsidRPr="00B743A6">
        <w:rPr>
          <w:sz w:val="22"/>
          <w:szCs w:val="22"/>
        </w:rPr>
        <w:t>8</w:t>
      </w:r>
      <w:r w:rsidRPr="00B743A6">
        <w:rPr>
          <w:sz w:val="22"/>
          <w:szCs w:val="22"/>
        </w:rPr>
        <w:t xml:space="preserve"> of </w:t>
      </w:r>
      <w:r w:rsidR="00104FD1" w:rsidRPr="00B743A6">
        <w:rPr>
          <w:sz w:val="22"/>
          <w:szCs w:val="22"/>
        </w:rPr>
        <w:t>4.</w:t>
      </w:r>
      <w:r w:rsidR="00C95614" w:rsidRPr="00B743A6">
        <w:rPr>
          <w:sz w:val="22"/>
          <w:szCs w:val="22"/>
        </w:rPr>
        <w:t>48</w:t>
      </w:r>
      <w:r w:rsidRPr="00B743A6">
        <w:rPr>
          <w:sz w:val="22"/>
          <w:szCs w:val="22"/>
        </w:rPr>
        <w:t xml:space="preserve">% to </w:t>
      </w:r>
      <w:r w:rsidR="00E034A4" w:rsidRPr="00B743A6">
        <w:rPr>
          <w:sz w:val="22"/>
          <w:szCs w:val="22"/>
        </w:rPr>
        <w:t>4.</w:t>
      </w:r>
      <w:r w:rsidR="00C95614" w:rsidRPr="00B743A6">
        <w:rPr>
          <w:sz w:val="22"/>
          <w:szCs w:val="22"/>
        </w:rPr>
        <w:t>49</w:t>
      </w:r>
      <w:r w:rsidRPr="00B743A6">
        <w:rPr>
          <w:sz w:val="22"/>
          <w:szCs w:val="22"/>
        </w:rPr>
        <w:t>% for loans from the PWLB</w:t>
      </w:r>
    </w:p>
    <w:p w:rsidR="00D90216" w:rsidRPr="00B743A6" w:rsidRDefault="00D90216" w:rsidP="00882E25">
      <w:pPr>
        <w:numPr>
          <w:ilvl w:val="0"/>
          <w:numId w:val="17"/>
        </w:numPr>
        <w:jc w:val="both"/>
        <w:rPr>
          <w:sz w:val="22"/>
          <w:szCs w:val="22"/>
        </w:rPr>
      </w:pPr>
      <w:r w:rsidRPr="00B743A6">
        <w:rPr>
          <w:sz w:val="22"/>
          <w:szCs w:val="22"/>
        </w:rPr>
        <w:t>This valuation takes into account the penalties that would be payable or discounts receivable on early repayment of loans to the PWLB.  These penalties and discounts depend on the rate and period of each individual loan and on the rates for loans with similar periods to maturity prevailing at the balance sheet date.</w:t>
      </w:r>
    </w:p>
    <w:p w:rsidR="00D90216" w:rsidRDefault="00D90216" w:rsidP="00882E25">
      <w:pPr>
        <w:numPr>
          <w:ilvl w:val="0"/>
          <w:numId w:val="17"/>
        </w:numPr>
        <w:jc w:val="both"/>
        <w:rPr>
          <w:sz w:val="22"/>
          <w:szCs w:val="22"/>
        </w:rPr>
      </w:pPr>
      <w:r>
        <w:rPr>
          <w:sz w:val="22"/>
          <w:szCs w:val="22"/>
        </w:rPr>
        <w:t>Where an instrument will mature in the next 12 months, carrying amount is assumed to approximate to fair value</w:t>
      </w:r>
    </w:p>
    <w:p w:rsidR="00D90216" w:rsidRPr="00901ED7" w:rsidRDefault="00D90216" w:rsidP="00882E25">
      <w:pPr>
        <w:numPr>
          <w:ilvl w:val="0"/>
          <w:numId w:val="17"/>
        </w:numPr>
        <w:jc w:val="both"/>
        <w:rPr>
          <w:sz w:val="22"/>
          <w:szCs w:val="22"/>
        </w:rPr>
      </w:pPr>
      <w:r>
        <w:rPr>
          <w:sz w:val="22"/>
          <w:szCs w:val="22"/>
        </w:rPr>
        <w:t xml:space="preserve">The fair value of </w:t>
      </w:r>
      <w:r w:rsidRPr="00901ED7">
        <w:rPr>
          <w:sz w:val="22"/>
          <w:szCs w:val="22"/>
        </w:rPr>
        <w:t>trade and other receivables is taken to be the invoiced amount.</w:t>
      </w:r>
    </w:p>
    <w:p w:rsidR="009F0546" w:rsidRPr="00901ED7" w:rsidRDefault="00F004B0" w:rsidP="00882E25">
      <w:pPr>
        <w:numPr>
          <w:ilvl w:val="0"/>
          <w:numId w:val="17"/>
        </w:numPr>
        <w:jc w:val="both"/>
        <w:rPr>
          <w:sz w:val="22"/>
          <w:szCs w:val="22"/>
        </w:rPr>
      </w:pPr>
      <w:r w:rsidRPr="00901ED7">
        <w:rPr>
          <w:sz w:val="22"/>
          <w:szCs w:val="22"/>
        </w:rPr>
        <w:t xml:space="preserve">The fair value of the PFI liabilities has been calculated by discounting the contractual </w:t>
      </w:r>
      <w:r w:rsidR="003004D7" w:rsidRPr="00901ED7">
        <w:rPr>
          <w:sz w:val="22"/>
          <w:szCs w:val="22"/>
        </w:rPr>
        <w:t>cash flows</w:t>
      </w:r>
      <w:r w:rsidRPr="00901ED7">
        <w:rPr>
          <w:sz w:val="22"/>
          <w:szCs w:val="22"/>
        </w:rPr>
        <w:t xml:space="preserve"> (excluding service charge elements) at the appropriate AA-rated bond yield rates</w:t>
      </w:r>
      <w:r w:rsidR="003004D7" w:rsidRPr="00901ED7">
        <w:rPr>
          <w:sz w:val="22"/>
          <w:szCs w:val="22"/>
        </w:rPr>
        <w:t>.</w:t>
      </w:r>
    </w:p>
    <w:p w:rsidR="00D90216" w:rsidRDefault="00D90216" w:rsidP="00D90216">
      <w:pPr>
        <w:ind w:left="709"/>
        <w:jc w:val="both"/>
        <w:rPr>
          <w:sz w:val="22"/>
          <w:szCs w:val="22"/>
        </w:rPr>
      </w:pPr>
    </w:p>
    <w:p w:rsidR="00D90216" w:rsidRDefault="00D90216" w:rsidP="003F472D">
      <w:pPr>
        <w:spacing w:after="240"/>
        <w:ind w:left="720"/>
        <w:jc w:val="both"/>
        <w:rPr>
          <w:sz w:val="22"/>
          <w:szCs w:val="22"/>
        </w:rPr>
      </w:pPr>
      <w:r w:rsidRPr="005E2E7D">
        <w:rPr>
          <w:sz w:val="22"/>
          <w:szCs w:val="22"/>
        </w:rPr>
        <w:t>The fair values calculated are as follows:</w:t>
      </w:r>
      <w:r>
        <w:rPr>
          <w:sz w:val="22"/>
          <w:szCs w:val="22"/>
        </w:rPr>
        <w:t xml:space="preserve"> </w:t>
      </w:r>
    </w:p>
    <w:tbl>
      <w:tblPr>
        <w:tblW w:w="9768" w:type="dxa"/>
        <w:tblInd w:w="817" w:type="dxa"/>
        <w:tblLook w:val="01E0" w:firstRow="1" w:lastRow="1" w:firstColumn="1" w:lastColumn="1" w:noHBand="0" w:noVBand="0"/>
      </w:tblPr>
      <w:tblGrid>
        <w:gridCol w:w="4536"/>
        <w:gridCol w:w="1354"/>
        <w:gridCol w:w="1323"/>
        <w:gridCol w:w="1293"/>
        <w:gridCol w:w="1262"/>
      </w:tblGrid>
      <w:tr w:rsidR="0026468D" w:rsidRPr="00D72DD9" w:rsidTr="009C21E7">
        <w:tc>
          <w:tcPr>
            <w:tcW w:w="4536" w:type="dxa"/>
            <w:shd w:val="clear" w:color="auto" w:fill="auto"/>
          </w:tcPr>
          <w:p w:rsidR="0026468D" w:rsidRPr="00D72DD9" w:rsidRDefault="0026468D" w:rsidP="00D72DD9">
            <w:pPr>
              <w:jc w:val="both"/>
              <w:rPr>
                <w:sz w:val="22"/>
                <w:szCs w:val="22"/>
              </w:rPr>
            </w:pPr>
          </w:p>
        </w:tc>
        <w:tc>
          <w:tcPr>
            <w:tcW w:w="2677" w:type="dxa"/>
            <w:gridSpan w:val="2"/>
            <w:shd w:val="clear" w:color="auto" w:fill="auto"/>
            <w:vAlign w:val="center"/>
          </w:tcPr>
          <w:p w:rsidR="0026468D" w:rsidRPr="00D72DD9" w:rsidRDefault="0026468D" w:rsidP="00C95614">
            <w:pPr>
              <w:jc w:val="center"/>
              <w:rPr>
                <w:sz w:val="22"/>
                <w:szCs w:val="22"/>
              </w:rPr>
            </w:pPr>
            <w:r w:rsidRPr="00D72DD9">
              <w:rPr>
                <w:sz w:val="22"/>
                <w:szCs w:val="22"/>
              </w:rPr>
              <w:t>31 March 201</w:t>
            </w:r>
            <w:r w:rsidR="00C95614">
              <w:rPr>
                <w:sz w:val="22"/>
                <w:szCs w:val="22"/>
              </w:rPr>
              <w:t>8</w:t>
            </w:r>
          </w:p>
        </w:tc>
        <w:tc>
          <w:tcPr>
            <w:tcW w:w="2555" w:type="dxa"/>
            <w:gridSpan w:val="2"/>
            <w:shd w:val="clear" w:color="auto" w:fill="auto"/>
            <w:vAlign w:val="center"/>
          </w:tcPr>
          <w:p w:rsidR="0026468D" w:rsidRPr="00D72DD9" w:rsidRDefault="0026468D" w:rsidP="00C95614">
            <w:pPr>
              <w:jc w:val="center"/>
              <w:rPr>
                <w:sz w:val="22"/>
                <w:szCs w:val="22"/>
              </w:rPr>
            </w:pPr>
            <w:r w:rsidRPr="00D72DD9">
              <w:rPr>
                <w:sz w:val="22"/>
                <w:szCs w:val="22"/>
              </w:rPr>
              <w:t>31 March 201</w:t>
            </w:r>
            <w:r w:rsidR="00C95614">
              <w:rPr>
                <w:sz w:val="22"/>
                <w:szCs w:val="22"/>
              </w:rPr>
              <w:t>7</w:t>
            </w:r>
          </w:p>
        </w:tc>
      </w:tr>
      <w:tr w:rsidR="0026468D" w:rsidRPr="00D72DD9" w:rsidTr="009C21E7">
        <w:tc>
          <w:tcPr>
            <w:tcW w:w="4536" w:type="dxa"/>
            <w:shd w:val="clear" w:color="auto" w:fill="auto"/>
          </w:tcPr>
          <w:p w:rsidR="0026468D" w:rsidRPr="00D72DD9" w:rsidRDefault="0026468D" w:rsidP="00D72DD9">
            <w:pPr>
              <w:jc w:val="both"/>
              <w:rPr>
                <w:sz w:val="22"/>
                <w:szCs w:val="22"/>
              </w:rPr>
            </w:pPr>
          </w:p>
        </w:tc>
        <w:tc>
          <w:tcPr>
            <w:tcW w:w="1354" w:type="dxa"/>
            <w:shd w:val="clear" w:color="auto" w:fill="auto"/>
          </w:tcPr>
          <w:p w:rsidR="0026468D" w:rsidRPr="00D72DD9" w:rsidRDefault="0026468D" w:rsidP="00D72DD9">
            <w:pPr>
              <w:jc w:val="center"/>
              <w:rPr>
                <w:sz w:val="22"/>
                <w:szCs w:val="22"/>
              </w:rPr>
            </w:pPr>
            <w:r w:rsidRPr="00D72DD9">
              <w:rPr>
                <w:sz w:val="22"/>
                <w:szCs w:val="22"/>
              </w:rPr>
              <w:t>Amortised Cost</w:t>
            </w:r>
          </w:p>
        </w:tc>
        <w:tc>
          <w:tcPr>
            <w:tcW w:w="1323" w:type="dxa"/>
            <w:shd w:val="clear" w:color="auto" w:fill="auto"/>
          </w:tcPr>
          <w:p w:rsidR="0026468D" w:rsidRPr="00D72DD9" w:rsidRDefault="0026468D" w:rsidP="00D72DD9">
            <w:pPr>
              <w:jc w:val="center"/>
              <w:rPr>
                <w:sz w:val="22"/>
                <w:szCs w:val="22"/>
              </w:rPr>
            </w:pPr>
            <w:r w:rsidRPr="00D72DD9">
              <w:rPr>
                <w:sz w:val="22"/>
                <w:szCs w:val="22"/>
              </w:rPr>
              <w:t>Fair Value</w:t>
            </w:r>
          </w:p>
        </w:tc>
        <w:tc>
          <w:tcPr>
            <w:tcW w:w="1293" w:type="dxa"/>
            <w:shd w:val="clear" w:color="auto" w:fill="auto"/>
          </w:tcPr>
          <w:p w:rsidR="0026468D" w:rsidRPr="00D72DD9" w:rsidRDefault="0026468D" w:rsidP="00D72DD9">
            <w:pPr>
              <w:jc w:val="center"/>
              <w:rPr>
                <w:sz w:val="22"/>
                <w:szCs w:val="22"/>
              </w:rPr>
            </w:pPr>
            <w:r w:rsidRPr="00D72DD9">
              <w:rPr>
                <w:sz w:val="22"/>
                <w:szCs w:val="22"/>
              </w:rPr>
              <w:t>Amortised Cost</w:t>
            </w:r>
          </w:p>
        </w:tc>
        <w:tc>
          <w:tcPr>
            <w:tcW w:w="1262" w:type="dxa"/>
            <w:shd w:val="clear" w:color="auto" w:fill="auto"/>
          </w:tcPr>
          <w:p w:rsidR="0026468D" w:rsidRPr="00D72DD9" w:rsidRDefault="0026468D" w:rsidP="00D72DD9">
            <w:pPr>
              <w:jc w:val="center"/>
              <w:rPr>
                <w:sz w:val="22"/>
                <w:szCs w:val="22"/>
              </w:rPr>
            </w:pPr>
            <w:r w:rsidRPr="00D72DD9">
              <w:rPr>
                <w:sz w:val="22"/>
                <w:szCs w:val="22"/>
              </w:rPr>
              <w:t>Fair Value</w:t>
            </w:r>
          </w:p>
        </w:tc>
      </w:tr>
      <w:tr w:rsidR="0026468D" w:rsidRPr="00D72DD9" w:rsidTr="009C21E7">
        <w:tc>
          <w:tcPr>
            <w:tcW w:w="4536" w:type="dxa"/>
            <w:shd w:val="clear" w:color="auto" w:fill="auto"/>
          </w:tcPr>
          <w:p w:rsidR="0026468D" w:rsidRPr="00D72DD9" w:rsidRDefault="0026468D" w:rsidP="00D72DD9">
            <w:pPr>
              <w:jc w:val="both"/>
              <w:rPr>
                <w:sz w:val="22"/>
                <w:szCs w:val="22"/>
              </w:rPr>
            </w:pPr>
          </w:p>
        </w:tc>
        <w:tc>
          <w:tcPr>
            <w:tcW w:w="1354" w:type="dxa"/>
            <w:shd w:val="clear" w:color="auto" w:fill="auto"/>
            <w:vAlign w:val="center"/>
          </w:tcPr>
          <w:p w:rsidR="0026468D" w:rsidRPr="00D72DD9" w:rsidRDefault="0026468D" w:rsidP="00D72DD9">
            <w:pPr>
              <w:jc w:val="center"/>
              <w:rPr>
                <w:sz w:val="22"/>
                <w:szCs w:val="22"/>
              </w:rPr>
            </w:pPr>
            <w:r w:rsidRPr="00D72DD9">
              <w:rPr>
                <w:sz w:val="22"/>
                <w:szCs w:val="22"/>
              </w:rPr>
              <w:t>£000</w:t>
            </w:r>
          </w:p>
        </w:tc>
        <w:tc>
          <w:tcPr>
            <w:tcW w:w="1323" w:type="dxa"/>
            <w:shd w:val="clear" w:color="auto" w:fill="auto"/>
            <w:vAlign w:val="center"/>
          </w:tcPr>
          <w:p w:rsidR="0026468D" w:rsidRPr="00D72DD9" w:rsidRDefault="0026468D" w:rsidP="00D72DD9">
            <w:pPr>
              <w:jc w:val="center"/>
              <w:rPr>
                <w:sz w:val="22"/>
                <w:szCs w:val="22"/>
              </w:rPr>
            </w:pPr>
            <w:r w:rsidRPr="00D72DD9">
              <w:rPr>
                <w:sz w:val="22"/>
                <w:szCs w:val="22"/>
              </w:rPr>
              <w:t>£000</w:t>
            </w:r>
          </w:p>
        </w:tc>
        <w:tc>
          <w:tcPr>
            <w:tcW w:w="1293" w:type="dxa"/>
            <w:shd w:val="clear" w:color="auto" w:fill="auto"/>
            <w:vAlign w:val="center"/>
          </w:tcPr>
          <w:p w:rsidR="0026468D" w:rsidRPr="00D72DD9" w:rsidRDefault="0026468D" w:rsidP="00D72DD9">
            <w:pPr>
              <w:jc w:val="center"/>
              <w:rPr>
                <w:sz w:val="22"/>
                <w:szCs w:val="22"/>
              </w:rPr>
            </w:pPr>
            <w:r w:rsidRPr="00D72DD9">
              <w:rPr>
                <w:sz w:val="22"/>
                <w:szCs w:val="22"/>
              </w:rPr>
              <w:t>£000</w:t>
            </w:r>
          </w:p>
        </w:tc>
        <w:tc>
          <w:tcPr>
            <w:tcW w:w="1262" w:type="dxa"/>
            <w:shd w:val="clear" w:color="auto" w:fill="auto"/>
            <w:vAlign w:val="center"/>
          </w:tcPr>
          <w:p w:rsidR="0026468D" w:rsidRPr="00D72DD9" w:rsidRDefault="0026468D" w:rsidP="00D72DD9">
            <w:pPr>
              <w:jc w:val="center"/>
              <w:rPr>
                <w:sz w:val="22"/>
                <w:szCs w:val="22"/>
              </w:rPr>
            </w:pPr>
            <w:r w:rsidRPr="00D72DD9">
              <w:rPr>
                <w:sz w:val="22"/>
                <w:szCs w:val="22"/>
              </w:rPr>
              <w:t>£000</w:t>
            </w:r>
          </w:p>
        </w:tc>
      </w:tr>
      <w:tr w:rsidR="0026468D" w:rsidRPr="00D72DD9" w:rsidTr="009C21E7">
        <w:tc>
          <w:tcPr>
            <w:tcW w:w="4536" w:type="dxa"/>
            <w:shd w:val="clear" w:color="auto" w:fill="auto"/>
          </w:tcPr>
          <w:p w:rsidR="0026468D" w:rsidRPr="00D72DD9" w:rsidRDefault="0026468D" w:rsidP="00D72DD9">
            <w:pPr>
              <w:jc w:val="both"/>
              <w:rPr>
                <w:sz w:val="22"/>
                <w:szCs w:val="22"/>
              </w:rPr>
            </w:pPr>
          </w:p>
        </w:tc>
        <w:tc>
          <w:tcPr>
            <w:tcW w:w="1354" w:type="dxa"/>
            <w:shd w:val="clear" w:color="auto" w:fill="auto"/>
          </w:tcPr>
          <w:p w:rsidR="0026468D" w:rsidRPr="00D72DD9" w:rsidRDefault="0026468D" w:rsidP="00D72DD9">
            <w:pPr>
              <w:jc w:val="both"/>
              <w:rPr>
                <w:sz w:val="22"/>
                <w:szCs w:val="22"/>
              </w:rPr>
            </w:pPr>
          </w:p>
        </w:tc>
        <w:tc>
          <w:tcPr>
            <w:tcW w:w="1323" w:type="dxa"/>
            <w:shd w:val="clear" w:color="auto" w:fill="auto"/>
          </w:tcPr>
          <w:p w:rsidR="0026468D" w:rsidRPr="00D72DD9" w:rsidRDefault="0026468D" w:rsidP="00D72DD9">
            <w:pPr>
              <w:jc w:val="both"/>
              <w:rPr>
                <w:sz w:val="22"/>
                <w:szCs w:val="22"/>
              </w:rPr>
            </w:pPr>
          </w:p>
        </w:tc>
        <w:tc>
          <w:tcPr>
            <w:tcW w:w="1293" w:type="dxa"/>
            <w:shd w:val="clear" w:color="auto" w:fill="auto"/>
          </w:tcPr>
          <w:p w:rsidR="0026468D" w:rsidRPr="00D72DD9" w:rsidRDefault="0026468D" w:rsidP="00D72DD9">
            <w:pPr>
              <w:jc w:val="both"/>
              <w:rPr>
                <w:sz w:val="22"/>
                <w:szCs w:val="22"/>
              </w:rPr>
            </w:pPr>
          </w:p>
        </w:tc>
        <w:tc>
          <w:tcPr>
            <w:tcW w:w="1262" w:type="dxa"/>
            <w:shd w:val="clear" w:color="auto" w:fill="auto"/>
          </w:tcPr>
          <w:p w:rsidR="0026468D" w:rsidRPr="00D72DD9" w:rsidRDefault="0026468D" w:rsidP="00D72DD9">
            <w:pPr>
              <w:jc w:val="both"/>
              <w:rPr>
                <w:sz w:val="22"/>
                <w:szCs w:val="22"/>
              </w:rPr>
            </w:pPr>
          </w:p>
        </w:tc>
      </w:tr>
      <w:tr w:rsidR="00C95614" w:rsidRPr="00D72DD9" w:rsidTr="009C21E7">
        <w:tc>
          <w:tcPr>
            <w:tcW w:w="4536" w:type="dxa"/>
            <w:shd w:val="clear" w:color="auto" w:fill="auto"/>
            <w:vAlign w:val="center"/>
          </w:tcPr>
          <w:p w:rsidR="00C95614" w:rsidRPr="00D72DD9" w:rsidRDefault="00C95614" w:rsidP="00D72DD9">
            <w:pPr>
              <w:ind w:left="60"/>
              <w:rPr>
                <w:sz w:val="22"/>
                <w:szCs w:val="22"/>
              </w:rPr>
            </w:pPr>
            <w:r w:rsidRPr="00D72DD9">
              <w:rPr>
                <w:sz w:val="22"/>
                <w:szCs w:val="22"/>
              </w:rPr>
              <w:t>Loans from the Public Works Loan Board</w:t>
            </w:r>
          </w:p>
        </w:tc>
        <w:tc>
          <w:tcPr>
            <w:tcW w:w="1354" w:type="dxa"/>
            <w:shd w:val="clear" w:color="auto" w:fill="auto"/>
            <w:vAlign w:val="center"/>
          </w:tcPr>
          <w:p w:rsidR="00C95614" w:rsidRPr="009B7535" w:rsidRDefault="00B743A6" w:rsidP="00275717">
            <w:pPr>
              <w:pStyle w:val="Footer"/>
              <w:tabs>
                <w:tab w:val="clear" w:pos="4153"/>
                <w:tab w:val="clear" w:pos="8306"/>
                <w:tab w:val="decimal" w:pos="326"/>
              </w:tabs>
              <w:jc w:val="center"/>
              <w:rPr>
                <w:sz w:val="22"/>
                <w:szCs w:val="22"/>
              </w:rPr>
            </w:pPr>
            <w:r>
              <w:rPr>
                <w:sz w:val="22"/>
                <w:szCs w:val="22"/>
              </w:rPr>
              <w:t>2,02</w:t>
            </w:r>
            <w:r w:rsidR="00275717">
              <w:rPr>
                <w:sz w:val="22"/>
                <w:szCs w:val="22"/>
              </w:rPr>
              <w:t>3</w:t>
            </w:r>
          </w:p>
        </w:tc>
        <w:tc>
          <w:tcPr>
            <w:tcW w:w="1323" w:type="dxa"/>
            <w:shd w:val="clear" w:color="auto" w:fill="auto"/>
            <w:vAlign w:val="center"/>
          </w:tcPr>
          <w:p w:rsidR="00C95614" w:rsidRPr="009B7535" w:rsidRDefault="005E279D" w:rsidP="00702789">
            <w:pPr>
              <w:pStyle w:val="Footer"/>
              <w:tabs>
                <w:tab w:val="clear" w:pos="4153"/>
                <w:tab w:val="clear" w:pos="8306"/>
                <w:tab w:val="decimal" w:pos="326"/>
              </w:tabs>
              <w:jc w:val="center"/>
              <w:rPr>
                <w:sz w:val="22"/>
                <w:szCs w:val="22"/>
              </w:rPr>
            </w:pPr>
            <w:r>
              <w:rPr>
                <w:sz w:val="22"/>
                <w:szCs w:val="22"/>
              </w:rPr>
              <w:t>2,663</w:t>
            </w:r>
          </w:p>
        </w:tc>
        <w:tc>
          <w:tcPr>
            <w:tcW w:w="1293" w:type="dxa"/>
            <w:shd w:val="clear" w:color="auto" w:fill="auto"/>
            <w:vAlign w:val="center"/>
          </w:tcPr>
          <w:p w:rsidR="00C95614" w:rsidRPr="009B7535" w:rsidRDefault="00C95614" w:rsidP="00C95614">
            <w:pPr>
              <w:pStyle w:val="Footer"/>
              <w:tabs>
                <w:tab w:val="clear" w:pos="4153"/>
                <w:tab w:val="clear" w:pos="8306"/>
                <w:tab w:val="decimal" w:pos="326"/>
              </w:tabs>
              <w:jc w:val="center"/>
              <w:rPr>
                <w:sz w:val="22"/>
                <w:szCs w:val="22"/>
              </w:rPr>
            </w:pPr>
            <w:r w:rsidRPr="009B7535">
              <w:rPr>
                <w:sz w:val="22"/>
                <w:szCs w:val="22"/>
              </w:rPr>
              <w:t>5,</w:t>
            </w:r>
            <w:r>
              <w:rPr>
                <w:sz w:val="22"/>
                <w:szCs w:val="22"/>
              </w:rPr>
              <w:t>577</w:t>
            </w:r>
          </w:p>
        </w:tc>
        <w:tc>
          <w:tcPr>
            <w:tcW w:w="1262" w:type="dxa"/>
            <w:shd w:val="clear" w:color="auto" w:fill="auto"/>
            <w:vAlign w:val="center"/>
          </w:tcPr>
          <w:p w:rsidR="00C95614" w:rsidRPr="009B7535" w:rsidRDefault="00C95614" w:rsidP="00C95614">
            <w:pPr>
              <w:pStyle w:val="Footer"/>
              <w:tabs>
                <w:tab w:val="clear" w:pos="4153"/>
                <w:tab w:val="clear" w:pos="8306"/>
                <w:tab w:val="decimal" w:pos="326"/>
              </w:tabs>
              <w:jc w:val="center"/>
              <w:rPr>
                <w:sz w:val="22"/>
                <w:szCs w:val="22"/>
              </w:rPr>
            </w:pPr>
            <w:r w:rsidRPr="009B7535">
              <w:rPr>
                <w:sz w:val="22"/>
                <w:szCs w:val="22"/>
              </w:rPr>
              <w:t>7,301</w:t>
            </w:r>
          </w:p>
        </w:tc>
      </w:tr>
      <w:tr w:rsidR="00C95614" w:rsidRPr="00D72DD9" w:rsidTr="009C21E7">
        <w:tc>
          <w:tcPr>
            <w:tcW w:w="4536" w:type="dxa"/>
            <w:shd w:val="clear" w:color="auto" w:fill="auto"/>
          </w:tcPr>
          <w:p w:rsidR="00C95614" w:rsidRPr="00D72DD9" w:rsidRDefault="00C95614" w:rsidP="00D72DD9">
            <w:pPr>
              <w:jc w:val="both"/>
              <w:rPr>
                <w:sz w:val="22"/>
                <w:szCs w:val="22"/>
              </w:rPr>
            </w:pPr>
          </w:p>
        </w:tc>
        <w:tc>
          <w:tcPr>
            <w:tcW w:w="1354" w:type="dxa"/>
            <w:shd w:val="clear" w:color="auto" w:fill="auto"/>
          </w:tcPr>
          <w:p w:rsidR="00C95614" w:rsidRPr="009B7535" w:rsidRDefault="00C95614" w:rsidP="00D72DD9">
            <w:pPr>
              <w:pStyle w:val="Footer"/>
              <w:tabs>
                <w:tab w:val="clear" w:pos="4153"/>
                <w:tab w:val="clear" w:pos="8306"/>
                <w:tab w:val="decimal" w:pos="326"/>
              </w:tabs>
              <w:jc w:val="center"/>
              <w:rPr>
                <w:sz w:val="22"/>
                <w:szCs w:val="22"/>
              </w:rPr>
            </w:pPr>
          </w:p>
        </w:tc>
        <w:tc>
          <w:tcPr>
            <w:tcW w:w="1323" w:type="dxa"/>
            <w:shd w:val="clear" w:color="auto" w:fill="auto"/>
          </w:tcPr>
          <w:p w:rsidR="00C95614" w:rsidRPr="009B7535" w:rsidRDefault="00C95614" w:rsidP="00D72DD9">
            <w:pPr>
              <w:jc w:val="both"/>
              <w:rPr>
                <w:sz w:val="22"/>
                <w:szCs w:val="22"/>
              </w:rPr>
            </w:pPr>
          </w:p>
        </w:tc>
        <w:tc>
          <w:tcPr>
            <w:tcW w:w="1293" w:type="dxa"/>
            <w:shd w:val="clear" w:color="auto" w:fill="auto"/>
          </w:tcPr>
          <w:p w:rsidR="00C95614" w:rsidRPr="009B7535" w:rsidRDefault="00C95614" w:rsidP="00C95614">
            <w:pPr>
              <w:pStyle w:val="Footer"/>
              <w:tabs>
                <w:tab w:val="clear" w:pos="4153"/>
                <w:tab w:val="clear" w:pos="8306"/>
                <w:tab w:val="decimal" w:pos="326"/>
              </w:tabs>
              <w:jc w:val="center"/>
              <w:rPr>
                <w:sz w:val="22"/>
                <w:szCs w:val="22"/>
              </w:rPr>
            </w:pPr>
          </w:p>
        </w:tc>
        <w:tc>
          <w:tcPr>
            <w:tcW w:w="1262" w:type="dxa"/>
            <w:shd w:val="clear" w:color="auto" w:fill="auto"/>
          </w:tcPr>
          <w:p w:rsidR="00C95614" w:rsidRPr="009B7535" w:rsidRDefault="00C95614" w:rsidP="00C95614">
            <w:pPr>
              <w:jc w:val="both"/>
              <w:rPr>
                <w:sz w:val="22"/>
                <w:szCs w:val="22"/>
              </w:rPr>
            </w:pPr>
          </w:p>
        </w:tc>
      </w:tr>
      <w:tr w:rsidR="00C95614" w:rsidRPr="00D72DD9" w:rsidTr="009C21E7">
        <w:tc>
          <w:tcPr>
            <w:tcW w:w="4536" w:type="dxa"/>
            <w:shd w:val="clear" w:color="auto" w:fill="auto"/>
            <w:vAlign w:val="center"/>
          </w:tcPr>
          <w:p w:rsidR="00C95614" w:rsidRPr="00D72DD9" w:rsidRDefault="00C95614" w:rsidP="00D72DD9">
            <w:pPr>
              <w:ind w:left="60"/>
              <w:rPr>
                <w:sz w:val="22"/>
                <w:szCs w:val="22"/>
              </w:rPr>
            </w:pPr>
            <w:r>
              <w:rPr>
                <w:sz w:val="22"/>
                <w:szCs w:val="22"/>
              </w:rPr>
              <w:t xml:space="preserve">Cash deposits invested and </w:t>
            </w:r>
            <w:r w:rsidRPr="00D72DD9">
              <w:rPr>
                <w:sz w:val="22"/>
                <w:szCs w:val="22"/>
              </w:rPr>
              <w:t xml:space="preserve">classed as loans and receivables </w:t>
            </w:r>
          </w:p>
        </w:tc>
        <w:tc>
          <w:tcPr>
            <w:tcW w:w="1354" w:type="dxa"/>
            <w:shd w:val="clear" w:color="auto" w:fill="auto"/>
            <w:vAlign w:val="center"/>
          </w:tcPr>
          <w:p w:rsidR="00C95614" w:rsidRPr="009B7535" w:rsidRDefault="00C95614" w:rsidP="00D72DD9">
            <w:pPr>
              <w:pStyle w:val="Footer"/>
              <w:tabs>
                <w:tab w:val="clear" w:pos="4153"/>
                <w:tab w:val="clear" w:pos="8306"/>
                <w:tab w:val="decimal" w:pos="326"/>
              </w:tabs>
              <w:jc w:val="center"/>
              <w:rPr>
                <w:sz w:val="22"/>
                <w:szCs w:val="22"/>
              </w:rPr>
            </w:pPr>
            <w:r w:rsidRPr="009B7535">
              <w:rPr>
                <w:sz w:val="22"/>
                <w:szCs w:val="22"/>
              </w:rPr>
              <w:t>-</w:t>
            </w:r>
          </w:p>
        </w:tc>
        <w:tc>
          <w:tcPr>
            <w:tcW w:w="1323" w:type="dxa"/>
            <w:shd w:val="clear" w:color="auto" w:fill="auto"/>
            <w:vAlign w:val="center"/>
          </w:tcPr>
          <w:p w:rsidR="00C95614" w:rsidRPr="009B7535" w:rsidRDefault="00C95614" w:rsidP="00D72DD9">
            <w:pPr>
              <w:pStyle w:val="Footer"/>
              <w:tabs>
                <w:tab w:val="clear" w:pos="4153"/>
                <w:tab w:val="clear" w:pos="8306"/>
                <w:tab w:val="decimal" w:pos="326"/>
              </w:tabs>
              <w:jc w:val="center"/>
              <w:rPr>
                <w:sz w:val="22"/>
                <w:szCs w:val="22"/>
              </w:rPr>
            </w:pPr>
            <w:r w:rsidRPr="009B7535">
              <w:rPr>
                <w:sz w:val="22"/>
                <w:szCs w:val="22"/>
              </w:rPr>
              <w:t>-</w:t>
            </w:r>
          </w:p>
        </w:tc>
        <w:tc>
          <w:tcPr>
            <w:tcW w:w="1293" w:type="dxa"/>
            <w:shd w:val="clear" w:color="auto" w:fill="auto"/>
            <w:vAlign w:val="center"/>
          </w:tcPr>
          <w:p w:rsidR="00C95614" w:rsidRPr="009B7535" w:rsidRDefault="00C95614" w:rsidP="00C95614">
            <w:pPr>
              <w:pStyle w:val="Footer"/>
              <w:tabs>
                <w:tab w:val="clear" w:pos="4153"/>
                <w:tab w:val="clear" w:pos="8306"/>
                <w:tab w:val="decimal" w:pos="326"/>
              </w:tabs>
              <w:jc w:val="center"/>
              <w:rPr>
                <w:sz w:val="22"/>
                <w:szCs w:val="22"/>
              </w:rPr>
            </w:pPr>
            <w:r w:rsidRPr="009B7535">
              <w:rPr>
                <w:sz w:val="22"/>
                <w:szCs w:val="22"/>
              </w:rPr>
              <w:t>-</w:t>
            </w:r>
          </w:p>
        </w:tc>
        <w:tc>
          <w:tcPr>
            <w:tcW w:w="1262" w:type="dxa"/>
            <w:shd w:val="clear" w:color="auto" w:fill="auto"/>
            <w:vAlign w:val="center"/>
          </w:tcPr>
          <w:p w:rsidR="00C95614" w:rsidRPr="009B7535" w:rsidRDefault="00C95614" w:rsidP="00C95614">
            <w:pPr>
              <w:pStyle w:val="Footer"/>
              <w:tabs>
                <w:tab w:val="clear" w:pos="4153"/>
                <w:tab w:val="clear" w:pos="8306"/>
                <w:tab w:val="decimal" w:pos="326"/>
              </w:tabs>
              <w:jc w:val="center"/>
              <w:rPr>
                <w:sz w:val="22"/>
                <w:szCs w:val="22"/>
              </w:rPr>
            </w:pPr>
            <w:r w:rsidRPr="009B7535">
              <w:rPr>
                <w:sz w:val="22"/>
                <w:szCs w:val="22"/>
              </w:rPr>
              <w:t>-</w:t>
            </w:r>
          </w:p>
        </w:tc>
      </w:tr>
      <w:tr w:rsidR="00C95614" w:rsidRPr="00D72DD9" w:rsidTr="009C21E7">
        <w:tc>
          <w:tcPr>
            <w:tcW w:w="4536" w:type="dxa"/>
            <w:shd w:val="clear" w:color="auto" w:fill="auto"/>
            <w:vAlign w:val="center"/>
          </w:tcPr>
          <w:p w:rsidR="00C95614" w:rsidRPr="00D72DD9" w:rsidRDefault="00C95614" w:rsidP="00D72DD9">
            <w:pPr>
              <w:ind w:left="60"/>
              <w:rPr>
                <w:sz w:val="22"/>
                <w:szCs w:val="22"/>
              </w:rPr>
            </w:pPr>
          </w:p>
        </w:tc>
        <w:tc>
          <w:tcPr>
            <w:tcW w:w="1354" w:type="dxa"/>
            <w:shd w:val="clear" w:color="auto" w:fill="auto"/>
            <w:vAlign w:val="center"/>
          </w:tcPr>
          <w:p w:rsidR="00C95614" w:rsidRPr="00733F29" w:rsidRDefault="00C95614" w:rsidP="00D72DD9">
            <w:pPr>
              <w:pStyle w:val="Footer"/>
              <w:tabs>
                <w:tab w:val="clear" w:pos="4153"/>
                <w:tab w:val="clear" w:pos="8306"/>
                <w:tab w:val="decimal" w:pos="326"/>
              </w:tabs>
              <w:jc w:val="center"/>
              <w:rPr>
                <w:sz w:val="22"/>
                <w:szCs w:val="22"/>
                <w:highlight w:val="yellow"/>
              </w:rPr>
            </w:pPr>
          </w:p>
        </w:tc>
        <w:tc>
          <w:tcPr>
            <w:tcW w:w="1323" w:type="dxa"/>
            <w:shd w:val="clear" w:color="auto" w:fill="auto"/>
            <w:vAlign w:val="center"/>
          </w:tcPr>
          <w:p w:rsidR="00C95614" w:rsidRPr="00733F29" w:rsidRDefault="00C95614" w:rsidP="00D72DD9">
            <w:pPr>
              <w:pStyle w:val="Footer"/>
              <w:tabs>
                <w:tab w:val="clear" w:pos="4153"/>
                <w:tab w:val="clear" w:pos="8306"/>
                <w:tab w:val="decimal" w:pos="326"/>
              </w:tabs>
              <w:jc w:val="center"/>
              <w:rPr>
                <w:sz w:val="22"/>
                <w:szCs w:val="22"/>
                <w:highlight w:val="yellow"/>
              </w:rPr>
            </w:pPr>
          </w:p>
        </w:tc>
        <w:tc>
          <w:tcPr>
            <w:tcW w:w="1293" w:type="dxa"/>
            <w:shd w:val="clear" w:color="auto" w:fill="auto"/>
            <w:vAlign w:val="center"/>
          </w:tcPr>
          <w:p w:rsidR="00C95614" w:rsidRPr="00733F29" w:rsidRDefault="00C95614" w:rsidP="00C95614">
            <w:pPr>
              <w:pStyle w:val="Footer"/>
              <w:tabs>
                <w:tab w:val="clear" w:pos="4153"/>
                <w:tab w:val="clear" w:pos="8306"/>
                <w:tab w:val="decimal" w:pos="326"/>
              </w:tabs>
              <w:jc w:val="center"/>
              <w:rPr>
                <w:sz w:val="22"/>
                <w:szCs w:val="22"/>
                <w:highlight w:val="yellow"/>
              </w:rPr>
            </w:pPr>
          </w:p>
        </w:tc>
        <w:tc>
          <w:tcPr>
            <w:tcW w:w="1262" w:type="dxa"/>
            <w:shd w:val="clear" w:color="auto" w:fill="auto"/>
            <w:vAlign w:val="center"/>
          </w:tcPr>
          <w:p w:rsidR="00C95614" w:rsidRPr="00733F29" w:rsidRDefault="00C95614" w:rsidP="00C95614">
            <w:pPr>
              <w:pStyle w:val="Footer"/>
              <w:tabs>
                <w:tab w:val="clear" w:pos="4153"/>
                <w:tab w:val="clear" w:pos="8306"/>
                <w:tab w:val="decimal" w:pos="326"/>
              </w:tabs>
              <w:jc w:val="center"/>
              <w:rPr>
                <w:sz w:val="22"/>
                <w:szCs w:val="22"/>
                <w:highlight w:val="yellow"/>
              </w:rPr>
            </w:pPr>
          </w:p>
        </w:tc>
      </w:tr>
      <w:tr w:rsidR="00C95614" w:rsidRPr="00D72DD9" w:rsidTr="009C21E7">
        <w:tc>
          <w:tcPr>
            <w:tcW w:w="4536" w:type="dxa"/>
            <w:shd w:val="clear" w:color="auto" w:fill="auto"/>
            <w:vAlign w:val="center"/>
          </w:tcPr>
          <w:p w:rsidR="00C95614" w:rsidRPr="00957FC0" w:rsidRDefault="00C95614" w:rsidP="00D72DD9">
            <w:pPr>
              <w:ind w:left="60"/>
              <w:rPr>
                <w:sz w:val="22"/>
                <w:szCs w:val="22"/>
              </w:rPr>
            </w:pPr>
            <w:r w:rsidRPr="00957FC0">
              <w:rPr>
                <w:sz w:val="22"/>
                <w:szCs w:val="22"/>
              </w:rPr>
              <w:t>PFI Liabilities</w:t>
            </w:r>
          </w:p>
        </w:tc>
        <w:tc>
          <w:tcPr>
            <w:tcW w:w="1354" w:type="dxa"/>
            <w:shd w:val="clear" w:color="auto" w:fill="auto"/>
            <w:vAlign w:val="center"/>
          </w:tcPr>
          <w:p w:rsidR="00C95614" w:rsidRPr="00086A2F" w:rsidRDefault="00B743A6" w:rsidP="00534953">
            <w:pPr>
              <w:pStyle w:val="Footer"/>
              <w:tabs>
                <w:tab w:val="clear" w:pos="4153"/>
                <w:tab w:val="clear" w:pos="8306"/>
                <w:tab w:val="decimal" w:pos="326"/>
              </w:tabs>
              <w:jc w:val="center"/>
              <w:rPr>
                <w:sz w:val="22"/>
                <w:szCs w:val="22"/>
              </w:rPr>
            </w:pPr>
            <w:r>
              <w:rPr>
                <w:sz w:val="22"/>
                <w:szCs w:val="22"/>
              </w:rPr>
              <w:t>14,231</w:t>
            </w:r>
          </w:p>
        </w:tc>
        <w:tc>
          <w:tcPr>
            <w:tcW w:w="1323" w:type="dxa"/>
            <w:shd w:val="clear" w:color="auto" w:fill="auto"/>
            <w:vAlign w:val="center"/>
          </w:tcPr>
          <w:p w:rsidR="00C95614" w:rsidRPr="00086A2F" w:rsidRDefault="00A4491E" w:rsidP="003D5B22">
            <w:pPr>
              <w:pStyle w:val="Footer"/>
              <w:tabs>
                <w:tab w:val="clear" w:pos="4153"/>
                <w:tab w:val="clear" w:pos="8306"/>
                <w:tab w:val="decimal" w:pos="326"/>
              </w:tabs>
              <w:jc w:val="center"/>
              <w:rPr>
                <w:sz w:val="22"/>
                <w:szCs w:val="22"/>
              </w:rPr>
            </w:pPr>
            <w:r>
              <w:rPr>
                <w:sz w:val="22"/>
                <w:szCs w:val="22"/>
              </w:rPr>
              <w:t>16,277</w:t>
            </w:r>
          </w:p>
        </w:tc>
        <w:tc>
          <w:tcPr>
            <w:tcW w:w="1293" w:type="dxa"/>
            <w:shd w:val="clear" w:color="auto" w:fill="auto"/>
            <w:vAlign w:val="center"/>
          </w:tcPr>
          <w:p w:rsidR="00C95614" w:rsidRPr="00086A2F" w:rsidRDefault="00C95614" w:rsidP="00C95614">
            <w:pPr>
              <w:pStyle w:val="Footer"/>
              <w:tabs>
                <w:tab w:val="clear" w:pos="4153"/>
                <w:tab w:val="clear" w:pos="8306"/>
                <w:tab w:val="decimal" w:pos="326"/>
              </w:tabs>
              <w:jc w:val="center"/>
              <w:rPr>
                <w:sz w:val="22"/>
                <w:szCs w:val="22"/>
              </w:rPr>
            </w:pPr>
            <w:r w:rsidRPr="00086A2F">
              <w:rPr>
                <w:sz w:val="22"/>
                <w:szCs w:val="22"/>
              </w:rPr>
              <w:t>14,519</w:t>
            </w:r>
          </w:p>
        </w:tc>
        <w:tc>
          <w:tcPr>
            <w:tcW w:w="1262" w:type="dxa"/>
            <w:shd w:val="clear" w:color="auto" w:fill="auto"/>
            <w:vAlign w:val="center"/>
          </w:tcPr>
          <w:p w:rsidR="00C95614" w:rsidRPr="00086A2F" w:rsidRDefault="00C95614" w:rsidP="00C95614">
            <w:pPr>
              <w:pStyle w:val="Footer"/>
              <w:tabs>
                <w:tab w:val="clear" w:pos="4153"/>
                <w:tab w:val="clear" w:pos="8306"/>
                <w:tab w:val="decimal" w:pos="326"/>
              </w:tabs>
              <w:jc w:val="center"/>
              <w:rPr>
                <w:sz w:val="22"/>
                <w:szCs w:val="22"/>
              </w:rPr>
            </w:pPr>
            <w:r w:rsidRPr="00086A2F">
              <w:rPr>
                <w:sz w:val="22"/>
                <w:szCs w:val="22"/>
              </w:rPr>
              <w:t>15,483</w:t>
            </w:r>
          </w:p>
        </w:tc>
      </w:tr>
    </w:tbl>
    <w:p w:rsidR="00DE4CF6" w:rsidRDefault="00DE4CF6" w:rsidP="00D90216">
      <w:pPr>
        <w:ind w:left="720"/>
        <w:jc w:val="both"/>
        <w:rPr>
          <w:sz w:val="22"/>
          <w:szCs w:val="22"/>
        </w:rPr>
      </w:pPr>
    </w:p>
    <w:p w:rsidR="00D90216" w:rsidRPr="005A1BFB" w:rsidRDefault="00DF1A01" w:rsidP="00906FBF">
      <w:pPr>
        <w:ind w:left="720"/>
        <w:jc w:val="both"/>
        <w:rPr>
          <w:sz w:val="22"/>
          <w:szCs w:val="22"/>
          <w:highlight w:val="cyan"/>
        </w:rPr>
      </w:pPr>
      <w:r>
        <w:rPr>
          <w:sz w:val="22"/>
          <w:szCs w:val="22"/>
        </w:rPr>
        <w:br w:type="page"/>
      </w:r>
      <w:r w:rsidR="00D90216" w:rsidRPr="00226AD2">
        <w:rPr>
          <w:sz w:val="22"/>
          <w:szCs w:val="22"/>
        </w:rPr>
        <w:lastRenderedPageBreak/>
        <w:t>Without the addition of accrued interest, the actual Public Works Loan Board debt outstanding at 31 March 201</w:t>
      </w:r>
      <w:r w:rsidR="00C95614">
        <w:rPr>
          <w:sz w:val="22"/>
          <w:szCs w:val="22"/>
        </w:rPr>
        <w:t>8</w:t>
      </w:r>
      <w:r w:rsidR="00D90216" w:rsidRPr="00226AD2">
        <w:rPr>
          <w:sz w:val="22"/>
          <w:szCs w:val="22"/>
        </w:rPr>
        <w:t xml:space="preserve"> </w:t>
      </w:r>
      <w:r w:rsidR="00D90216" w:rsidRPr="001131FC">
        <w:rPr>
          <w:sz w:val="22"/>
          <w:szCs w:val="22"/>
        </w:rPr>
        <w:t xml:space="preserve">is </w:t>
      </w:r>
      <w:r w:rsidR="00B92CFE" w:rsidRPr="001131FC">
        <w:rPr>
          <w:sz w:val="22"/>
          <w:szCs w:val="22"/>
        </w:rPr>
        <w:t>£</w:t>
      </w:r>
      <w:r w:rsidR="00C95614">
        <w:rPr>
          <w:sz w:val="22"/>
          <w:szCs w:val="22"/>
        </w:rPr>
        <w:t>2.000</w:t>
      </w:r>
      <w:r w:rsidR="00D90216" w:rsidRPr="00751B21">
        <w:rPr>
          <w:sz w:val="22"/>
          <w:szCs w:val="22"/>
        </w:rPr>
        <w:t xml:space="preserve"> million</w:t>
      </w:r>
      <w:r w:rsidR="00D90216" w:rsidRPr="00B92CFE">
        <w:rPr>
          <w:sz w:val="22"/>
          <w:szCs w:val="22"/>
        </w:rPr>
        <w:t xml:space="preserve"> (</w:t>
      </w:r>
      <w:r w:rsidR="00D90216" w:rsidRPr="00226AD2">
        <w:rPr>
          <w:sz w:val="22"/>
          <w:szCs w:val="22"/>
        </w:rPr>
        <w:t>201</w:t>
      </w:r>
      <w:r w:rsidR="00C95614">
        <w:rPr>
          <w:sz w:val="22"/>
          <w:szCs w:val="22"/>
        </w:rPr>
        <w:t>6</w:t>
      </w:r>
      <w:r w:rsidR="00E14F22">
        <w:rPr>
          <w:sz w:val="22"/>
          <w:szCs w:val="22"/>
        </w:rPr>
        <w:t>/1</w:t>
      </w:r>
      <w:r w:rsidR="00C95614">
        <w:rPr>
          <w:sz w:val="22"/>
          <w:szCs w:val="22"/>
        </w:rPr>
        <w:t>7</w:t>
      </w:r>
      <w:r w:rsidR="00D90216" w:rsidRPr="00226AD2">
        <w:rPr>
          <w:sz w:val="22"/>
          <w:szCs w:val="22"/>
        </w:rPr>
        <w:t>: £</w:t>
      </w:r>
      <w:r w:rsidR="00733F29">
        <w:rPr>
          <w:sz w:val="22"/>
          <w:szCs w:val="22"/>
        </w:rPr>
        <w:t>5</w:t>
      </w:r>
      <w:r w:rsidR="006D29C3">
        <w:rPr>
          <w:sz w:val="22"/>
          <w:szCs w:val="22"/>
        </w:rPr>
        <w:t>.</w:t>
      </w:r>
      <w:r w:rsidR="00C95614">
        <w:rPr>
          <w:sz w:val="22"/>
          <w:szCs w:val="22"/>
        </w:rPr>
        <w:t>51</w:t>
      </w:r>
      <w:r w:rsidR="006D29C3">
        <w:rPr>
          <w:sz w:val="22"/>
          <w:szCs w:val="22"/>
        </w:rPr>
        <w:t>4</w:t>
      </w:r>
      <w:r w:rsidR="00D90216" w:rsidRPr="00226AD2">
        <w:rPr>
          <w:sz w:val="22"/>
          <w:szCs w:val="22"/>
        </w:rPr>
        <w:t>m) and it is due for repayment as shown in the following table:</w:t>
      </w:r>
    </w:p>
    <w:tbl>
      <w:tblPr>
        <w:tblW w:w="7371" w:type="dxa"/>
        <w:tblInd w:w="817" w:type="dxa"/>
        <w:tblLayout w:type="fixed"/>
        <w:tblLook w:val="0000" w:firstRow="0" w:lastRow="0" w:firstColumn="0" w:lastColumn="0" w:noHBand="0" w:noVBand="0"/>
      </w:tblPr>
      <w:tblGrid>
        <w:gridCol w:w="4111"/>
        <w:gridCol w:w="1654"/>
        <w:gridCol w:w="1606"/>
      </w:tblGrid>
      <w:tr w:rsidR="00733F29" w:rsidRPr="005A1BFB" w:rsidTr="005027B5">
        <w:trPr>
          <w:trHeight w:hRule="exact" w:val="300"/>
        </w:trPr>
        <w:tc>
          <w:tcPr>
            <w:tcW w:w="4111" w:type="dxa"/>
          </w:tcPr>
          <w:p w:rsidR="00733F29" w:rsidRPr="005A1BFB" w:rsidRDefault="00733F29" w:rsidP="00CD62E6">
            <w:pPr>
              <w:pStyle w:val="Footer"/>
              <w:tabs>
                <w:tab w:val="clear" w:pos="4153"/>
                <w:tab w:val="clear" w:pos="8306"/>
              </w:tabs>
              <w:rPr>
                <w:sz w:val="22"/>
                <w:szCs w:val="22"/>
                <w:highlight w:val="cyan"/>
              </w:rPr>
            </w:pPr>
          </w:p>
        </w:tc>
        <w:tc>
          <w:tcPr>
            <w:tcW w:w="1654" w:type="dxa"/>
          </w:tcPr>
          <w:p w:rsidR="00733F29" w:rsidRPr="005024AA" w:rsidRDefault="00733F29" w:rsidP="00C95614">
            <w:pPr>
              <w:pStyle w:val="BodyTextIndent"/>
              <w:ind w:left="0"/>
              <w:jc w:val="center"/>
              <w:rPr>
                <w:sz w:val="22"/>
                <w:lang w:val="en-GB"/>
              </w:rPr>
            </w:pPr>
            <w:r w:rsidRPr="005024AA">
              <w:rPr>
                <w:sz w:val="22"/>
                <w:lang w:val="en-GB"/>
              </w:rPr>
              <w:t>201</w:t>
            </w:r>
            <w:r w:rsidR="00C95614">
              <w:rPr>
                <w:sz w:val="22"/>
                <w:lang w:val="en-GB"/>
              </w:rPr>
              <w:t>7</w:t>
            </w:r>
            <w:r>
              <w:rPr>
                <w:sz w:val="22"/>
                <w:lang w:val="en-GB"/>
              </w:rPr>
              <w:t>/1</w:t>
            </w:r>
            <w:r w:rsidR="00C95614">
              <w:rPr>
                <w:sz w:val="22"/>
                <w:lang w:val="en-GB"/>
              </w:rPr>
              <w:t>8</w:t>
            </w:r>
          </w:p>
        </w:tc>
        <w:tc>
          <w:tcPr>
            <w:tcW w:w="1606" w:type="dxa"/>
          </w:tcPr>
          <w:p w:rsidR="00733F29" w:rsidRPr="005024AA" w:rsidRDefault="00C95614" w:rsidP="00304FC3">
            <w:pPr>
              <w:pStyle w:val="BodyTextIndent"/>
              <w:ind w:left="0"/>
              <w:jc w:val="center"/>
              <w:rPr>
                <w:sz w:val="22"/>
                <w:lang w:val="en-GB"/>
              </w:rPr>
            </w:pPr>
            <w:r w:rsidRPr="005024AA">
              <w:rPr>
                <w:sz w:val="22"/>
                <w:lang w:val="en-GB"/>
              </w:rPr>
              <w:t>201</w:t>
            </w:r>
            <w:r>
              <w:rPr>
                <w:sz w:val="22"/>
                <w:lang w:val="en-GB"/>
              </w:rPr>
              <w:t>6/17</w:t>
            </w:r>
          </w:p>
        </w:tc>
      </w:tr>
      <w:tr w:rsidR="00EB6680" w:rsidRPr="005A1BFB" w:rsidTr="005027B5">
        <w:trPr>
          <w:trHeight w:hRule="exact" w:val="300"/>
        </w:trPr>
        <w:tc>
          <w:tcPr>
            <w:tcW w:w="4111" w:type="dxa"/>
          </w:tcPr>
          <w:p w:rsidR="00EB6680" w:rsidRPr="005A1BFB" w:rsidRDefault="00EB6680" w:rsidP="00CD62E6">
            <w:pPr>
              <w:rPr>
                <w:sz w:val="22"/>
                <w:szCs w:val="22"/>
                <w:highlight w:val="cyan"/>
              </w:rPr>
            </w:pPr>
          </w:p>
        </w:tc>
        <w:tc>
          <w:tcPr>
            <w:tcW w:w="1654" w:type="dxa"/>
          </w:tcPr>
          <w:p w:rsidR="00EB6680" w:rsidRPr="00226AD2" w:rsidRDefault="00EB6680" w:rsidP="00DE4CF6">
            <w:pPr>
              <w:jc w:val="center"/>
              <w:rPr>
                <w:sz w:val="22"/>
                <w:szCs w:val="22"/>
              </w:rPr>
            </w:pPr>
            <w:r w:rsidRPr="00226AD2">
              <w:rPr>
                <w:sz w:val="22"/>
                <w:szCs w:val="22"/>
              </w:rPr>
              <w:t>£000</w:t>
            </w:r>
          </w:p>
        </w:tc>
        <w:tc>
          <w:tcPr>
            <w:tcW w:w="1606" w:type="dxa"/>
          </w:tcPr>
          <w:p w:rsidR="00EB6680" w:rsidRPr="00226AD2" w:rsidRDefault="00EB6680" w:rsidP="00AA780E">
            <w:pPr>
              <w:jc w:val="center"/>
              <w:rPr>
                <w:sz w:val="22"/>
                <w:szCs w:val="22"/>
              </w:rPr>
            </w:pPr>
            <w:r w:rsidRPr="00226AD2">
              <w:rPr>
                <w:sz w:val="22"/>
                <w:szCs w:val="22"/>
              </w:rPr>
              <w:t>£000</w:t>
            </w:r>
          </w:p>
        </w:tc>
      </w:tr>
      <w:tr w:rsidR="00C95614" w:rsidRPr="005A1BFB" w:rsidTr="001131FC">
        <w:trPr>
          <w:trHeight w:hRule="exact" w:val="300"/>
        </w:trPr>
        <w:tc>
          <w:tcPr>
            <w:tcW w:w="4111" w:type="dxa"/>
            <w:vAlign w:val="bottom"/>
          </w:tcPr>
          <w:p w:rsidR="00C95614" w:rsidRPr="00226AD2" w:rsidRDefault="00C95614" w:rsidP="00CD62E6">
            <w:pPr>
              <w:rPr>
                <w:sz w:val="22"/>
                <w:szCs w:val="22"/>
              </w:rPr>
            </w:pPr>
            <w:r w:rsidRPr="00226AD2">
              <w:rPr>
                <w:sz w:val="22"/>
                <w:szCs w:val="22"/>
              </w:rPr>
              <w:t>Within one year</w:t>
            </w:r>
          </w:p>
        </w:tc>
        <w:tc>
          <w:tcPr>
            <w:tcW w:w="1654" w:type="dxa"/>
            <w:vAlign w:val="center"/>
          </w:tcPr>
          <w:p w:rsidR="00C95614" w:rsidRPr="00751B21" w:rsidRDefault="00C95614" w:rsidP="00CD62E6">
            <w:pPr>
              <w:pStyle w:val="Footer"/>
              <w:tabs>
                <w:tab w:val="clear" w:pos="4153"/>
                <w:tab w:val="clear" w:pos="8306"/>
                <w:tab w:val="decimal" w:pos="979"/>
              </w:tabs>
              <w:rPr>
                <w:sz w:val="22"/>
                <w:szCs w:val="22"/>
              </w:rPr>
            </w:pPr>
            <w:r>
              <w:rPr>
                <w:sz w:val="22"/>
                <w:szCs w:val="22"/>
              </w:rPr>
              <w:t>-</w:t>
            </w:r>
          </w:p>
        </w:tc>
        <w:tc>
          <w:tcPr>
            <w:tcW w:w="1606" w:type="dxa"/>
            <w:vAlign w:val="center"/>
          </w:tcPr>
          <w:p w:rsidR="00C95614" w:rsidRPr="00751B21" w:rsidRDefault="00C95614" w:rsidP="00C95614">
            <w:pPr>
              <w:pStyle w:val="Footer"/>
              <w:tabs>
                <w:tab w:val="clear" w:pos="4153"/>
                <w:tab w:val="clear" w:pos="8306"/>
                <w:tab w:val="decimal" w:pos="979"/>
              </w:tabs>
              <w:rPr>
                <w:sz w:val="22"/>
                <w:szCs w:val="22"/>
              </w:rPr>
            </w:pPr>
            <w:r>
              <w:rPr>
                <w:sz w:val="22"/>
                <w:szCs w:val="22"/>
              </w:rPr>
              <w:t>330</w:t>
            </w:r>
          </w:p>
        </w:tc>
      </w:tr>
      <w:tr w:rsidR="00C95614" w:rsidRPr="005A1BFB" w:rsidTr="005027B5">
        <w:trPr>
          <w:trHeight w:hRule="exact" w:val="300"/>
        </w:trPr>
        <w:tc>
          <w:tcPr>
            <w:tcW w:w="4111" w:type="dxa"/>
            <w:vAlign w:val="bottom"/>
          </w:tcPr>
          <w:p w:rsidR="00C95614" w:rsidRPr="00226AD2" w:rsidRDefault="00C95614" w:rsidP="00CD62E6">
            <w:pPr>
              <w:rPr>
                <w:sz w:val="22"/>
                <w:szCs w:val="22"/>
              </w:rPr>
            </w:pPr>
            <w:r w:rsidRPr="00226AD2">
              <w:rPr>
                <w:sz w:val="22"/>
                <w:szCs w:val="22"/>
              </w:rPr>
              <w:t>Within two to five years</w:t>
            </w:r>
          </w:p>
        </w:tc>
        <w:tc>
          <w:tcPr>
            <w:tcW w:w="1654" w:type="dxa"/>
          </w:tcPr>
          <w:p w:rsidR="00C95614" w:rsidRPr="001131FC" w:rsidRDefault="00C95614" w:rsidP="00751B21">
            <w:pPr>
              <w:tabs>
                <w:tab w:val="decimal" w:pos="979"/>
              </w:tabs>
              <w:rPr>
                <w:sz w:val="22"/>
                <w:szCs w:val="22"/>
              </w:rPr>
            </w:pPr>
            <w:r>
              <w:rPr>
                <w:sz w:val="22"/>
                <w:szCs w:val="22"/>
              </w:rPr>
              <w:t>-</w:t>
            </w:r>
          </w:p>
        </w:tc>
        <w:tc>
          <w:tcPr>
            <w:tcW w:w="1606" w:type="dxa"/>
          </w:tcPr>
          <w:p w:rsidR="00C95614" w:rsidRPr="001131FC" w:rsidRDefault="00C95614" w:rsidP="00C95614">
            <w:pPr>
              <w:tabs>
                <w:tab w:val="decimal" w:pos="979"/>
              </w:tabs>
              <w:rPr>
                <w:sz w:val="22"/>
                <w:szCs w:val="22"/>
              </w:rPr>
            </w:pPr>
            <w:r>
              <w:rPr>
                <w:sz w:val="22"/>
                <w:szCs w:val="22"/>
              </w:rPr>
              <w:t>1,184</w:t>
            </w:r>
          </w:p>
        </w:tc>
      </w:tr>
      <w:tr w:rsidR="00C95614" w:rsidRPr="005A1BFB" w:rsidTr="005027B5">
        <w:trPr>
          <w:trHeight w:hRule="exact" w:val="300"/>
        </w:trPr>
        <w:tc>
          <w:tcPr>
            <w:tcW w:w="4111" w:type="dxa"/>
            <w:vAlign w:val="bottom"/>
          </w:tcPr>
          <w:p w:rsidR="00C95614" w:rsidRPr="00226AD2" w:rsidRDefault="00C95614" w:rsidP="00CD62E6">
            <w:pPr>
              <w:rPr>
                <w:sz w:val="22"/>
                <w:szCs w:val="22"/>
              </w:rPr>
            </w:pPr>
            <w:r w:rsidRPr="00226AD2">
              <w:rPr>
                <w:sz w:val="22"/>
                <w:szCs w:val="22"/>
              </w:rPr>
              <w:t>Within six to ten years</w:t>
            </w:r>
          </w:p>
        </w:tc>
        <w:tc>
          <w:tcPr>
            <w:tcW w:w="1654" w:type="dxa"/>
          </w:tcPr>
          <w:p w:rsidR="00C95614" w:rsidRPr="001131FC" w:rsidRDefault="00C95614" w:rsidP="00CD62E6">
            <w:pPr>
              <w:tabs>
                <w:tab w:val="decimal" w:pos="979"/>
              </w:tabs>
              <w:rPr>
                <w:sz w:val="22"/>
                <w:szCs w:val="22"/>
              </w:rPr>
            </w:pPr>
            <w:r>
              <w:rPr>
                <w:sz w:val="22"/>
                <w:szCs w:val="22"/>
              </w:rPr>
              <w:t>-</w:t>
            </w:r>
          </w:p>
        </w:tc>
        <w:tc>
          <w:tcPr>
            <w:tcW w:w="1606" w:type="dxa"/>
          </w:tcPr>
          <w:p w:rsidR="00C95614" w:rsidRPr="001131FC" w:rsidRDefault="00C95614" w:rsidP="00C95614">
            <w:pPr>
              <w:tabs>
                <w:tab w:val="decimal" w:pos="979"/>
              </w:tabs>
              <w:rPr>
                <w:sz w:val="22"/>
                <w:szCs w:val="22"/>
              </w:rPr>
            </w:pPr>
            <w:r>
              <w:rPr>
                <w:sz w:val="22"/>
                <w:szCs w:val="22"/>
              </w:rPr>
              <w:t>2,000</w:t>
            </w:r>
          </w:p>
        </w:tc>
      </w:tr>
      <w:tr w:rsidR="00C95614" w:rsidRPr="005A1BFB" w:rsidTr="005027B5">
        <w:trPr>
          <w:trHeight w:hRule="exact" w:val="300"/>
        </w:trPr>
        <w:tc>
          <w:tcPr>
            <w:tcW w:w="4111" w:type="dxa"/>
            <w:vAlign w:val="bottom"/>
          </w:tcPr>
          <w:p w:rsidR="00C95614" w:rsidRPr="00226AD2" w:rsidRDefault="00C95614" w:rsidP="00CD62E6">
            <w:pPr>
              <w:rPr>
                <w:sz w:val="22"/>
                <w:szCs w:val="22"/>
              </w:rPr>
            </w:pPr>
            <w:r w:rsidRPr="00226AD2">
              <w:rPr>
                <w:sz w:val="22"/>
                <w:szCs w:val="22"/>
              </w:rPr>
              <w:t>Over 10 years</w:t>
            </w:r>
          </w:p>
        </w:tc>
        <w:tc>
          <w:tcPr>
            <w:tcW w:w="1654" w:type="dxa"/>
          </w:tcPr>
          <w:p w:rsidR="00C95614" w:rsidRPr="001131FC" w:rsidRDefault="00C95614" w:rsidP="00751B21">
            <w:pPr>
              <w:tabs>
                <w:tab w:val="decimal" w:pos="979"/>
              </w:tabs>
              <w:rPr>
                <w:sz w:val="22"/>
                <w:szCs w:val="22"/>
              </w:rPr>
            </w:pPr>
            <w:r>
              <w:rPr>
                <w:sz w:val="22"/>
                <w:szCs w:val="22"/>
              </w:rPr>
              <w:t>2,000</w:t>
            </w:r>
          </w:p>
        </w:tc>
        <w:tc>
          <w:tcPr>
            <w:tcW w:w="1606" w:type="dxa"/>
          </w:tcPr>
          <w:p w:rsidR="00C95614" w:rsidRPr="001131FC" w:rsidRDefault="00C95614" w:rsidP="00C95614">
            <w:pPr>
              <w:tabs>
                <w:tab w:val="decimal" w:pos="979"/>
              </w:tabs>
              <w:rPr>
                <w:sz w:val="22"/>
                <w:szCs w:val="22"/>
              </w:rPr>
            </w:pPr>
            <w:r>
              <w:rPr>
                <w:sz w:val="22"/>
                <w:szCs w:val="22"/>
              </w:rPr>
              <w:t>2,000</w:t>
            </w:r>
          </w:p>
        </w:tc>
      </w:tr>
      <w:tr w:rsidR="00C95614" w:rsidRPr="005A1BFB" w:rsidTr="005027B5">
        <w:trPr>
          <w:trHeight w:hRule="exact" w:val="300"/>
        </w:trPr>
        <w:tc>
          <w:tcPr>
            <w:tcW w:w="4111" w:type="dxa"/>
          </w:tcPr>
          <w:p w:rsidR="00C95614" w:rsidRPr="00226AD2" w:rsidRDefault="00C95614" w:rsidP="00CD62E6">
            <w:pPr>
              <w:rPr>
                <w:sz w:val="22"/>
                <w:szCs w:val="22"/>
              </w:rPr>
            </w:pPr>
          </w:p>
        </w:tc>
        <w:tc>
          <w:tcPr>
            <w:tcW w:w="1654" w:type="dxa"/>
            <w:tcBorders>
              <w:top w:val="single" w:sz="4" w:space="0" w:color="auto"/>
              <w:bottom w:val="double" w:sz="4" w:space="0" w:color="auto"/>
            </w:tcBorders>
          </w:tcPr>
          <w:p w:rsidR="00C95614" w:rsidRPr="001131FC" w:rsidRDefault="00C95614" w:rsidP="00CD62E6">
            <w:pPr>
              <w:tabs>
                <w:tab w:val="decimal" w:pos="979"/>
              </w:tabs>
              <w:rPr>
                <w:sz w:val="22"/>
                <w:szCs w:val="22"/>
              </w:rPr>
            </w:pPr>
            <w:r>
              <w:rPr>
                <w:sz w:val="22"/>
                <w:szCs w:val="22"/>
              </w:rPr>
              <w:t>2,000</w:t>
            </w:r>
          </w:p>
        </w:tc>
        <w:tc>
          <w:tcPr>
            <w:tcW w:w="1606" w:type="dxa"/>
            <w:tcBorders>
              <w:top w:val="single" w:sz="4" w:space="0" w:color="auto"/>
              <w:bottom w:val="double" w:sz="4" w:space="0" w:color="auto"/>
            </w:tcBorders>
          </w:tcPr>
          <w:p w:rsidR="00C95614" w:rsidRPr="001131FC" w:rsidRDefault="00C95614" w:rsidP="00C95614">
            <w:pPr>
              <w:tabs>
                <w:tab w:val="decimal" w:pos="979"/>
              </w:tabs>
              <w:rPr>
                <w:sz w:val="22"/>
                <w:szCs w:val="22"/>
              </w:rPr>
            </w:pPr>
            <w:r>
              <w:rPr>
                <w:sz w:val="22"/>
                <w:szCs w:val="22"/>
              </w:rPr>
              <w:t>5,514</w:t>
            </w:r>
          </w:p>
        </w:tc>
      </w:tr>
    </w:tbl>
    <w:p w:rsidR="00D90216" w:rsidRPr="00685CAC" w:rsidRDefault="00D90216" w:rsidP="00760673">
      <w:pPr>
        <w:jc w:val="both"/>
        <w:rPr>
          <w:sz w:val="22"/>
        </w:rPr>
      </w:pPr>
    </w:p>
    <w:p w:rsidR="00D90216" w:rsidRPr="00D50D91" w:rsidRDefault="003A006C" w:rsidP="00D90216">
      <w:pPr>
        <w:rPr>
          <w:sz w:val="22"/>
        </w:rPr>
      </w:pPr>
      <w:r>
        <w:rPr>
          <w:b/>
          <w:sz w:val="22"/>
        </w:rPr>
        <w:t>9</w:t>
      </w:r>
      <w:r w:rsidR="00D90216" w:rsidRPr="00D50D91">
        <w:rPr>
          <w:b/>
          <w:sz w:val="22"/>
        </w:rPr>
        <w:tab/>
        <w:t>Debtors</w:t>
      </w:r>
    </w:p>
    <w:p w:rsidR="00D90216" w:rsidRPr="00A60775" w:rsidRDefault="00D90216" w:rsidP="00D90216">
      <w:pPr>
        <w:rPr>
          <w:sz w:val="22"/>
          <w:highlight w:val="cyan"/>
          <w:u w:val="single"/>
        </w:rPr>
      </w:pPr>
    </w:p>
    <w:tbl>
      <w:tblPr>
        <w:tblW w:w="7369" w:type="dxa"/>
        <w:tblInd w:w="817" w:type="dxa"/>
        <w:tblLayout w:type="fixed"/>
        <w:tblLook w:val="0000" w:firstRow="0" w:lastRow="0" w:firstColumn="0" w:lastColumn="0" w:noHBand="0" w:noVBand="0"/>
      </w:tblPr>
      <w:tblGrid>
        <w:gridCol w:w="4111"/>
        <w:gridCol w:w="1638"/>
        <w:gridCol w:w="1620"/>
      </w:tblGrid>
      <w:tr w:rsidR="003A006C" w:rsidRPr="00A60775" w:rsidTr="005027B5">
        <w:trPr>
          <w:trHeight w:hRule="exact" w:val="300"/>
        </w:trPr>
        <w:tc>
          <w:tcPr>
            <w:tcW w:w="4111" w:type="dxa"/>
          </w:tcPr>
          <w:p w:rsidR="003A006C" w:rsidRPr="00A60775" w:rsidRDefault="003A006C" w:rsidP="00CD62E6">
            <w:pPr>
              <w:pStyle w:val="Footer"/>
              <w:tabs>
                <w:tab w:val="clear" w:pos="4153"/>
                <w:tab w:val="clear" w:pos="8306"/>
              </w:tabs>
              <w:rPr>
                <w:sz w:val="22"/>
                <w:highlight w:val="cyan"/>
              </w:rPr>
            </w:pPr>
          </w:p>
        </w:tc>
        <w:tc>
          <w:tcPr>
            <w:tcW w:w="1638"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7/18</w:t>
            </w:r>
          </w:p>
        </w:tc>
        <w:tc>
          <w:tcPr>
            <w:tcW w:w="1620"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6/17</w:t>
            </w:r>
          </w:p>
        </w:tc>
      </w:tr>
      <w:tr w:rsidR="00F10A12" w:rsidRPr="00A60775" w:rsidTr="005027B5">
        <w:trPr>
          <w:trHeight w:hRule="exact" w:val="300"/>
        </w:trPr>
        <w:tc>
          <w:tcPr>
            <w:tcW w:w="4111" w:type="dxa"/>
          </w:tcPr>
          <w:p w:rsidR="00F10A12" w:rsidRPr="00A60775" w:rsidRDefault="00F10A12" w:rsidP="00CD62E6">
            <w:pPr>
              <w:rPr>
                <w:sz w:val="22"/>
                <w:highlight w:val="cyan"/>
              </w:rPr>
            </w:pPr>
          </w:p>
        </w:tc>
        <w:tc>
          <w:tcPr>
            <w:tcW w:w="1638" w:type="dxa"/>
          </w:tcPr>
          <w:p w:rsidR="00F10A12" w:rsidRPr="00D50D91" w:rsidRDefault="00F10A12" w:rsidP="00CD62E6">
            <w:pPr>
              <w:jc w:val="center"/>
              <w:rPr>
                <w:sz w:val="22"/>
              </w:rPr>
            </w:pPr>
            <w:r w:rsidRPr="00D50D91">
              <w:rPr>
                <w:sz w:val="22"/>
              </w:rPr>
              <w:t>£000</w:t>
            </w:r>
          </w:p>
        </w:tc>
        <w:tc>
          <w:tcPr>
            <w:tcW w:w="1620" w:type="dxa"/>
          </w:tcPr>
          <w:p w:rsidR="00F10A12" w:rsidRPr="00D50D91" w:rsidRDefault="00F10A12" w:rsidP="00CD62E6">
            <w:pPr>
              <w:jc w:val="center"/>
              <w:rPr>
                <w:sz w:val="22"/>
              </w:rPr>
            </w:pPr>
            <w:r w:rsidRPr="00D50D91">
              <w:rPr>
                <w:sz w:val="22"/>
              </w:rPr>
              <w:t>£000</w:t>
            </w:r>
          </w:p>
        </w:tc>
      </w:tr>
      <w:tr w:rsidR="00F10A12" w:rsidRPr="00A60775" w:rsidTr="005027B5">
        <w:trPr>
          <w:trHeight w:hRule="exact" w:val="300"/>
        </w:trPr>
        <w:tc>
          <w:tcPr>
            <w:tcW w:w="4111" w:type="dxa"/>
          </w:tcPr>
          <w:p w:rsidR="00F10A12" w:rsidRPr="00A60775" w:rsidRDefault="00F10A12" w:rsidP="00CD62E6">
            <w:pPr>
              <w:rPr>
                <w:sz w:val="22"/>
                <w:highlight w:val="cyan"/>
              </w:rPr>
            </w:pPr>
          </w:p>
        </w:tc>
        <w:tc>
          <w:tcPr>
            <w:tcW w:w="1638" w:type="dxa"/>
          </w:tcPr>
          <w:p w:rsidR="00F10A12" w:rsidRPr="00D50D91" w:rsidRDefault="00F10A12" w:rsidP="00CD62E6">
            <w:pPr>
              <w:tabs>
                <w:tab w:val="decimal" w:pos="900"/>
              </w:tabs>
              <w:rPr>
                <w:sz w:val="22"/>
              </w:rPr>
            </w:pPr>
          </w:p>
        </w:tc>
        <w:tc>
          <w:tcPr>
            <w:tcW w:w="1620" w:type="dxa"/>
          </w:tcPr>
          <w:p w:rsidR="00F10A12" w:rsidRPr="00D50D91" w:rsidRDefault="00F10A12" w:rsidP="00CD62E6">
            <w:pPr>
              <w:tabs>
                <w:tab w:val="decimal" w:pos="900"/>
              </w:tabs>
              <w:rPr>
                <w:sz w:val="22"/>
              </w:rPr>
            </w:pPr>
          </w:p>
        </w:tc>
      </w:tr>
      <w:tr w:rsidR="003A006C" w:rsidRPr="00A60775" w:rsidTr="005027B5">
        <w:trPr>
          <w:trHeight w:hRule="exact" w:val="300"/>
        </w:trPr>
        <w:tc>
          <w:tcPr>
            <w:tcW w:w="4111" w:type="dxa"/>
          </w:tcPr>
          <w:p w:rsidR="003A006C" w:rsidRPr="00F92937" w:rsidRDefault="003A006C" w:rsidP="00CD62E6">
            <w:pPr>
              <w:pStyle w:val="Footer"/>
              <w:tabs>
                <w:tab w:val="clear" w:pos="4153"/>
                <w:tab w:val="clear" w:pos="8306"/>
                <w:tab w:val="left" w:pos="270"/>
              </w:tabs>
              <w:rPr>
                <w:sz w:val="22"/>
              </w:rPr>
            </w:pPr>
            <w:r w:rsidRPr="00F92937">
              <w:rPr>
                <w:sz w:val="22"/>
              </w:rPr>
              <w:t>Central government bodies</w:t>
            </w:r>
          </w:p>
        </w:tc>
        <w:tc>
          <w:tcPr>
            <w:tcW w:w="1638" w:type="dxa"/>
          </w:tcPr>
          <w:p w:rsidR="003A006C" w:rsidRPr="00870AF0" w:rsidRDefault="0045029E" w:rsidP="00CD62E6">
            <w:pPr>
              <w:tabs>
                <w:tab w:val="decimal" w:pos="900"/>
              </w:tabs>
              <w:rPr>
                <w:sz w:val="22"/>
              </w:rPr>
            </w:pPr>
            <w:r>
              <w:rPr>
                <w:sz w:val="22"/>
              </w:rPr>
              <w:t>223</w:t>
            </w:r>
          </w:p>
        </w:tc>
        <w:tc>
          <w:tcPr>
            <w:tcW w:w="1620" w:type="dxa"/>
          </w:tcPr>
          <w:p w:rsidR="003A006C" w:rsidRPr="00870AF0" w:rsidRDefault="003A006C" w:rsidP="00903724">
            <w:pPr>
              <w:tabs>
                <w:tab w:val="decimal" w:pos="900"/>
              </w:tabs>
              <w:rPr>
                <w:sz w:val="22"/>
              </w:rPr>
            </w:pPr>
            <w:r>
              <w:rPr>
                <w:sz w:val="22"/>
              </w:rPr>
              <w:t>202</w:t>
            </w:r>
          </w:p>
        </w:tc>
      </w:tr>
      <w:tr w:rsidR="003A006C" w:rsidRPr="00A60775" w:rsidTr="005027B5">
        <w:trPr>
          <w:trHeight w:hRule="exact" w:val="300"/>
        </w:trPr>
        <w:tc>
          <w:tcPr>
            <w:tcW w:w="4111" w:type="dxa"/>
          </w:tcPr>
          <w:p w:rsidR="003A006C" w:rsidRPr="00F92937" w:rsidRDefault="003A006C" w:rsidP="00CD62E6">
            <w:pPr>
              <w:tabs>
                <w:tab w:val="left" w:pos="270"/>
              </w:tabs>
              <w:rPr>
                <w:sz w:val="22"/>
              </w:rPr>
            </w:pPr>
            <w:r w:rsidRPr="00F92937">
              <w:rPr>
                <w:sz w:val="22"/>
              </w:rPr>
              <w:t>Other local authorities</w:t>
            </w:r>
          </w:p>
        </w:tc>
        <w:tc>
          <w:tcPr>
            <w:tcW w:w="1638" w:type="dxa"/>
          </w:tcPr>
          <w:p w:rsidR="003A006C" w:rsidRPr="00870AF0" w:rsidRDefault="0045029E" w:rsidP="0045029E">
            <w:pPr>
              <w:tabs>
                <w:tab w:val="decimal" w:pos="900"/>
              </w:tabs>
              <w:rPr>
                <w:sz w:val="22"/>
              </w:rPr>
            </w:pPr>
            <w:r>
              <w:rPr>
                <w:sz w:val="22"/>
              </w:rPr>
              <w:t>3,665</w:t>
            </w:r>
          </w:p>
        </w:tc>
        <w:tc>
          <w:tcPr>
            <w:tcW w:w="1620" w:type="dxa"/>
          </w:tcPr>
          <w:p w:rsidR="003A006C" w:rsidRPr="00870AF0" w:rsidRDefault="003A006C" w:rsidP="00903724">
            <w:pPr>
              <w:tabs>
                <w:tab w:val="decimal" w:pos="900"/>
              </w:tabs>
              <w:rPr>
                <w:sz w:val="22"/>
              </w:rPr>
            </w:pPr>
            <w:r>
              <w:rPr>
                <w:sz w:val="22"/>
              </w:rPr>
              <w:t>3,918</w:t>
            </w:r>
          </w:p>
        </w:tc>
      </w:tr>
      <w:tr w:rsidR="003A006C" w:rsidRPr="00A60775" w:rsidTr="005027B5">
        <w:trPr>
          <w:trHeight w:hRule="exact" w:val="327"/>
        </w:trPr>
        <w:tc>
          <w:tcPr>
            <w:tcW w:w="4111" w:type="dxa"/>
          </w:tcPr>
          <w:p w:rsidR="003A006C" w:rsidRPr="00F92937" w:rsidRDefault="003A006C" w:rsidP="00CD62E6">
            <w:pPr>
              <w:tabs>
                <w:tab w:val="left" w:pos="270"/>
              </w:tabs>
              <w:rPr>
                <w:sz w:val="22"/>
              </w:rPr>
            </w:pPr>
            <w:r w:rsidRPr="00F92937">
              <w:rPr>
                <w:sz w:val="22"/>
              </w:rPr>
              <w:t>Public corporations</w:t>
            </w:r>
          </w:p>
        </w:tc>
        <w:tc>
          <w:tcPr>
            <w:tcW w:w="1638" w:type="dxa"/>
          </w:tcPr>
          <w:p w:rsidR="003A006C" w:rsidRPr="00870AF0" w:rsidRDefault="0045029E" w:rsidP="00CD62E6">
            <w:pPr>
              <w:tabs>
                <w:tab w:val="decimal" w:pos="900"/>
              </w:tabs>
              <w:rPr>
                <w:sz w:val="22"/>
              </w:rPr>
            </w:pPr>
            <w:r>
              <w:rPr>
                <w:sz w:val="22"/>
              </w:rPr>
              <w:t>183</w:t>
            </w:r>
          </w:p>
        </w:tc>
        <w:tc>
          <w:tcPr>
            <w:tcW w:w="1620" w:type="dxa"/>
          </w:tcPr>
          <w:p w:rsidR="003A006C" w:rsidRPr="00870AF0" w:rsidRDefault="003A006C" w:rsidP="00903724">
            <w:pPr>
              <w:tabs>
                <w:tab w:val="decimal" w:pos="900"/>
              </w:tabs>
              <w:rPr>
                <w:sz w:val="22"/>
              </w:rPr>
            </w:pPr>
            <w:r>
              <w:rPr>
                <w:sz w:val="22"/>
              </w:rPr>
              <w:t>241</w:t>
            </w:r>
          </w:p>
        </w:tc>
      </w:tr>
      <w:tr w:rsidR="003A006C" w:rsidRPr="00A60775" w:rsidTr="005027B5">
        <w:trPr>
          <w:trHeight w:hRule="exact" w:val="300"/>
        </w:trPr>
        <w:tc>
          <w:tcPr>
            <w:tcW w:w="4111" w:type="dxa"/>
          </w:tcPr>
          <w:p w:rsidR="003A006C" w:rsidRPr="00F92937" w:rsidRDefault="003A006C" w:rsidP="00CD62E6">
            <w:pPr>
              <w:tabs>
                <w:tab w:val="left" w:pos="270"/>
              </w:tabs>
              <w:rPr>
                <w:sz w:val="22"/>
              </w:rPr>
            </w:pPr>
            <w:r w:rsidRPr="00F92937">
              <w:rPr>
                <w:sz w:val="22"/>
              </w:rPr>
              <w:t>Other entities and individuals</w:t>
            </w:r>
          </w:p>
        </w:tc>
        <w:tc>
          <w:tcPr>
            <w:tcW w:w="1638" w:type="dxa"/>
          </w:tcPr>
          <w:p w:rsidR="003A006C" w:rsidRPr="00870AF0" w:rsidRDefault="0045029E" w:rsidP="0089332B">
            <w:pPr>
              <w:tabs>
                <w:tab w:val="decimal" w:pos="900"/>
              </w:tabs>
              <w:rPr>
                <w:sz w:val="22"/>
              </w:rPr>
            </w:pPr>
            <w:r>
              <w:rPr>
                <w:sz w:val="22"/>
              </w:rPr>
              <w:t>6,</w:t>
            </w:r>
            <w:r w:rsidR="0089332B">
              <w:rPr>
                <w:sz w:val="22"/>
              </w:rPr>
              <w:t>689</w:t>
            </w:r>
          </w:p>
        </w:tc>
        <w:tc>
          <w:tcPr>
            <w:tcW w:w="1620" w:type="dxa"/>
          </w:tcPr>
          <w:p w:rsidR="003A006C" w:rsidRPr="00870AF0" w:rsidRDefault="003A006C" w:rsidP="0089332B">
            <w:pPr>
              <w:tabs>
                <w:tab w:val="decimal" w:pos="900"/>
              </w:tabs>
              <w:rPr>
                <w:sz w:val="22"/>
              </w:rPr>
            </w:pPr>
            <w:r>
              <w:rPr>
                <w:sz w:val="22"/>
              </w:rPr>
              <w:t>6,</w:t>
            </w:r>
            <w:r w:rsidR="0089332B">
              <w:rPr>
                <w:sz w:val="22"/>
              </w:rPr>
              <w:t>494</w:t>
            </w:r>
          </w:p>
        </w:tc>
      </w:tr>
      <w:tr w:rsidR="003A006C" w:rsidRPr="00A60775" w:rsidTr="005027B5">
        <w:trPr>
          <w:trHeight w:hRule="exact" w:val="300"/>
        </w:trPr>
        <w:tc>
          <w:tcPr>
            <w:tcW w:w="4111" w:type="dxa"/>
          </w:tcPr>
          <w:p w:rsidR="003A006C" w:rsidRPr="00A60775" w:rsidRDefault="003A006C" w:rsidP="00CD62E6">
            <w:pPr>
              <w:tabs>
                <w:tab w:val="left" w:pos="270"/>
              </w:tabs>
              <w:rPr>
                <w:sz w:val="22"/>
                <w:highlight w:val="cyan"/>
              </w:rPr>
            </w:pPr>
          </w:p>
        </w:tc>
        <w:tc>
          <w:tcPr>
            <w:tcW w:w="1638" w:type="dxa"/>
            <w:tcBorders>
              <w:top w:val="single" w:sz="4" w:space="0" w:color="auto"/>
              <w:bottom w:val="double" w:sz="4" w:space="0" w:color="auto"/>
            </w:tcBorders>
          </w:tcPr>
          <w:p w:rsidR="003A006C" w:rsidRPr="002C3D8C" w:rsidRDefault="0045029E" w:rsidP="0089332B">
            <w:pPr>
              <w:tabs>
                <w:tab w:val="decimal" w:pos="900"/>
              </w:tabs>
              <w:rPr>
                <w:sz w:val="22"/>
              </w:rPr>
            </w:pPr>
            <w:r>
              <w:rPr>
                <w:sz w:val="22"/>
              </w:rPr>
              <w:t>10,</w:t>
            </w:r>
            <w:r w:rsidR="0089332B">
              <w:rPr>
                <w:sz w:val="22"/>
              </w:rPr>
              <w:t>760</w:t>
            </w:r>
          </w:p>
        </w:tc>
        <w:tc>
          <w:tcPr>
            <w:tcW w:w="1620" w:type="dxa"/>
            <w:tcBorders>
              <w:top w:val="single" w:sz="4" w:space="0" w:color="auto"/>
              <w:bottom w:val="double" w:sz="4" w:space="0" w:color="auto"/>
            </w:tcBorders>
          </w:tcPr>
          <w:p w:rsidR="003A006C" w:rsidRPr="002C3D8C" w:rsidRDefault="003A006C" w:rsidP="0089332B">
            <w:pPr>
              <w:tabs>
                <w:tab w:val="decimal" w:pos="900"/>
              </w:tabs>
              <w:rPr>
                <w:sz w:val="22"/>
              </w:rPr>
            </w:pPr>
            <w:r>
              <w:rPr>
                <w:sz w:val="22"/>
              </w:rPr>
              <w:t>10,</w:t>
            </w:r>
            <w:r w:rsidR="0089332B">
              <w:rPr>
                <w:sz w:val="22"/>
              </w:rPr>
              <w:t>855</w:t>
            </w:r>
          </w:p>
        </w:tc>
      </w:tr>
    </w:tbl>
    <w:p w:rsidR="00BF24AC" w:rsidRDefault="00BF24AC" w:rsidP="00D90216">
      <w:pPr>
        <w:rPr>
          <w:b/>
          <w:sz w:val="22"/>
        </w:rPr>
      </w:pPr>
    </w:p>
    <w:p w:rsidR="00D90216" w:rsidRPr="009A4F7B" w:rsidRDefault="00D90216" w:rsidP="00D90216">
      <w:pPr>
        <w:rPr>
          <w:sz w:val="22"/>
        </w:rPr>
      </w:pPr>
      <w:r w:rsidRPr="009A4F7B">
        <w:rPr>
          <w:b/>
          <w:sz w:val="22"/>
        </w:rPr>
        <w:t>1</w:t>
      </w:r>
      <w:r w:rsidR="003A006C">
        <w:rPr>
          <w:b/>
          <w:sz w:val="22"/>
        </w:rPr>
        <w:t>0</w:t>
      </w:r>
      <w:r w:rsidRPr="009A4F7B">
        <w:rPr>
          <w:b/>
          <w:sz w:val="22"/>
        </w:rPr>
        <w:tab/>
        <w:t>Cash &amp; Cash Equivalents</w:t>
      </w:r>
    </w:p>
    <w:p w:rsidR="00D90216" w:rsidRDefault="00D90216" w:rsidP="00D90216">
      <w:pPr>
        <w:ind w:left="720"/>
        <w:jc w:val="both"/>
        <w:rPr>
          <w:sz w:val="22"/>
          <w:highlight w:val="cyan"/>
        </w:rPr>
      </w:pPr>
    </w:p>
    <w:p w:rsidR="00D90216" w:rsidRDefault="00D90216" w:rsidP="00D90216">
      <w:pPr>
        <w:ind w:left="720"/>
        <w:jc w:val="both"/>
        <w:rPr>
          <w:sz w:val="22"/>
        </w:rPr>
      </w:pPr>
      <w:r w:rsidRPr="009A4F7B">
        <w:rPr>
          <w:sz w:val="22"/>
        </w:rPr>
        <w:t xml:space="preserve">The balance of cash &amp; cash equivalents </w:t>
      </w:r>
      <w:r>
        <w:rPr>
          <w:sz w:val="22"/>
        </w:rPr>
        <w:t>is made up of the following elements:</w:t>
      </w:r>
    </w:p>
    <w:p w:rsidR="00D90216" w:rsidRDefault="00D90216" w:rsidP="00D90216">
      <w:pPr>
        <w:ind w:left="720"/>
        <w:jc w:val="both"/>
        <w:rPr>
          <w:sz w:val="22"/>
        </w:rPr>
      </w:pPr>
    </w:p>
    <w:tbl>
      <w:tblPr>
        <w:tblW w:w="9167" w:type="dxa"/>
        <w:tblInd w:w="720" w:type="dxa"/>
        <w:tblLayout w:type="fixed"/>
        <w:tblLook w:val="0000" w:firstRow="0" w:lastRow="0" w:firstColumn="0" w:lastColumn="0" w:noHBand="0" w:noVBand="0"/>
      </w:tblPr>
      <w:tblGrid>
        <w:gridCol w:w="5909"/>
        <w:gridCol w:w="1638"/>
        <w:gridCol w:w="1620"/>
      </w:tblGrid>
      <w:tr w:rsidR="003A006C" w:rsidRPr="00D50D91" w:rsidTr="00482C93">
        <w:trPr>
          <w:trHeight w:hRule="exact" w:val="300"/>
        </w:trPr>
        <w:tc>
          <w:tcPr>
            <w:tcW w:w="5909" w:type="dxa"/>
          </w:tcPr>
          <w:p w:rsidR="003A006C" w:rsidRPr="00A60775" w:rsidRDefault="003A006C" w:rsidP="00CD62E6">
            <w:pPr>
              <w:pStyle w:val="Footer"/>
              <w:tabs>
                <w:tab w:val="clear" w:pos="4153"/>
                <w:tab w:val="clear" w:pos="8306"/>
              </w:tabs>
              <w:rPr>
                <w:sz w:val="22"/>
                <w:highlight w:val="cyan"/>
              </w:rPr>
            </w:pPr>
          </w:p>
        </w:tc>
        <w:tc>
          <w:tcPr>
            <w:tcW w:w="1638"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7/18</w:t>
            </w:r>
          </w:p>
        </w:tc>
        <w:tc>
          <w:tcPr>
            <w:tcW w:w="1620"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6/17</w:t>
            </w:r>
          </w:p>
        </w:tc>
      </w:tr>
      <w:tr w:rsidR="00F10A12" w:rsidRPr="00D50D91" w:rsidTr="00482C93">
        <w:trPr>
          <w:trHeight w:hRule="exact" w:val="300"/>
        </w:trPr>
        <w:tc>
          <w:tcPr>
            <w:tcW w:w="5909" w:type="dxa"/>
          </w:tcPr>
          <w:p w:rsidR="00F10A12" w:rsidRPr="00A60775" w:rsidRDefault="00F10A12" w:rsidP="00CD62E6">
            <w:pPr>
              <w:rPr>
                <w:sz w:val="22"/>
                <w:highlight w:val="cyan"/>
              </w:rPr>
            </w:pPr>
          </w:p>
        </w:tc>
        <w:tc>
          <w:tcPr>
            <w:tcW w:w="1638" w:type="dxa"/>
          </w:tcPr>
          <w:p w:rsidR="00F10A12" w:rsidRPr="00D50D91" w:rsidRDefault="00F10A12" w:rsidP="00CD62E6">
            <w:pPr>
              <w:jc w:val="center"/>
              <w:rPr>
                <w:sz w:val="22"/>
              </w:rPr>
            </w:pPr>
            <w:r w:rsidRPr="00D50D91">
              <w:rPr>
                <w:sz w:val="22"/>
              </w:rPr>
              <w:t>£000</w:t>
            </w:r>
          </w:p>
        </w:tc>
        <w:tc>
          <w:tcPr>
            <w:tcW w:w="1620" w:type="dxa"/>
          </w:tcPr>
          <w:p w:rsidR="00F10A12" w:rsidRPr="00D50D91" w:rsidRDefault="00F10A12" w:rsidP="00CD62E6">
            <w:pPr>
              <w:jc w:val="center"/>
              <w:rPr>
                <w:sz w:val="22"/>
              </w:rPr>
            </w:pPr>
            <w:r w:rsidRPr="00D50D91">
              <w:rPr>
                <w:sz w:val="22"/>
              </w:rPr>
              <w:t>£000</w:t>
            </w:r>
          </w:p>
        </w:tc>
      </w:tr>
      <w:tr w:rsidR="00F10A12" w:rsidRPr="00D50D91" w:rsidTr="00482C93">
        <w:trPr>
          <w:trHeight w:hRule="exact" w:val="300"/>
        </w:trPr>
        <w:tc>
          <w:tcPr>
            <w:tcW w:w="5909" w:type="dxa"/>
          </w:tcPr>
          <w:p w:rsidR="00F10A12" w:rsidRPr="00A60775" w:rsidRDefault="00F10A12" w:rsidP="00CD62E6">
            <w:pPr>
              <w:rPr>
                <w:sz w:val="22"/>
                <w:highlight w:val="cyan"/>
              </w:rPr>
            </w:pPr>
          </w:p>
        </w:tc>
        <w:tc>
          <w:tcPr>
            <w:tcW w:w="1638" w:type="dxa"/>
          </w:tcPr>
          <w:p w:rsidR="00F10A12" w:rsidRPr="00D50D91" w:rsidRDefault="00F10A12" w:rsidP="00CD62E6">
            <w:pPr>
              <w:tabs>
                <w:tab w:val="decimal" w:pos="900"/>
              </w:tabs>
              <w:rPr>
                <w:sz w:val="22"/>
              </w:rPr>
            </w:pPr>
          </w:p>
        </w:tc>
        <w:tc>
          <w:tcPr>
            <w:tcW w:w="1620" w:type="dxa"/>
          </w:tcPr>
          <w:p w:rsidR="00F10A12" w:rsidRPr="00D50D91" w:rsidRDefault="00F10A12" w:rsidP="00CD62E6">
            <w:pPr>
              <w:tabs>
                <w:tab w:val="decimal" w:pos="900"/>
              </w:tabs>
              <w:rPr>
                <w:sz w:val="22"/>
              </w:rPr>
            </w:pPr>
          </w:p>
        </w:tc>
      </w:tr>
      <w:tr w:rsidR="00733F29" w:rsidRPr="00F92937" w:rsidTr="00482C93">
        <w:trPr>
          <w:trHeight w:hRule="exact" w:val="300"/>
        </w:trPr>
        <w:tc>
          <w:tcPr>
            <w:tcW w:w="5909" w:type="dxa"/>
          </w:tcPr>
          <w:p w:rsidR="00733F29" w:rsidRPr="00F92937" w:rsidRDefault="00733F29" w:rsidP="00CD62E6">
            <w:pPr>
              <w:pStyle w:val="Footer"/>
              <w:tabs>
                <w:tab w:val="clear" w:pos="4153"/>
                <w:tab w:val="clear" w:pos="8306"/>
                <w:tab w:val="left" w:pos="270"/>
              </w:tabs>
              <w:rPr>
                <w:sz w:val="22"/>
              </w:rPr>
            </w:pPr>
            <w:r>
              <w:rPr>
                <w:sz w:val="22"/>
              </w:rPr>
              <w:t>Cash held by the Authority</w:t>
            </w:r>
          </w:p>
        </w:tc>
        <w:tc>
          <w:tcPr>
            <w:tcW w:w="1638" w:type="dxa"/>
          </w:tcPr>
          <w:p w:rsidR="00733F29" w:rsidRPr="00EA54AA" w:rsidRDefault="007404CC" w:rsidP="00CD62E6">
            <w:pPr>
              <w:tabs>
                <w:tab w:val="decimal" w:pos="900"/>
              </w:tabs>
              <w:rPr>
                <w:sz w:val="22"/>
              </w:rPr>
            </w:pPr>
            <w:r>
              <w:rPr>
                <w:sz w:val="22"/>
              </w:rPr>
              <w:t>49</w:t>
            </w:r>
          </w:p>
        </w:tc>
        <w:tc>
          <w:tcPr>
            <w:tcW w:w="1620" w:type="dxa"/>
          </w:tcPr>
          <w:p w:rsidR="00733F29" w:rsidRPr="00EA54AA" w:rsidRDefault="00733F29" w:rsidP="00304FC3">
            <w:pPr>
              <w:tabs>
                <w:tab w:val="decimal" w:pos="900"/>
              </w:tabs>
              <w:rPr>
                <w:sz w:val="22"/>
              </w:rPr>
            </w:pPr>
            <w:r>
              <w:rPr>
                <w:sz w:val="22"/>
              </w:rPr>
              <w:t>46</w:t>
            </w:r>
          </w:p>
        </w:tc>
      </w:tr>
      <w:tr w:rsidR="00482C93" w:rsidRPr="00F92937" w:rsidTr="00482C93">
        <w:trPr>
          <w:trHeight w:hRule="exact" w:val="300"/>
        </w:trPr>
        <w:tc>
          <w:tcPr>
            <w:tcW w:w="5909" w:type="dxa"/>
          </w:tcPr>
          <w:p w:rsidR="00482C93" w:rsidRDefault="00482C93" w:rsidP="00CD62E6">
            <w:pPr>
              <w:tabs>
                <w:tab w:val="left" w:pos="270"/>
              </w:tabs>
              <w:rPr>
                <w:sz w:val="22"/>
              </w:rPr>
            </w:pPr>
            <w:r>
              <w:rPr>
                <w:sz w:val="22"/>
              </w:rPr>
              <w:t xml:space="preserve">Cash held by North West </w:t>
            </w:r>
            <w:proofErr w:type="spellStart"/>
            <w:r>
              <w:rPr>
                <w:sz w:val="22"/>
              </w:rPr>
              <w:t>FireControl</w:t>
            </w:r>
            <w:proofErr w:type="spellEnd"/>
            <w:r>
              <w:rPr>
                <w:sz w:val="22"/>
              </w:rPr>
              <w:t xml:space="preserve"> (25% share)</w:t>
            </w:r>
          </w:p>
        </w:tc>
        <w:tc>
          <w:tcPr>
            <w:tcW w:w="1638" w:type="dxa"/>
          </w:tcPr>
          <w:p w:rsidR="00482C93" w:rsidRDefault="00482C93" w:rsidP="00EA54AA">
            <w:pPr>
              <w:tabs>
                <w:tab w:val="decimal" w:pos="900"/>
              </w:tabs>
              <w:rPr>
                <w:sz w:val="22"/>
              </w:rPr>
            </w:pPr>
            <w:r>
              <w:rPr>
                <w:sz w:val="22"/>
              </w:rPr>
              <w:t>164</w:t>
            </w:r>
          </w:p>
        </w:tc>
        <w:tc>
          <w:tcPr>
            <w:tcW w:w="1620" w:type="dxa"/>
          </w:tcPr>
          <w:p w:rsidR="00482C93" w:rsidRDefault="00482C93" w:rsidP="00903724">
            <w:pPr>
              <w:tabs>
                <w:tab w:val="decimal" w:pos="900"/>
              </w:tabs>
              <w:rPr>
                <w:sz w:val="22"/>
              </w:rPr>
            </w:pPr>
            <w:r>
              <w:rPr>
                <w:sz w:val="22"/>
              </w:rPr>
              <w:t>286</w:t>
            </w:r>
          </w:p>
        </w:tc>
      </w:tr>
      <w:tr w:rsidR="003A006C" w:rsidRPr="00F92937" w:rsidTr="00482C93">
        <w:trPr>
          <w:trHeight w:hRule="exact" w:val="300"/>
        </w:trPr>
        <w:tc>
          <w:tcPr>
            <w:tcW w:w="5909" w:type="dxa"/>
          </w:tcPr>
          <w:p w:rsidR="003A006C" w:rsidRPr="00F92937" w:rsidRDefault="003A006C" w:rsidP="00CD62E6">
            <w:pPr>
              <w:tabs>
                <w:tab w:val="left" w:pos="270"/>
              </w:tabs>
              <w:rPr>
                <w:sz w:val="22"/>
              </w:rPr>
            </w:pPr>
            <w:r>
              <w:rPr>
                <w:sz w:val="22"/>
              </w:rPr>
              <w:t>Call account balance</w:t>
            </w:r>
          </w:p>
        </w:tc>
        <w:tc>
          <w:tcPr>
            <w:tcW w:w="1638" w:type="dxa"/>
          </w:tcPr>
          <w:p w:rsidR="003A006C" w:rsidRPr="00EA54AA" w:rsidRDefault="007404CC" w:rsidP="00EA54AA">
            <w:pPr>
              <w:tabs>
                <w:tab w:val="decimal" w:pos="900"/>
              </w:tabs>
              <w:rPr>
                <w:sz w:val="22"/>
              </w:rPr>
            </w:pPr>
            <w:r>
              <w:rPr>
                <w:sz w:val="22"/>
              </w:rPr>
              <w:t>28,555</w:t>
            </w:r>
          </w:p>
        </w:tc>
        <w:tc>
          <w:tcPr>
            <w:tcW w:w="1620" w:type="dxa"/>
          </w:tcPr>
          <w:p w:rsidR="003A006C" w:rsidRPr="00EA54AA" w:rsidRDefault="003A006C" w:rsidP="00903724">
            <w:pPr>
              <w:tabs>
                <w:tab w:val="decimal" w:pos="900"/>
              </w:tabs>
              <w:rPr>
                <w:sz w:val="22"/>
              </w:rPr>
            </w:pPr>
            <w:r>
              <w:rPr>
                <w:sz w:val="22"/>
              </w:rPr>
              <w:t>29,015</w:t>
            </w:r>
          </w:p>
        </w:tc>
      </w:tr>
      <w:tr w:rsidR="003A006C" w:rsidRPr="00F92937" w:rsidTr="00482C93">
        <w:trPr>
          <w:trHeight w:hRule="exact" w:val="300"/>
        </w:trPr>
        <w:tc>
          <w:tcPr>
            <w:tcW w:w="5909" w:type="dxa"/>
          </w:tcPr>
          <w:p w:rsidR="003A006C" w:rsidRPr="00A60775" w:rsidRDefault="003A006C" w:rsidP="00CD62E6">
            <w:pPr>
              <w:tabs>
                <w:tab w:val="left" w:pos="270"/>
              </w:tabs>
              <w:rPr>
                <w:sz w:val="22"/>
                <w:highlight w:val="cyan"/>
              </w:rPr>
            </w:pPr>
          </w:p>
        </w:tc>
        <w:tc>
          <w:tcPr>
            <w:tcW w:w="1638" w:type="dxa"/>
            <w:tcBorders>
              <w:top w:val="single" w:sz="4" w:space="0" w:color="auto"/>
              <w:bottom w:val="double" w:sz="4" w:space="0" w:color="auto"/>
            </w:tcBorders>
          </w:tcPr>
          <w:p w:rsidR="003A006C" w:rsidRPr="00EA54AA" w:rsidRDefault="007404CC" w:rsidP="00482C93">
            <w:pPr>
              <w:tabs>
                <w:tab w:val="decimal" w:pos="900"/>
              </w:tabs>
              <w:rPr>
                <w:sz w:val="22"/>
              </w:rPr>
            </w:pPr>
            <w:r>
              <w:rPr>
                <w:sz w:val="22"/>
              </w:rPr>
              <w:t>28,</w:t>
            </w:r>
            <w:r w:rsidR="00482C93">
              <w:rPr>
                <w:sz w:val="22"/>
              </w:rPr>
              <w:t>768</w:t>
            </w:r>
          </w:p>
        </w:tc>
        <w:tc>
          <w:tcPr>
            <w:tcW w:w="1620" w:type="dxa"/>
            <w:tcBorders>
              <w:top w:val="single" w:sz="4" w:space="0" w:color="auto"/>
              <w:bottom w:val="double" w:sz="4" w:space="0" w:color="auto"/>
            </w:tcBorders>
          </w:tcPr>
          <w:p w:rsidR="003A006C" w:rsidRPr="00EA54AA" w:rsidRDefault="003A006C" w:rsidP="00482C93">
            <w:pPr>
              <w:tabs>
                <w:tab w:val="decimal" w:pos="900"/>
              </w:tabs>
              <w:rPr>
                <w:sz w:val="22"/>
              </w:rPr>
            </w:pPr>
            <w:r>
              <w:rPr>
                <w:sz w:val="22"/>
              </w:rPr>
              <w:t>29,</w:t>
            </w:r>
            <w:r w:rsidR="00482C93">
              <w:rPr>
                <w:sz w:val="22"/>
              </w:rPr>
              <w:t>347</w:t>
            </w:r>
          </w:p>
        </w:tc>
      </w:tr>
    </w:tbl>
    <w:p w:rsidR="00D90216" w:rsidRDefault="00D90216" w:rsidP="00D90216">
      <w:pPr>
        <w:ind w:left="720"/>
        <w:jc w:val="both"/>
        <w:rPr>
          <w:sz w:val="22"/>
        </w:rPr>
      </w:pPr>
    </w:p>
    <w:p w:rsidR="00760673" w:rsidRPr="00AA2526" w:rsidRDefault="006D1B7A" w:rsidP="00760673">
      <w:pPr>
        <w:ind w:left="720"/>
        <w:jc w:val="both"/>
        <w:rPr>
          <w:sz w:val="22"/>
          <w:szCs w:val="22"/>
        </w:rPr>
      </w:pPr>
      <w:r>
        <w:rPr>
          <w:sz w:val="22"/>
          <w:szCs w:val="22"/>
        </w:rPr>
        <w:t>The call account</w:t>
      </w:r>
      <w:r w:rsidR="00760673" w:rsidRPr="00226AD2">
        <w:rPr>
          <w:sz w:val="22"/>
          <w:szCs w:val="22"/>
        </w:rPr>
        <w:t xml:space="preserve"> balance</w:t>
      </w:r>
      <w:r>
        <w:rPr>
          <w:sz w:val="22"/>
          <w:szCs w:val="22"/>
        </w:rPr>
        <w:t xml:space="preserve"> i</w:t>
      </w:r>
      <w:r w:rsidR="00760673" w:rsidRPr="00226AD2">
        <w:rPr>
          <w:sz w:val="22"/>
          <w:szCs w:val="22"/>
        </w:rPr>
        <w:t xml:space="preserve">s placed with Lancashire Country Council. Interest on these balances is paid to the Authority.  The investments have an amortised cost at 31 </w:t>
      </w:r>
      <w:r w:rsidR="00760673" w:rsidRPr="00AA2526">
        <w:rPr>
          <w:sz w:val="22"/>
          <w:szCs w:val="22"/>
        </w:rPr>
        <w:t>March 201</w:t>
      </w:r>
      <w:r w:rsidR="003A006C">
        <w:rPr>
          <w:sz w:val="22"/>
          <w:szCs w:val="22"/>
        </w:rPr>
        <w:t>8</w:t>
      </w:r>
      <w:r w:rsidR="00760673" w:rsidRPr="00AA2526">
        <w:rPr>
          <w:sz w:val="22"/>
          <w:szCs w:val="22"/>
        </w:rPr>
        <w:t xml:space="preserve"> equal to their nominal value.  </w:t>
      </w:r>
    </w:p>
    <w:p w:rsidR="00760673" w:rsidRDefault="00760673" w:rsidP="00D90216">
      <w:pPr>
        <w:ind w:left="720"/>
        <w:jc w:val="both"/>
        <w:rPr>
          <w:sz w:val="22"/>
        </w:rPr>
      </w:pPr>
    </w:p>
    <w:p w:rsidR="00D90216" w:rsidRPr="005E70B7" w:rsidRDefault="00D90216" w:rsidP="00B04924">
      <w:pPr>
        <w:jc w:val="both"/>
        <w:rPr>
          <w:sz w:val="22"/>
        </w:rPr>
      </w:pPr>
      <w:r w:rsidRPr="005E70B7">
        <w:rPr>
          <w:b/>
          <w:sz w:val="22"/>
        </w:rPr>
        <w:t>1</w:t>
      </w:r>
      <w:r w:rsidR="003A006C">
        <w:rPr>
          <w:b/>
          <w:sz w:val="22"/>
        </w:rPr>
        <w:t>1</w:t>
      </w:r>
      <w:r w:rsidRPr="005E70B7">
        <w:rPr>
          <w:sz w:val="22"/>
        </w:rPr>
        <w:tab/>
      </w:r>
      <w:r w:rsidRPr="005E70B7">
        <w:rPr>
          <w:b/>
          <w:sz w:val="22"/>
        </w:rPr>
        <w:t>Creditors</w:t>
      </w:r>
    </w:p>
    <w:p w:rsidR="00D90216" w:rsidRPr="00A60775" w:rsidRDefault="00D90216" w:rsidP="00D90216">
      <w:pPr>
        <w:ind w:left="720"/>
        <w:rPr>
          <w:sz w:val="22"/>
          <w:highlight w:val="cyan"/>
        </w:rPr>
      </w:pPr>
    </w:p>
    <w:tbl>
      <w:tblPr>
        <w:tblW w:w="7468" w:type="dxa"/>
        <w:tblInd w:w="720" w:type="dxa"/>
        <w:tblLayout w:type="fixed"/>
        <w:tblLook w:val="0000" w:firstRow="0" w:lastRow="0" w:firstColumn="0" w:lastColumn="0" w:noHBand="0" w:noVBand="0"/>
      </w:tblPr>
      <w:tblGrid>
        <w:gridCol w:w="4208"/>
        <w:gridCol w:w="1654"/>
        <w:gridCol w:w="1606"/>
      </w:tblGrid>
      <w:tr w:rsidR="003A006C" w:rsidRPr="00A60775" w:rsidTr="005027B5">
        <w:trPr>
          <w:trHeight w:hRule="exact" w:val="300"/>
        </w:trPr>
        <w:tc>
          <w:tcPr>
            <w:tcW w:w="4208" w:type="dxa"/>
          </w:tcPr>
          <w:p w:rsidR="003A006C" w:rsidRPr="00A60775" w:rsidRDefault="003A006C" w:rsidP="00CD62E6">
            <w:pPr>
              <w:pStyle w:val="Footer"/>
              <w:tabs>
                <w:tab w:val="clear" w:pos="4153"/>
                <w:tab w:val="clear" w:pos="8306"/>
              </w:tabs>
              <w:rPr>
                <w:sz w:val="22"/>
                <w:highlight w:val="cyan"/>
              </w:rPr>
            </w:pPr>
          </w:p>
        </w:tc>
        <w:tc>
          <w:tcPr>
            <w:tcW w:w="1654"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7/18</w:t>
            </w:r>
          </w:p>
        </w:tc>
        <w:tc>
          <w:tcPr>
            <w:tcW w:w="1606" w:type="dxa"/>
          </w:tcPr>
          <w:p w:rsidR="003A006C" w:rsidRPr="005024AA" w:rsidRDefault="003A006C" w:rsidP="00903724">
            <w:pPr>
              <w:pStyle w:val="BodyTextIndent"/>
              <w:ind w:left="0"/>
              <w:jc w:val="center"/>
              <w:rPr>
                <w:sz w:val="22"/>
                <w:lang w:val="en-GB"/>
              </w:rPr>
            </w:pPr>
            <w:r w:rsidRPr="005024AA">
              <w:rPr>
                <w:sz w:val="22"/>
                <w:lang w:val="en-GB"/>
              </w:rPr>
              <w:t>201</w:t>
            </w:r>
            <w:r>
              <w:rPr>
                <w:sz w:val="22"/>
                <w:lang w:val="en-GB"/>
              </w:rPr>
              <w:t>6/17</w:t>
            </w:r>
          </w:p>
        </w:tc>
      </w:tr>
      <w:tr w:rsidR="003A42BD" w:rsidRPr="00A60775" w:rsidTr="005027B5">
        <w:trPr>
          <w:trHeight w:hRule="exact" w:val="300"/>
        </w:trPr>
        <w:tc>
          <w:tcPr>
            <w:tcW w:w="4208" w:type="dxa"/>
          </w:tcPr>
          <w:p w:rsidR="003A42BD" w:rsidRPr="00A60775" w:rsidRDefault="003A42BD" w:rsidP="00CD62E6">
            <w:pPr>
              <w:rPr>
                <w:sz w:val="22"/>
                <w:highlight w:val="cyan"/>
              </w:rPr>
            </w:pPr>
          </w:p>
        </w:tc>
        <w:tc>
          <w:tcPr>
            <w:tcW w:w="1654" w:type="dxa"/>
          </w:tcPr>
          <w:p w:rsidR="003A42BD" w:rsidRPr="005E70B7" w:rsidRDefault="003A42BD" w:rsidP="00CD62E6">
            <w:pPr>
              <w:jc w:val="center"/>
              <w:rPr>
                <w:sz w:val="22"/>
              </w:rPr>
            </w:pPr>
            <w:r w:rsidRPr="005E70B7">
              <w:rPr>
                <w:sz w:val="22"/>
              </w:rPr>
              <w:t>£000</w:t>
            </w:r>
          </w:p>
        </w:tc>
        <w:tc>
          <w:tcPr>
            <w:tcW w:w="1606" w:type="dxa"/>
          </w:tcPr>
          <w:p w:rsidR="003A42BD" w:rsidRPr="005E70B7" w:rsidRDefault="003A42BD" w:rsidP="00CD62E6">
            <w:pPr>
              <w:jc w:val="center"/>
              <w:rPr>
                <w:sz w:val="22"/>
              </w:rPr>
            </w:pPr>
            <w:r w:rsidRPr="005E70B7">
              <w:rPr>
                <w:sz w:val="22"/>
              </w:rPr>
              <w:t>£000</w:t>
            </w:r>
          </w:p>
        </w:tc>
      </w:tr>
      <w:tr w:rsidR="003A006C" w:rsidRPr="00A60775" w:rsidTr="005027B5">
        <w:trPr>
          <w:trHeight w:hRule="exact" w:val="300"/>
        </w:trPr>
        <w:tc>
          <w:tcPr>
            <w:tcW w:w="4208" w:type="dxa"/>
          </w:tcPr>
          <w:p w:rsidR="003A006C" w:rsidRPr="005E70B7" w:rsidRDefault="003A006C" w:rsidP="00CD62E6">
            <w:pPr>
              <w:pStyle w:val="Footer"/>
              <w:tabs>
                <w:tab w:val="clear" w:pos="4153"/>
                <w:tab w:val="clear" w:pos="8306"/>
                <w:tab w:val="left" w:pos="270"/>
              </w:tabs>
              <w:rPr>
                <w:sz w:val="22"/>
              </w:rPr>
            </w:pPr>
            <w:r w:rsidRPr="005E70B7">
              <w:rPr>
                <w:sz w:val="22"/>
              </w:rPr>
              <w:t>Central government bodies</w:t>
            </w:r>
          </w:p>
        </w:tc>
        <w:tc>
          <w:tcPr>
            <w:tcW w:w="1654" w:type="dxa"/>
            <w:vAlign w:val="center"/>
          </w:tcPr>
          <w:p w:rsidR="003A006C" w:rsidRPr="000443CA" w:rsidRDefault="008F3342" w:rsidP="00CD62E6">
            <w:pPr>
              <w:pStyle w:val="Footer"/>
              <w:tabs>
                <w:tab w:val="clear" w:pos="4153"/>
                <w:tab w:val="clear" w:pos="8306"/>
                <w:tab w:val="decimal" w:pos="979"/>
              </w:tabs>
              <w:rPr>
                <w:sz w:val="22"/>
              </w:rPr>
            </w:pPr>
            <w:r>
              <w:rPr>
                <w:sz w:val="22"/>
              </w:rPr>
              <w:t>1,068</w:t>
            </w:r>
          </w:p>
        </w:tc>
        <w:tc>
          <w:tcPr>
            <w:tcW w:w="1606" w:type="dxa"/>
            <w:vAlign w:val="center"/>
          </w:tcPr>
          <w:p w:rsidR="003A006C" w:rsidRPr="000443CA" w:rsidRDefault="003A006C" w:rsidP="00903724">
            <w:pPr>
              <w:pStyle w:val="Footer"/>
              <w:tabs>
                <w:tab w:val="clear" w:pos="4153"/>
                <w:tab w:val="clear" w:pos="8306"/>
                <w:tab w:val="decimal" w:pos="979"/>
              </w:tabs>
              <w:rPr>
                <w:sz w:val="22"/>
              </w:rPr>
            </w:pPr>
            <w:r>
              <w:rPr>
                <w:sz w:val="22"/>
              </w:rPr>
              <w:t>1,066</w:t>
            </w:r>
          </w:p>
        </w:tc>
      </w:tr>
      <w:tr w:rsidR="003A006C" w:rsidRPr="00A60775" w:rsidTr="005027B5">
        <w:trPr>
          <w:trHeight w:hRule="exact" w:val="300"/>
        </w:trPr>
        <w:tc>
          <w:tcPr>
            <w:tcW w:w="4208" w:type="dxa"/>
          </w:tcPr>
          <w:p w:rsidR="003A006C" w:rsidRPr="005E70B7" w:rsidRDefault="003A006C" w:rsidP="00CD62E6">
            <w:pPr>
              <w:tabs>
                <w:tab w:val="left" w:pos="270"/>
              </w:tabs>
              <w:rPr>
                <w:sz w:val="22"/>
              </w:rPr>
            </w:pPr>
            <w:r w:rsidRPr="005E70B7">
              <w:rPr>
                <w:sz w:val="22"/>
              </w:rPr>
              <w:t>Other local authorities</w:t>
            </w:r>
          </w:p>
        </w:tc>
        <w:tc>
          <w:tcPr>
            <w:tcW w:w="1654" w:type="dxa"/>
          </w:tcPr>
          <w:p w:rsidR="003A006C" w:rsidRPr="000443CA" w:rsidRDefault="008F3342" w:rsidP="00396EBC">
            <w:pPr>
              <w:tabs>
                <w:tab w:val="decimal" w:pos="979"/>
              </w:tabs>
              <w:rPr>
                <w:sz w:val="22"/>
              </w:rPr>
            </w:pPr>
            <w:r>
              <w:rPr>
                <w:sz w:val="22"/>
              </w:rPr>
              <w:t>2,108</w:t>
            </w:r>
          </w:p>
        </w:tc>
        <w:tc>
          <w:tcPr>
            <w:tcW w:w="1606" w:type="dxa"/>
          </w:tcPr>
          <w:p w:rsidR="003A006C" w:rsidRPr="000443CA" w:rsidRDefault="003A006C" w:rsidP="00903724">
            <w:pPr>
              <w:tabs>
                <w:tab w:val="decimal" w:pos="979"/>
              </w:tabs>
              <w:rPr>
                <w:sz w:val="22"/>
              </w:rPr>
            </w:pPr>
            <w:r>
              <w:rPr>
                <w:sz w:val="22"/>
              </w:rPr>
              <w:t>2,571</w:t>
            </w:r>
          </w:p>
        </w:tc>
      </w:tr>
      <w:tr w:rsidR="003A006C" w:rsidRPr="00A60775" w:rsidTr="005027B5">
        <w:trPr>
          <w:trHeight w:hRule="exact" w:val="347"/>
        </w:trPr>
        <w:tc>
          <w:tcPr>
            <w:tcW w:w="4208" w:type="dxa"/>
          </w:tcPr>
          <w:p w:rsidR="003A006C" w:rsidRPr="005E70B7" w:rsidRDefault="003A006C" w:rsidP="00CD62E6">
            <w:pPr>
              <w:rPr>
                <w:sz w:val="22"/>
              </w:rPr>
            </w:pPr>
            <w:r w:rsidRPr="00F92937">
              <w:rPr>
                <w:sz w:val="22"/>
              </w:rPr>
              <w:t>Other entities and individuals</w:t>
            </w:r>
          </w:p>
        </w:tc>
        <w:tc>
          <w:tcPr>
            <w:tcW w:w="1654" w:type="dxa"/>
          </w:tcPr>
          <w:p w:rsidR="003A006C" w:rsidRPr="000443CA" w:rsidRDefault="008F3342" w:rsidP="000B3F95">
            <w:pPr>
              <w:tabs>
                <w:tab w:val="decimal" w:pos="979"/>
              </w:tabs>
              <w:rPr>
                <w:sz w:val="22"/>
              </w:rPr>
            </w:pPr>
            <w:r>
              <w:rPr>
                <w:sz w:val="22"/>
              </w:rPr>
              <w:t>3,</w:t>
            </w:r>
            <w:r w:rsidR="000B3F95">
              <w:rPr>
                <w:sz w:val="22"/>
              </w:rPr>
              <w:t>822</w:t>
            </w:r>
          </w:p>
        </w:tc>
        <w:tc>
          <w:tcPr>
            <w:tcW w:w="1606" w:type="dxa"/>
          </w:tcPr>
          <w:p w:rsidR="003A006C" w:rsidRPr="000443CA" w:rsidRDefault="000B3F95" w:rsidP="00903724">
            <w:pPr>
              <w:tabs>
                <w:tab w:val="decimal" w:pos="979"/>
              </w:tabs>
              <w:rPr>
                <w:sz w:val="22"/>
              </w:rPr>
            </w:pPr>
            <w:r>
              <w:rPr>
                <w:sz w:val="22"/>
              </w:rPr>
              <w:t>3,187</w:t>
            </w:r>
          </w:p>
        </w:tc>
      </w:tr>
      <w:tr w:rsidR="003A006C" w:rsidRPr="00A60775" w:rsidTr="005027B5">
        <w:trPr>
          <w:trHeight w:hRule="exact" w:val="300"/>
        </w:trPr>
        <w:tc>
          <w:tcPr>
            <w:tcW w:w="4208" w:type="dxa"/>
          </w:tcPr>
          <w:p w:rsidR="003A006C" w:rsidRPr="00A60775" w:rsidRDefault="003A006C" w:rsidP="00CD62E6">
            <w:pPr>
              <w:rPr>
                <w:sz w:val="22"/>
                <w:highlight w:val="cyan"/>
              </w:rPr>
            </w:pPr>
          </w:p>
        </w:tc>
        <w:tc>
          <w:tcPr>
            <w:tcW w:w="1654" w:type="dxa"/>
            <w:tcBorders>
              <w:top w:val="single" w:sz="4" w:space="0" w:color="auto"/>
              <w:bottom w:val="double" w:sz="4" w:space="0" w:color="auto"/>
            </w:tcBorders>
          </w:tcPr>
          <w:p w:rsidR="003A006C" w:rsidRPr="00793C34" w:rsidRDefault="008F3342" w:rsidP="000B3F95">
            <w:pPr>
              <w:tabs>
                <w:tab w:val="decimal" w:pos="979"/>
              </w:tabs>
              <w:rPr>
                <w:sz w:val="22"/>
              </w:rPr>
            </w:pPr>
            <w:r>
              <w:rPr>
                <w:sz w:val="22"/>
              </w:rPr>
              <w:t>6,</w:t>
            </w:r>
            <w:r w:rsidR="000B3F95">
              <w:rPr>
                <w:sz w:val="22"/>
              </w:rPr>
              <w:t>998</w:t>
            </w:r>
          </w:p>
        </w:tc>
        <w:tc>
          <w:tcPr>
            <w:tcW w:w="1606" w:type="dxa"/>
            <w:tcBorders>
              <w:top w:val="single" w:sz="4" w:space="0" w:color="auto"/>
              <w:bottom w:val="double" w:sz="4" w:space="0" w:color="auto"/>
            </w:tcBorders>
          </w:tcPr>
          <w:p w:rsidR="003A006C" w:rsidRPr="00793C34" w:rsidRDefault="003A006C" w:rsidP="000B3F95">
            <w:pPr>
              <w:tabs>
                <w:tab w:val="decimal" w:pos="979"/>
              </w:tabs>
              <w:rPr>
                <w:sz w:val="22"/>
              </w:rPr>
            </w:pPr>
            <w:r>
              <w:rPr>
                <w:sz w:val="22"/>
              </w:rPr>
              <w:t>6,</w:t>
            </w:r>
            <w:r w:rsidR="000B3F95">
              <w:rPr>
                <w:sz w:val="22"/>
              </w:rPr>
              <w:t>824</w:t>
            </w:r>
          </w:p>
        </w:tc>
      </w:tr>
    </w:tbl>
    <w:p w:rsidR="00BF24AC" w:rsidRDefault="00BF24AC" w:rsidP="00D90216">
      <w:pPr>
        <w:jc w:val="both"/>
        <w:rPr>
          <w:b/>
          <w:sz w:val="22"/>
        </w:rPr>
      </w:pPr>
    </w:p>
    <w:p w:rsidR="00D90216" w:rsidRPr="00C34D48" w:rsidRDefault="005C0AD7" w:rsidP="00D90216">
      <w:pPr>
        <w:jc w:val="both"/>
        <w:rPr>
          <w:sz w:val="22"/>
        </w:rPr>
      </w:pPr>
      <w:r>
        <w:rPr>
          <w:b/>
          <w:sz w:val="22"/>
        </w:rPr>
        <w:br w:type="page"/>
      </w:r>
      <w:r w:rsidR="00D90216" w:rsidRPr="00C34D48">
        <w:rPr>
          <w:b/>
          <w:sz w:val="22"/>
        </w:rPr>
        <w:lastRenderedPageBreak/>
        <w:t>1</w:t>
      </w:r>
      <w:r w:rsidR="00157C72">
        <w:rPr>
          <w:b/>
          <w:sz w:val="22"/>
        </w:rPr>
        <w:t>2</w:t>
      </w:r>
      <w:r w:rsidR="00D90216" w:rsidRPr="00C34D48">
        <w:rPr>
          <w:b/>
          <w:sz w:val="22"/>
        </w:rPr>
        <w:tab/>
        <w:t>Provisions</w:t>
      </w:r>
    </w:p>
    <w:p w:rsidR="00D90216" w:rsidRPr="00C34D48" w:rsidRDefault="00D90216" w:rsidP="00D90216">
      <w:pPr>
        <w:ind w:left="720"/>
        <w:rPr>
          <w:sz w:val="22"/>
        </w:rPr>
      </w:pPr>
    </w:p>
    <w:p w:rsidR="00D90216" w:rsidRPr="00C34D48" w:rsidRDefault="00D90216" w:rsidP="00D90216">
      <w:pPr>
        <w:pStyle w:val="BodyTextIndent2"/>
        <w:ind w:firstLine="0"/>
        <w:jc w:val="both"/>
        <w:rPr>
          <w:sz w:val="22"/>
        </w:rPr>
      </w:pPr>
      <w:r w:rsidRPr="00C34D48">
        <w:rPr>
          <w:sz w:val="22"/>
        </w:rPr>
        <w:t>The Authority has the power to establish provisions for any liabilities of uncertain timing or amount that have been incurred.</w:t>
      </w:r>
    </w:p>
    <w:p w:rsidR="00D90216" w:rsidRPr="00C34D48" w:rsidRDefault="00D90216" w:rsidP="00D90216">
      <w:pPr>
        <w:ind w:left="720"/>
        <w:rPr>
          <w:b/>
          <w:sz w:val="22"/>
        </w:rPr>
      </w:pPr>
    </w:p>
    <w:p w:rsidR="00D90216" w:rsidRPr="00C34D48" w:rsidRDefault="00D90216" w:rsidP="00D90216">
      <w:pPr>
        <w:pStyle w:val="BodyTextIndent2"/>
        <w:ind w:firstLine="0"/>
        <w:jc w:val="both"/>
        <w:rPr>
          <w:sz w:val="22"/>
        </w:rPr>
      </w:pPr>
      <w:r w:rsidRPr="00C34D48">
        <w:rPr>
          <w:sz w:val="22"/>
        </w:rPr>
        <w:t xml:space="preserve">The Authority has established an Insurance Liabilities Provision to meet liabilities, the precise cost of which is uncertain, but which are not reimbursable from insurers as they fall below individual excess clauses and the annual self-insured limits.  </w:t>
      </w:r>
    </w:p>
    <w:p w:rsidR="00D90216" w:rsidRPr="001C599A" w:rsidRDefault="00D90216" w:rsidP="00D90216">
      <w:pPr>
        <w:pStyle w:val="BodyTextIndent2"/>
        <w:ind w:firstLine="0"/>
        <w:jc w:val="both"/>
        <w:rPr>
          <w:sz w:val="22"/>
        </w:rPr>
      </w:pPr>
    </w:p>
    <w:p w:rsidR="007B03D1" w:rsidRDefault="00D90216" w:rsidP="00D90216">
      <w:pPr>
        <w:pStyle w:val="BodyTextIndent2"/>
        <w:ind w:firstLine="0"/>
        <w:jc w:val="both"/>
        <w:rPr>
          <w:sz w:val="22"/>
        </w:rPr>
      </w:pPr>
      <w:r w:rsidRPr="00F44519">
        <w:rPr>
          <w:sz w:val="22"/>
        </w:rPr>
        <w:t xml:space="preserve">The Authority has also established a provision to meet the potential costs associated with Retained Firefighters’ claims (under the Part-Time Workers (prevention of less favourable treatment) Regulations 2000) concerning employment terms and eligibility to be part of the Firefighters’ Pension Scheme, which is subject to </w:t>
      </w:r>
      <w:r w:rsidR="00BF24AC" w:rsidRPr="00F44519">
        <w:rPr>
          <w:sz w:val="22"/>
        </w:rPr>
        <w:t>negotiation at a national level</w:t>
      </w:r>
      <w:r w:rsidR="008824C0" w:rsidRPr="00F44519">
        <w:rPr>
          <w:sz w:val="22"/>
        </w:rPr>
        <w:t xml:space="preserve">.  </w:t>
      </w:r>
      <w:r w:rsidR="0039467C" w:rsidRPr="00F44519">
        <w:rPr>
          <w:sz w:val="22"/>
        </w:rPr>
        <w:t>T</w:t>
      </w:r>
      <w:r w:rsidR="001C599A" w:rsidRPr="00F44519">
        <w:rPr>
          <w:sz w:val="22"/>
        </w:rPr>
        <w:t xml:space="preserve">he remainder </w:t>
      </w:r>
      <w:r w:rsidR="0039467C" w:rsidRPr="00F44519">
        <w:rPr>
          <w:sz w:val="22"/>
        </w:rPr>
        <w:t xml:space="preserve">of claimants are expected to be resolved </w:t>
      </w:r>
      <w:r w:rsidR="007B03D1" w:rsidRPr="00F44519">
        <w:rPr>
          <w:sz w:val="22"/>
        </w:rPr>
        <w:t>during</w:t>
      </w:r>
      <w:r w:rsidR="00775056" w:rsidRPr="00F44519">
        <w:rPr>
          <w:sz w:val="22"/>
        </w:rPr>
        <w:t xml:space="preserve"> the new financial year.</w:t>
      </w:r>
      <w:r w:rsidR="00775056" w:rsidRPr="007B03D1">
        <w:rPr>
          <w:sz w:val="22"/>
        </w:rPr>
        <w:t xml:space="preserve">  </w:t>
      </w:r>
    </w:p>
    <w:p w:rsidR="007B03D1" w:rsidRDefault="007B03D1" w:rsidP="00D90216">
      <w:pPr>
        <w:pStyle w:val="BodyTextIndent2"/>
        <w:ind w:firstLine="0"/>
        <w:jc w:val="both"/>
        <w:rPr>
          <w:sz w:val="22"/>
        </w:rPr>
      </w:pPr>
    </w:p>
    <w:p w:rsidR="007368F0" w:rsidRDefault="007368F0" w:rsidP="00D90216">
      <w:pPr>
        <w:pStyle w:val="BodyTextIndent2"/>
        <w:ind w:firstLine="0"/>
        <w:jc w:val="both"/>
        <w:rPr>
          <w:sz w:val="22"/>
        </w:rPr>
      </w:pPr>
      <w:r>
        <w:rPr>
          <w:sz w:val="22"/>
          <w:szCs w:val="22"/>
        </w:rPr>
        <w:t xml:space="preserve">The Authority </w:t>
      </w:r>
      <w:r w:rsidR="00063302">
        <w:rPr>
          <w:sz w:val="22"/>
          <w:szCs w:val="22"/>
        </w:rPr>
        <w:t>has also recognised a provision in relation to its share of the Business Rates Collection Fund outstanding appeals, which is calculated and provided by billing authorities based on their assumptions of outstanding appeal success rates</w:t>
      </w:r>
      <w:r w:rsidR="007E0728">
        <w:rPr>
          <w:sz w:val="22"/>
          <w:szCs w:val="22"/>
        </w:rPr>
        <w:t>.</w:t>
      </w:r>
    </w:p>
    <w:p w:rsidR="00D90216" w:rsidRPr="00A60775" w:rsidRDefault="00D90216" w:rsidP="00D90216">
      <w:pPr>
        <w:ind w:left="720"/>
        <w:rPr>
          <w:sz w:val="22"/>
          <w:highlight w:val="cyan"/>
        </w:rPr>
      </w:pPr>
    </w:p>
    <w:p w:rsidR="00D90216" w:rsidRPr="00C34D48" w:rsidRDefault="00D90216" w:rsidP="00D90216">
      <w:pPr>
        <w:pStyle w:val="BodyTextIndent"/>
        <w:jc w:val="both"/>
        <w:rPr>
          <w:sz w:val="22"/>
          <w:lang w:val="en-GB"/>
        </w:rPr>
      </w:pPr>
      <w:r w:rsidRPr="00C34D48">
        <w:rPr>
          <w:sz w:val="22"/>
          <w:lang w:val="en-GB"/>
        </w:rPr>
        <w:t xml:space="preserve">The </w:t>
      </w:r>
      <w:proofErr w:type="gramStart"/>
      <w:r w:rsidRPr="00C34D48">
        <w:rPr>
          <w:sz w:val="22"/>
          <w:lang w:val="en-GB"/>
        </w:rPr>
        <w:t>balances set aside, together with the movement on the provisions, is</w:t>
      </w:r>
      <w:proofErr w:type="gramEnd"/>
      <w:r w:rsidRPr="00C34D48">
        <w:rPr>
          <w:sz w:val="22"/>
          <w:lang w:val="en-GB"/>
        </w:rPr>
        <w:t xml:space="preserve"> shown below:</w:t>
      </w:r>
    </w:p>
    <w:p w:rsidR="00D90216" w:rsidRPr="00A60775" w:rsidRDefault="00D90216" w:rsidP="00D90216">
      <w:pPr>
        <w:ind w:left="720"/>
        <w:rPr>
          <w:sz w:val="22"/>
          <w:highlight w:val="cyan"/>
        </w:rPr>
      </w:pPr>
    </w:p>
    <w:tbl>
      <w:tblPr>
        <w:tblW w:w="10490" w:type="dxa"/>
        <w:tblInd w:w="675" w:type="dxa"/>
        <w:tblLayout w:type="fixed"/>
        <w:tblLook w:val="0000" w:firstRow="0" w:lastRow="0" w:firstColumn="0" w:lastColumn="0" w:noHBand="0" w:noVBand="0"/>
      </w:tblPr>
      <w:tblGrid>
        <w:gridCol w:w="1560"/>
        <w:gridCol w:w="1134"/>
        <w:gridCol w:w="1134"/>
        <w:gridCol w:w="1134"/>
        <w:gridCol w:w="1134"/>
        <w:gridCol w:w="1134"/>
        <w:gridCol w:w="1034"/>
        <w:gridCol w:w="1135"/>
        <w:gridCol w:w="1091"/>
      </w:tblGrid>
      <w:tr w:rsidR="009E031B" w:rsidRPr="00A60775" w:rsidTr="009E031B">
        <w:tc>
          <w:tcPr>
            <w:tcW w:w="1560" w:type="dxa"/>
          </w:tcPr>
          <w:p w:rsidR="009E031B" w:rsidRPr="00A60775" w:rsidRDefault="009E031B" w:rsidP="00CD62E6">
            <w:pPr>
              <w:spacing w:after="120"/>
              <w:rPr>
                <w:sz w:val="22"/>
                <w:highlight w:val="cyan"/>
              </w:rPr>
            </w:pPr>
          </w:p>
        </w:tc>
        <w:tc>
          <w:tcPr>
            <w:tcW w:w="2268" w:type="dxa"/>
            <w:gridSpan w:val="2"/>
            <w:vAlign w:val="center"/>
          </w:tcPr>
          <w:p w:rsidR="009E031B" w:rsidRPr="00C34D48" w:rsidRDefault="009E031B" w:rsidP="00CD62E6">
            <w:pPr>
              <w:spacing w:after="120"/>
              <w:jc w:val="center"/>
              <w:rPr>
                <w:sz w:val="22"/>
              </w:rPr>
            </w:pPr>
            <w:r w:rsidRPr="00C34D48">
              <w:rPr>
                <w:sz w:val="22"/>
              </w:rPr>
              <w:t>Insurance Liabilities</w:t>
            </w:r>
          </w:p>
        </w:tc>
        <w:tc>
          <w:tcPr>
            <w:tcW w:w="2268" w:type="dxa"/>
            <w:gridSpan w:val="2"/>
          </w:tcPr>
          <w:p w:rsidR="009E031B" w:rsidRPr="00C34D48" w:rsidRDefault="009E031B" w:rsidP="00D804F4">
            <w:pPr>
              <w:spacing w:after="120"/>
              <w:jc w:val="center"/>
              <w:rPr>
                <w:sz w:val="22"/>
              </w:rPr>
            </w:pPr>
            <w:r w:rsidRPr="00C34D48">
              <w:rPr>
                <w:sz w:val="22"/>
              </w:rPr>
              <w:t>Part time workers</w:t>
            </w:r>
          </w:p>
        </w:tc>
        <w:tc>
          <w:tcPr>
            <w:tcW w:w="2168" w:type="dxa"/>
            <w:gridSpan w:val="2"/>
          </w:tcPr>
          <w:p w:rsidR="009E031B" w:rsidRPr="00C34D48" w:rsidRDefault="009E031B" w:rsidP="00D804F4">
            <w:pPr>
              <w:spacing w:after="120"/>
              <w:jc w:val="center"/>
              <w:rPr>
                <w:sz w:val="22"/>
              </w:rPr>
            </w:pPr>
            <w:r>
              <w:rPr>
                <w:sz w:val="22"/>
              </w:rPr>
              <w:t>Business rates appeals</w:t>
            </w:r>
          </w:p>
        </w:tc>
        <w:tc>
          <w:tcPr>
            <w:tcW w:w="2226" w:type="dxa"/>
            <w:gridSpan w:val="2"/>
          </w:tcPr>
          <w:p w:rsidR="009E031B" w:rsidRPr="00C34D48" w:rsidRDefault="009E031B" w:rsidP="00D804F4">
            <w:pPr>
              <w:spacing w:after="120"/>
              <w:jc w:val="center"/>
              <w:rPr>
                <w:sz w:val="22"/>
              </w:rPr>
            </w:pPr>
            <w:r w:rsidRPr="00C34D48">
              <w:rPr>
                <w:sz w:val="22"/>
              </w:rPr>
              <w:t>Total</w:t>
            </w:r>
          </w:p>
        </w:tc>
      </w:tr>
      <w:tr w:rsidR="00157C72" w:rsidRPr="00A60775" w:rsidTr="009E031B">
        <w:trPr>
          <w:trHeight w:hRule="exact" w:val="300"/>
        </w:trPr>
        <w:tc>
          <w:tcPr>
            <w:tcW w:w="1560" w:type="dxa"/>
          </w:tcPr>
          <w:p w:rsidR="00157C72" w:rsidRPr="00A60775" w:rsidRDefault="00157C72" w:rsidP="00CD62E6">
            <w:pPr>
              <w:spacing w:after="120"/>
              <w:rPr>
                <w:sz w:val="22"/>
                <w:highlight w:val="cyan"/>
              </w:rPr>
            </w:pPr>
          </w:p>
        </w:tc>
        <w:tc>
          <w:tcPr>
            <w:tcW w:w="1134" w:type="dxa"/>
          </w:tcPr>
          <w:p w:rsidR="00157C72" w:rsidRPr="005024AA" w:rsidRDefault="00157C72" w:rsidP="00157C72">
            <w:pPr>
              <w:pStyle w:val="BodyTextIndent"/>
              <w:ind w:left="0"/>
              <w:jc w:val="center"/>
              <w:rPr>
                <w:sz w:val="22"/>
                <w:lang w:val="en-GB"/>
              </w:rPr>
            </w:pPr>
            <w:r w:rsidRPr="005024AA">
              <w:rPr>
                <w:sz w:val="22"/>
                <w:lang w:val="en-GB"/>
              </w:rPr>
              <w:t>201</w:t>
            </w:r>
            <w:r>
              <w:rPr>
                <w:sz w:val="22"/>
                <w:lang w:val="en-GB"/>
              </w:rPr>
              <w:t>7/18</w:t>
            </w:r>
          </w:p>
        </w:tc>
        <w:tc>
          <w:tcPr>
            <w:tcW w:w="1134" w:type="dxa"/>
          </w:tcPr>
          <w:p w:rsidR="00157C72" w:rsidRDefault="00157C72">
            <w:r w:rsidRPr="005A0D4A">
              <w:rPr>
                <w:sz w:val="22"/>
              </w:rPr>
              <w:t>2016/17</w:t>
            </w:r>
          </w:p>
        </w:tc>
        <w:tc>
          <w:tcPr>
            <w:tcW w:w="1134" w:type="dxa"/>
          </w:tcPr>
          <w:p w:rsidR="00157C72" w:rsidRPr="005024AA" w:rsidRDefault="00157C72" w:rsidP="00903724">
            <w:pPr>
              <w:pStyle w:val="BodyTextIndent"/>
              <w:ind w:left="0"/>
              <w:jc w:val="center"/>
              <w:rPr>
                <w:sz w:val="22"/>
                <w:lang w:val="en-GB"/>
              </w:rPr>
            </w:pPr>
            <w:r w:rsidRPr="005024AA">
              <w:rPr>
                <w:sz w:val="22"/>
                <w:lang w:val="en-GB"/>
              </w:rPr>
              <w:t>201</w:t>
            </w:r>
            <w:r>
              <w:rPr>
                <w:sz w:val="22"/>
                <w:lang w:val="en-GB"/>
              </w:rPr>
              <w:t>7/18</w:t>
            </w:r>
          </w:p>
        </w:tc>
        <w:tc>
          <w:tcPr>
            <w:tcW w:w="1134" w:type="dxa"/>
          </w:tcPr>
          <w:p w:rsidR="00157C72" w:rsidRDefault="00157C72">
            <w:r w:rsidRPr="005A0D4A">
              <w:rPr>
                <w:sz w:val="22"/>
              </w:rPr>
              <w:t>2016/17</w:t>
            </w:r>
          </w:p>
        </w:tc>
        <w:tc>
          <w:tcPr>
            <w:tcW w:w="1134" w:type="dxa"/>
          </w:tcPr>
          <w:p w:rsidR="00157C72" w:rsidRPr="005024AA" w:rsidRDefault="00157C72" w:rsidP="00903724">
            <w:pPr>
              <w:pStyle w:val="BodyTextIndent"/>
              <w:ind w:left="0"/>
              <w:jc w:val="center"/>
              <w:rPr>
                <w:sz w:val="22"/>
                <w:lang w:val="en-GB"/>
              </w:rPr>
            </w:pPr>
            <w:r w:rsidRPr="005024AA">
              <w:rPr>
                <w:sz w:val="22"/>
                <w:lang w:val="en-GB"/>
              </w:rPr>
              <w:t>201</w:t>
            </w:r>
            <w:r>
              <w:rPr>
                <w:sz w:val="22"/>
                <w:lang w:val="en-GB"/>
              </w:rPr>
              <w:t>7/18</w:t>
            </w:r>
          </w:p>
        </w:tc>
        <w:tc>
          <w:tcPr>
            <w:tcW w:w="1034" w:type="dxa"/>
          </w:tcPr>
          <w:p w:rsidR="00157C72" w:rsidRDefault="00157C72">
            <w:r w:rsidRPr="005A0D4A">
              <w:rPr>
                <w:sz w:val="22"/>
              </w:rPr>
              <w:t>2016/17</w:t>
            </w:r>
          </w:p>
        </w:tc>
        <w:tc>
          <w:tcPr>
            <w:tcW w:w="1135" w:type="dxa"/>
          </w:tcPr>
          <w:p w:rsidR="00157C72" w:rsidRPr="005024AA" w:rsidRDefault="00157C72" w:rsidP="00903724">
            <w:pPr>
              <w:pStyle w:val="BodyTextIndent"/>
              <w:ind w:left="0"/>
              <w:jc w:val="center"/>
              <w:rPr>
                <w:sz w:val="22"/>
                <w:lang w:val="en-GB"/>
              </w:rPr>
            </w:pPr>
            <w:r w:rsidRPr="005024AA">
              <w:rPr>
                <w:sz w:val="22"/>
                <w:lang w:val="en-GB"/>
              </w:rPr>
              <w:t>201</w:t>
            </w:r>
            <w:r>
              <w:rPr>
                <w:sz w:val="22"/>
                <w:lang w:val="en-GB"/>
              </w:rPr>
              <w:t>7/18</w:t>
            </w:r>
          </w:p>
        </w:tc>
        <w:tc>
          <w:tcPr>
            <w:tcW w:w="1091" w:type="dxa"/>
          </w:tcPr>
          <w:p w:rsidR="00157C72" w:rsidRDefault="00157C72">
            <w:r w:rsidRPr="005A0D4A">
              <w:rPr>
                <w:sz w:val="22"/>
              </w:rPr>
              <w:t>2016/17</w:t>
            </w:r>
          </w:p>
        </w:tc>
      </w:tr>
      <w:tr w:rsidR="009E031B" w:rsidRPr="00A60775" w:rsidTr="009E031B">
        <w:trPr>
          <w:trHeight w:hRule="exact" w:val="300"/>
        </w:trPr>
        <w:tc>
          <w:tcPr>
            <w:tcW w:w="1560" w:type="dxa"/>
          </w:tcPr>
          <w:p w:rsidR="009E031B" w:rsidRPr="00A60775" w:rsidRDefault="009E031B" w:rsidP="00CD62E6">
            <w:pPr>
              <w:spacing w:after="120"/>
              <w:rPr>
                <w:sz w:val="22"/>
                <w:highlight w:val="cyan"/>
              </w:rPr>
            </w:pPr>
          </w:p>
        </w:tc>
        <w:tc>
          <w:tcPr>
            <w:tcW w:w="1134" w:type="dxa"/>
          </w:tcPr>
          <w:p w:rsidR="009E031B" w:rsidRPr="005E70B7" w:rsidRDefault="009E031B" w:rsidP="00CD62E6">
            <w:pPr>
              <w:jc w:val="center"/>
              <w:rPr>
                <w:sz w:val="22"/>
              </w:rPr>
            </w:pPr>
            <w:r w:rsidRPr="005E70B7">
              <w:rPr>
                <w:sz w:val="22"/>
              </w:rPr>
              <w:t>£000</w:t>
            </w:r>
          </w:p>
        </w:tc>
        <w:tc>
          <w:tcPr>
            <w:tcW w:w="1134" w:type="dxa"/>
          </w:tcPr>
          <w:p w:rsidR="009E031B" w:rsidRPr="005E70B7" w:rsidRDefault="009E031B" w:rsidP="00CD62E6">
            <w:pPr>
              <w:jc w:val="center"/>
              <w:rPr>
                <w:sz w:val="22"/>
              </w:rPr>
            </w:pPr>
            <w:r w:rsidRPr="005E70B7">
              <w:rPr>
                <w:sz w:val="22"/>
              </w:rPr>
              <w:t>£000</w:t>
            </w:r>
          </w:p>
        </w:tc>
        <w:tc>
          <w:tcPr>
            <w:tcW w:w="1134" w:type="dxa"/>
          </w:tcPr>
          <w:p w:rsidR="009E031B" w:rsidRPr="005E70B7" w:rsidRDefault="009E031B" w:rsidP="00CD62E6">
            <w:pPr>
              <w:jc w:val="center"/>
              <w:rPr>
                <w:sz w:val="22"/>
              </w:rPr>
            </w:pPr>
            <w:r w:rsidRPr="005E70B7">
              <w:rPr>
                <w:sz w:val="22"/>
              </w:rPr>
              <w:t>£000</w:t>
            </w:r>
          </w:p>
        </w:tc>
        <w:tc>
          <w:tcPr>
            <w:tcW w:w="1134" w:type="dxa"/>
          </w:tcPr>
          <w:p w:rsidR="009E031B" w:rsidRPr="005E70B7" w:rsidRDefault="009E031B" w:rsidP="0019268A">
            <w:pPr>
              <w:jc w:val="center"/>
              <w:rPr>
                <w:sz w:val="22"/>
              </w:rPr>
            </w:pPr>
            <w:r w:rsidRPr="005E70B7">
              <w:rPr>
                <w:sz w:val="22"/>
              </w:rPr>
              <w:t>£000</w:t>
            </w:r>
          </w:p>
        </w:tc>
        <w:tc>
          <w:tcPr>
            <w:tcW w:w="1134" w:type="dxa"/>
          </w:tcPr>
          <w:p w:rsidR="009E031B" w:rsidRPr="005E70B7" w:rsidRDefault="009E031B" w:rsidP="0019268A">
            <w:pPr>
              <w:jc w:val="center"/>
              <w:rPr>
                <w:sz w:val="22"/>
              </w:rPr>
            </w:pPr>
            <w:r w:rsidRPr="005E70B7">
              <w:rPr>
                <w:sz w:val="22"/>
              </w:rPr>
              <w:t>£000</w:t>
            </w:r>
          </w:p>
        </w:tc>
        <w:tc>
          <w:tcPr>
            <w:tcW w:w="1034" w:type="dxa"/>
          </w:tcPr>
          <w:p w:rsidR="009E031B" w:rsidRPr="005E70B7" w:rsidRDefault="009E031B" w:rsidP="0019268A">
            <w:pPr>
              <w:jc w:val="center"/>
              <w:rPr>
                <w:sz w:val="22"/>
              </w:rPr>
            </w:pPr>
            <w:r w:rsidRPr="005E70B7">
              <w:rPr>
                <w:sz w:val="22"/>
              </w:rPr>
              <w:t>£000</w:t>
            </w:r>
          </w:p>
        </w:tc>
        <w:tc>
          <w:tcPr>
            <w:tcW w:w="1135" w:type="dxa"/>
          </w:tcPr>
          <w:p w:rsidR="009E031B" w:rsidRPr="005E70B7" w:rsidRDefault="009E031B" w:rsidP="0019268A">
            <w:pPr>
              <w:jc w:val="center"/>
              <w:rPr>
                <w:sz w:val="22"/>
              </w:rPr>
            </w:pPr>
            <w:r w:rsidRPr="005E70B7">
              <w:rPr>
                <w:sz w:val="22"/>
              </w:rPr>
              <w:t>£000</w:t>
            </w:r>
          </w:p>
        </w:tc>
        <w:tc>
          <w:tcPr>
            <w:tcW w:w="1091" w:type="dxa"/>
          </w:tcPr>
          <w:p w:rsidR="009E031B" w:rsidRPr="005E70B7" w:rsidRDefault="009E031B" w:rsidP="0019268A">
            <w:pPr>
              <w:jc w:val="center"/>
              <w:rPr>
                <w:sz w:val="22"/>
              </w:rPr>
            </w:pPr>
            <w:r w:rsidRPr="005E70B7">
              <w:rPr>
                <w:sz w:val="22"/>
              </w:rPr>
              <w:t>£000</w:t>
            </w:r>
          </w:p>
        </w:tc>
      </w:tr>
      <w:tr w:rsidR="00903724" w:rsidRPr="00A60775" w:rsidTr="009E031B">
        <w:trPr>
          <w:trHeight w:hRule="exact" w:val="634"/>
        </w:trPr>
        <w:tc>
          <w:tcPr>
            <w:tcW w:w="1560" w:type="dxa"/>
          </w:tcPr>
          <w:p w:rsidR="00903724" w:rsidRPr="00C34D48" w:rsidRDefault="00903724" w:rsidP="00CD62E6">
            <w:pPr>
              <w:spacing w:after="120"/>
              <w:rPr>
                <w:sz w:val="22"/>
              </w:rPr>
            </w:pPr>
            <w:r>
              <w:rPr>
                <w:sz w:val="22"/>
              </w:rPr>
              <w:t>Balance at 1 April</w:t>
            </w:r>
          </w:p>
        </w:tc>
        <w:tc>
          <w:tcPr>
            <w:tcW w:w="1134" w:type="dxa"/>
          </w:tcPr>
          <w:p w:rsidR="00903724" w:rsidRPr="00903724" w:rsidRDefault="00903724" w:rsidP="00903724">
            <w:pPr>
              <w:tabs>
                <w:tab w:val="decimal" w:pos="900"/>
              </w:tabs>
              <w:spacing w:after="120"/>
              <w:rPr>
                <w:sz w:val="22"/>
              </w:rPr>
            </w:pPr>
            <w:r w:rsidRPr="00903724">
              <w:rPr>
                <w:sz w:val="22"/>
              </w:rPr>
              <w:t>1,129</w:t>
            </w:r>
          </w:p>
        </w:tc>
        <w:tc>
          <w:tcPr>
            <w:tcW w:w="1134" w:type="dxa"/>
          </w:tcPr>
          <w:p w:rsidR="00903724" w:rsidRPr="00903724" w:rsidRDefault="00903724" w:rsidP="00903724">
            <w:pPr>
              <w:tabs>
                <w:tab w:val="decimal" w:pos="900"/>
              </w:tabs>
              <w:spacing w:after="120"/>
              <w:rPr>
                <w:sz w:val="22"/>
              </w:rPr>
            </w:pPr>
            <w:r w:rsidRPr="00903724">
              <w:rPr>
                <w:sz w:val="22"/>
              </w:rPr>
              <w:t>1,147</w:t>
            </w:r>
          </w:p>
        </w:tc>
        <w:tc>
          <w:tcPr>
            <w:tcW w:w="1134" w:type="dxa"/>
          </w:tcPr>
          <w:p w:rsidR="00903724" w:rsidRPr="00903724" w:rsidRDefault="00903724" w:rsidP="00981064">
            <w:pPr>
              <w:tabs>
                <w:tab w:val="decimal" w:pos="743"/>
              </w:tabs>
              <w:spacing w:after="120"/>
              <w:rPr>
                <w:sz w:val="22"/>
              </w:rPr>
            </w:pPr>
            <w:r w:rsidRPr="00903724">
              <w:rPr>
                <w:sz w:val="22"/>
              </w:rPr>
              <w:t>21</w:t>
            </w:r>
          </w:p>
        </w:tc>
        <w:tc>
          <w:tcPr>
            <w:tcW w:w="1134" w:type="dxa"/>
          </w:tcPr>
          <w:p w:rsidR="00903724" w:rsidRPr="00903724" w:rsidRDefault="00903724" w:rsidP="00903724">
            <w:pPr>
              <w:tabs>
                <w:tab w:val="decimal" w:pos="743"/>
              </w:tabs>
              <w:spacing w:after="120"/>
              <w:rPr>
                <w:sz w:val="22"/>
              </w:rPr>
            </w:pPr>
            <w:r w:rsidRPr="00903724">
              <w:rPr>
                <w:sz w:val="22"/>
              </w:rPr>
              <w:t>22</w:t>
            </w:r>
          </w:p>
        </w:tc>
        <w:tc>
          <w:tcPr>
            <w:tcW w:w="1134" w:type="dxa"/>
          </w:tcPr>
          <w:p w:rsidR="00903724" w:rsidRPr="00903724" w:rsidRDefault="00903724" w:rsidP="0019268A">
            <w:pPr>
              <w:tabs>
                <w:tab w:val="decimal" w:pos="784"/>
              </w:tabs>
              <w:spacing w:after="120"/>
              <w:rPr>
                <w:sz w:val="22"/>
              </w:rPr>
            </w:pPr>
            <w:r w:rsidRPr="00903724">
              <w:rPr>
                <w:sz w:val="22"/>
              </w:rPr>
              <w:t>613</w:t>
            </w:r>
          </w:p>
        </w:tc>
        <w:tc>
          <w:tcPr>
            <w:tcW w:w="1034" w:type="dxa"/>
          </w:tcPr>
          <w:p w:rsidR="00903724" w:rsidRPr="00903724" w:rsidRDefault="00903724" w:rsidP="00903724">
            <w:pPr>
              <w:tabs>
                <w:tab w:val="decimal" w:pos="784"/>
              </w:tabs>
              <w:spacing w:after="120"/>
              <w:rPr>
                <w:sz w:val="22"/>
              </w:rPr>
            </w:pPr>
            <w:r w:rsidRPr="00903724">
              <w:rPr>
                <w:sz w:val="22"/>
              </w:rPr>
              <w:t>960</w:t>
            </w:r>
          </w:p>
        </w:tc>
        <w:tc>
          <w:tcPr>
            <w:tcW w:w="1135" w:type="dxa"/>
          </w:tcPr>
          <w:p w:rsidR="00903724" w:rsidRPr="00903724" w:rsidRDefault="00903724" w:rsidP="00981064">
            <w:pPr>
              <w:tabs>
                <w:tab w:val="decimal" w:pos="784"/>
              </w:tabs>
              <w:spacing w:after="120"/>
              <w:rPr>
                <w:sz w:val="22"/>
              </w:rPr>
            </w:pPr>
            <w:r w:rsidRPr="00903724">
              <w:rPr>
                <w:sz w:val="22"/>
              </w:rPr>
              <w:t>1,763</w:t>
            </w:r>
          </w:p>
        </w:tc>
        <w:tc>
          <w:tcPr>
            <w:tcW w:w="1091" w:type="dxa"/>
          </w:tcPr>
          <w:p w:rsidR="00903724" w:rsidRPr="00903724" w:rsidRDefault="00903724" w:rsidP="00903724">
            <w:pPr>
              <w:tabs>
                <w:tab w:val="decimal" w:pos="784"/>
              </w:tabs>
              <w:spacing w:after="120"/>
              <w:rPr>
                <w:sz w:val="22"/>
              </w:rPr>
            </w:pPr>
            <w:r w:rsidRPr="00903724">
              <w:rPr>
                <w:sz w:val="22"/>
              </w:rPr>
              <w:t>2,129</w:t>
            </w:r>
          </w:p>
        </w:tc>
      </w:tr>
      <w:tr w:rsidR="00903724" w:rsidRPr="00A60775" w:rsidTr="009E031B">
        <w:trPr>
          <w:trHeight w:hRule="exact" w:val="572"/>
        </w:trPr>
        <w:tc>
          <w:tcPr>
            <w:tcW w:w="1560" w:type="dxa"/>
          </w:tcPr>
          <w:p w:rsidR="00903724" w:rsidRPr="00C34D48" w:rsidRDefault="00903724" w:rsidP="00D804F4">
            <w:pPr>
              <w:spacing w:after="120"/>
              <w:rPr>
                <w:sz w:val="22"/>
              </w:rPr>
            </w:pPr>
            <w:r>
              <w:rPr>
                <w:sz w:val="22"/>
              </w:rPr>
              <w:t>Amounts utilised</w:t>
            </w:r>
          </w:p>
        </w:tc>
        <w:tc>
          <w:tcPr>
            <w:tcW w:w="1134" w:type="dxa"/>
          </w:tcPr>
          <w:p w:rsidR="00903724" w:rsidRPr="00903724" w:rsidRDefault="00F36402" w:rsidP="00446D82">
            <w:pPr>
              <w:tabs>
                <w:tab w:val="decimal" w:pos="900"/>
              </w:tabs>
              <w:spacing w:after="120"/>
              <w:rPr>
                <w:sz w:val="22"/>
              </w:rPr>
            </w:pPr>
            <w:r>
              <w:rPr>
                <w:sz w:val="22"/>
              </w:rPr>
              <w:t>(</w:t>
            </w:r>
            <w:r w:rsidR="00446D82">
              <w:rPr>
                <w:sz w:val="22"/>
              </w:rPr>
              <w:t>6</w:t>
            </w:r>
            <w:r>
              <w:rPr>
                <w:sz w:val="22"/>
              </w:rPr>
              <w:t>)</w:t>
            </w:r>
          </w:p>
        </w:tc>
        <w:tc>
          <w:tcPr>
            <w:tcW w:w="1134" w:type="dxa"/>
          </w:tcPr>
          <w:p w:rsidR="00903724" w:rsidRPr="00903724" w:rsidRDefault="00903724" w:rsidP="00903724">
            <w:pPr>
              <w:tabs>
                <w:tab w:val="decimal" w:pos="900"/>
              </w:tabs>
              <w:spacing w:after="120"/>
              <w:rPr>
                <w:sz w:val="22"/>
              </w:rPr>
            </w:pPr>
            <w:r w:rsidRPr="00903724">
              <w:rPr>
                <w:sz w:val="22"/>
              </w:rPr>
              <w:t>(20)</w:t>
            </w:r>
          </w:p>
        </w:tc>
        <w:tc>
          <w:tcPr>
            <w:tcW w:w="1134" w:type="dxa"/>
          </w:tcPr>
          <w:p w:rsidR="00903724" w:rsidRPr="00903724" w:rsidRDefault="00F36402" w:rsidP="002164A8">
            <w:pPr>
              <w:tabs>
                <w:tab w:val="decimal" w:pos="743"/>
              </w:tabs>
              <w:spacing w:after="120"/>
              <w:rPr>
                <w:sz w:val="22"/>
              </w:rPr>
            </w:pPr>
            <w:r>
              <w:rPr>
                <w:sz w:val="22"/>
              </w:rPr>
              <w:t>-</w:t>
            </w:r>
          </w:p>
        </w:tc>
        <w:tc>
          <w:tcPr>
            <w:tcW w:w="1134" w:type="dxa"/>
          </w:tcPr>
          <w:p w:rsidR="00903724" w:rsidRPr="00903724" w:rsidRDefault="00903724" w:rsidP="00903724">
            <w:pPr>
              <w:tabs>
                <w:tab w:val="decimal" w:pos="743"/>
              </w:tabs>
              <w:spacing w:after="120"/>
              <w:rPr>
                <w:sz w:val="22"/>
              </w:rPr>
            </w:pPr>
            <w:r w:rsidRPr="00903724">
              <w:rPr>
                <w:sz w:val="22"/>
              </w:rPr>
              <w:t>(1)</w:t>
            </w:r>
          </w:p>
        </w:tc>
        <w:tc>
          <w:tcPr>
            <w:tcW w:w="1134" w:type="dxa"/>
          </w:tcPr>
          <w:p w:rsidR="00903724" w:rsidRPr="00903724" w:rsidRDefault="00F36402" w:rsidP="0019268A">
            <w:pPr>
              <w:tabs>
                <w:tab w:val="decimal" w:pos="784"/>
              </w:tabs>
              <w:spacing w:after="120"/>
              <w:rPr>
                <w:sz w:val="22"/>
              </w:rPr>
            </w:pPr>
            <w:r>
              <w:rPr>
                <w:sz w:val="22"/>
              </w:rPr>
              <w:t>-</w:t>
            </w:r>
          </w:p>
        </w:tc>
        <w:tc>
          <w:tcPr>
            <w:tcW w:w="1034" w:type="dxa"/>
          </w:tcPr>
          <w:p w:rsidR="00903724" w:rsidRPr="00903724" w:rsidRDefault="00903724" w:rsidP="00903724">
            <w:pPr>
              <w:tabs>
                <w:tab w:val="decimal" w:pos="784"/>
              </w:tabs>
              <w:spacing w:after="120"/>
              <w:rPr>
                <w:sz w:val="22"/>
              </w:rPr>
            </w:pPr>
            <w:r w:rsidRPr="00903724">
              <w:rPr>
                <w:sz w:val="22"/>
              </w:rPr>
              <w:t>-</w:t>
            </w:r>
          </w:p>
        </w:tc>
        <w:tc>
          <w:tcPr>
            <w:tcW w:w="1135" w:type="dxa"/>
          </w:tcPr>
          <w:p w:rsidR="00903724" w:rsidRPr="00903724" w:rsidRDefault="00446D82" w:rsidP="00446D82">
            <w:pPr>
              <w:tabs>
                <w:tab w:val="decimal" w:pos="784"/>
              </w:tabs>
              <w:spacing w:after="120"/>
              <w:rPr>
                <w:sz w:val="22"/>
              </w:rPr>
            </w:pPr>
            <w:r>
              <w:rPr>
                <w:sz w:val="22"/>
              </w:rPr>
              <w:t>(6)</w:t>
            </w:r>
          </w:p>
        </w:tc>
        <w:tc>
          <w:tcPr>
            <w:tcW w:w="1091" w:type="dxa"/>
          </w:tcPr>
          <w:p w:rsidR="00903724" w:rsidRPr="00903724" w:rsidRDefault="00903724" w:rsidP="00903724">
            <w:pPr>
              <w:tabs>
                <w:tab w:val="decimal" w:pos="784"/>
              </w:tabs>
              <w:spacing w:after="120"/>
              <w:rPr>
                <w:sz w:val="22"/>
              </w:rPr>
            </w:pPr>
            <w:r w:rsidRPr="00903724">
              <w:rPr>
                <w:sz w:val="22"/>
              </w:rPr>
              <w:t>(21)</w:t>
            </w:r>
          </w:p>
        </w:tc>
      </w:tr>
      <w:tr w:rsidR="00903724" w:rsidRPr="00A60775" w:rsidTr="009E031B">
        <w:trPr>
          <w:trHeight w:hRule="exact" w:val="849"/>
        </w:trPr>
        <w:tc>
          <w:tcPr>
            <w:tcW w:w="1560" w:type="dxa"/>
          </w:tcPr>
          <w:p w:rsidR="00903724" w:rsidRPr="00C34D48" w:rsidRDefault="00903724" w:rsidP="00D804F4">
            <w:pPr>
              <w:pStyle w:val="Footer"/>
              <w:tabs>
                <w:tab w:val="clear" w:pos="4153"/>
                <w:tab w:val="clear" w:pos="8306"/>
              </w:tabs>
              <w:rPr>
                <w:sz w:val="22"/>
              </w:rPr>
            </w:pPr>
            <w:r w:rsidRPr="00C34D48">
              <w:rPr>
                <w:sz w:val="22"/>
              </w:rPr>
              <w:t>Un</w:t>
            </w:r>
            <w:r>
              <w:rPr>
                <w:sz w:val="22"/>
              </w:rPr>
              <w:t>used amounts reversed</w:t>
            </w:r>
          </w:p>
        </w:tc>
        <w:tc>
          <w:tcPr>
            <w:tcW w:w="1134" w:type="dxa"/>
          </w:tcPr>
          <w:p w:rsidR="00903724" w:rsidRPr="00903724" w:rsidRDefault="00F36402" w:rsidP="007B03D1">
            <w:pPr>
              <w:tabs>
                <w:tab w:val="decimal" w:pos="900"/>
              </w:tabs>
              <w:spacing w:after="120"/>
              <w:rPr>
                <w:sz w:val="22"/>
              </w:rPr>
            </w:pPr>
            <w:r>
              <w:rPr>
                <w:sz w:val="22"/>
              </w:rPr>
              <w:t>(799)</w:t>
            </w:r>
          </w:p>
        </w:tc>
        <w:tc>
          <w:tcPr>
            <w:tcW w:w="1134" w:type="dxa"/>
          </w:tcPr>
          <w:p w:rsidR="00903724" w:rsidRPr="00903724" w:rsidRDefault="00903724" w:rsidP="00903724">
            <w:pPr>
              <w:tabs>
                <w:tab w:val="decimal" w:pos="900"/>
              </w:tabs>
              <w:spacing w:after="120"/>
              <w:rPr>
                <w:sz w:val="22"/>
              </w:rPr>
            </w:pPr>
            <w:r w:rsidRPr="00903724">
              <w:rPr>
                <w:sz w:val="22"/>
              </w:rPr>
              <w:t>(347)</w:t>
            </w:r>
          </w:p>
        </w:tc>
        <w:tc>
          <w:tcPr>
            <w:tcW w:w="1134" w:type="dxa"/>
          </w:tcPr>
          <w:p w:rsidR="00903724" w:rsidRPr="00903724" w:rsidRDefault="00F36402" w:rsidP="002164A8">
            <w:pPr>
              <w:tabs>
                <w:tab w:val="decimal" w:pos="743"/>
              </w:tabs>
              <w:spacing w:after="120"/>
              <w:rPr>
                <w:sz w:val="22"/>
              </w:rPr>
            </w:pPr>
            <w:r>
              <w:rPr>
                <w:sz w:val="22"/>
              </w:rPr>
              <w:t>-</w:t>
            </w:r>
          </w:p>
        </w:tc>
        <w:tc>
          <w:tcPr>
            <w:tcW w:w="1134" w:type="dxa"/>
          </w:tcPr>
          <w:p w:rsidR="00903724" w:rsidRPr="00903724" w:rsidRDefault="00903724" w:rsidP="00903724">
            <w:pPr>
              <w:tabs>
                <w:tab w:val="decimal" w:pos="743"/>
              </w:tabs>
              <w:spacing w:after="120"/>
              <w:rPr>
                <w:sz w:val="22"/>
              </w:rPr>
            </w:pPr>
            <w:r w:rsidRPr="00903724">
              <w:rPr>
                <w:sz w:val="22"/>
              </w:rPr>
              <w:t>-</w:t>
            </w:r>
          </w:p>
        </w:tc>
        <w:tc>
          <w:tcPr>
            <w:tcW w:w="1134" w:type="dxa"/>
          </w:tcPr>
          <w:p w:rsidR="00903724" w:rsidRPr="00903724" w:rsidRDefault="00446D82" w:rsidP="0019268A">
            <w:pPr>
              <w:tabs>
                <w:tab w:val="decimal" w:pos="784"/>
              </w:tabs>
              <w:spacing w:after="120"/>
              <w:rPr>
                <w:sz w:val="22"/>
              </w:rPr>
            </w:pPr>
            <w:r>
              <w:rPr>
                <w:sz w:val="22"/>
              </w:rPr>
              <w:t>-</w:t>
            </w:r>
          </w:p>
        </w:tc>
        <w:tc>
          <w:tcPr>
            <w:tcW w:w="1034" w:type="dxa"/>
          </w:tcPr>
          <w:p w:rsidR="00903724" w:rsidRPr="00903724" w:rsidRDefault="00903724" w:rsidP="00903724">
            <w:pPr>
              <w:tabs>
                <w:tab w:val="decimal" w:pos="784"/>
              </w:tabs>
              <w:spacing w:after="120"/>
              <w:rPr>
                <w:sz w:val="22"/>
              </w:rPr>
            </w:pPr>
            <w:r w:rsidRPr="00903724">
              <w:rPr>
                <w:sz w:val="22"/>
              </w:rPr>
              <w:t>(347)</w:t>
            </w:r>
          </w:p>
        </w:tc>
        <w:tc>
          <w:tcPr>
            <w:tcW w:w="1135" w:type="dxa"/>
          </w:tcPr>
          <w:p w:rsidR="00903724" w:rsidRPr="00903724" w:rsidRDefault="00446D82" w:rsidP="006B67AB">
            <w:pPr>
              <w:tabs>
                <w:tab w:val="decimal" w:pos="784"/>
              </w:tabs>
              <w:spacing w:after="120"/>
              <w:rPr>
                <w:sz w:val="22"/>
              </w:rPr>
            </w:pPr>
            <w:r>
              <w:rPr>
                <w:sz w:val="22"/>
              </w:rPr>
              <w:t>(799)</w:t>
            </w:r>
          </w:p>
        </w:tc>
        <w:tc>
          <w:tcPr>
            <w:tcW w:w="1091" w:type="dxa"/>
          </w:tcPr>
          <w:p w:rsidR="00903724" w:rsidRPr="00903724" w:rsidRDefault="00903724" w:rsidP="00903724">
            <w:pPr>
              <w:tabs>
                <w:tab w:val="decimal" w:pos="784"/>
              </w:tabs>
              <w:spacing w:after="120"/>
              <w:rPr>
                <w:sz w:val="22"/>
              </w:rPr>
            </w:pPr>
            <w:r w:rsidRPr="00903724">
              <w:rPr>
                <w:sz w:val="22"/>
              </w:rPr>
              <w:t>(694)</w:t>
            </w:r>
          </w:p>
        </w:tc>
      </w:tr>
      <w:tr w:rsidR="00903724" w:rsidRPr="00A60775" w:rsidTr="009E031B">
        <w:trPr>
          <w:trHeight w:hRule="exact" w:val="564"/>
        </w:trPr>
        <w:tc>
          <w:tcPr>
            <w:tcW w:w="1560" w:type="dxa"/>
          </w:tcPr>
          <w:p w:rsidR="00903724" w:rsidRPr="00C34D48" w:rsidRDefault="00903724" w:rsidP="00CD62E6">
            <w:pPr>
              <w:pStyle w:val="Footer"/>
              <w:tabs>
                <w:tab w:val="clear" w:pos="4153"/>
                <w:tab w:val="clear" w:pos="8306"/>
              </w:tabs>
              <w:rPr>
                <w:sz w:val="22"/>
              </w:rPr>
            </w:pPr>
            <w:r>
              <w:rPr>
                <w:sz w:val="22"/>
              </w:rPr>
              <w:t>Additional provision</w:t>
            </w:r>
          </w:p>
        </w:tc>
        <w:tc>
          <w:tcPr>
            <w:tcW w:w="1134" w:type="dxa"/>
          </w:tcPr>
          <w:p w:rsidR="00903724" w:rsidRPr="00903724" w:rsidRDefault="00F36402" w:rsidP="00CD62E6">
            <w:pPr>
              <w:pStyle w:val="Footer"/>
              <w:tabs>
                <w:tab w:val="clear" w:pos="4153"/>
                <w:tab w:val="clear" w:pos="8306"/>
                <w:tab w:val="decimal" w:pos="900"/>
              </w:tabs>
              <w:rPr>
                <w:sz w:val="22"/>
              </w:rPr>
            </w:pPr>
            <w:r>
              <w:rPr>
                <w:sz w:val="22"/>
              </w:rPr>
              <w:t>110</w:t>
            </w:r>
          </w:p>
        </w:tc>
        <w:tc>
          <w:tcPr>
            <w:tcW w:w="1134" w:type="dxa"/>
          </w:tcPr>
          <w:p w:rsidR="00903724" w:rsidRPr="00903724" w:rsidRDefault="00903724" w:rsidP="00903724">
            <w:pPr>
              <w:pStyle w:val="Footer"/>
              <w:tabs>
                <w:tab w:val="clear" w:pos="4153"/>
                <w:tab w:val="clear" w:pos="8306"/>
                <w:tab w:val="decimal" w:pos="900"/>
              </w:tabs>
              <w:rPr>
                <w:sz w:val="22"/>
              </w:rPr>
            </w:pPr>
            <w:r w:rsidRPr="00903724">
              <w:rPr>
                <w:sz w:val="22"/>
              </w:rPr>
              <w:t>349</w:t>
            </w:r>
          </w:p>
        </w:tc>
        <w:tc>
          <w:tcPr>
            <w:tcW w:w="1134" w:type="dxa"/>
          </w:tcPr>
          <w:p w:rsidR="00903724" w:rsidRPr="00903724" w:rsidRDefault="00F36402" w:rsidP="002164A8">
            <w:pPr>
              <w:pStyle w:val="Footer"/>
              <w:tabs>
                <w:tab w:val="clear" w:pos="4153"/>
                <w:tab w:val="clear" w:pos="8306"/>
                <w:tab w:val="decimal" w:pos="743"/>
              </w:tabs>
              <w:rPr>
                <w:sz w:val="22"/>
              </w:rPr>
            </w:pPr>
            <w:r>
              <w:rPr>
                <w:sz w:val="22"/>
              </w:rPr>
              <w:t>1</w:t>
            </w:r>
          </w:p>
        </w:tc>
        <w:tc>
          <w:tcPr>
            <w:tcW w:w="1134" w:type="dxa"/>
          </w:tcPr>
          <w:p w:rsidR="00903724" w:rsidRPr="00903724" w:rsidRDefault="00903724" w:rsidP="00903724">
            <w:pPr>
              <w:pStyle w:val="Footer"/>
              <w:tabs>
                <w:tab w:val="clear" w:pos="4153"/>
                <w:tab w:val="clear" w:pos="8306"/>
                <w:tab w:val="decimal" w:pos="743"/>
              </w:tabs>
              <w:rPr>
                <w:sz w:val="22"/>
              </w:rPr>
            </w:pPr>
            <w:r w:rsidRPr="00903724">
              <w:rPr>
                <w:sz w:val="22"/>
              </w:rPr>
              <w:t>-</w:t>
            </w:r>
          </w:p>
        </w:tc>
        <w:tc>
          <w:tcPr>
            <w:tcW w:w="1134" w:type="dxa"/>
          </w:tcPr>
          <w:p w:rsidR="00903724" w:rsidRPr="00903724" w:rsidRDefault="00446D82" w:rsidP="0019268A">
            <w:pPr>
              <w:pStyle w:val="Footer"/>
              <w:tabs>
                <w:tab w:val="clear" w:pos="4153"/>
                <w:tab w:val="clear" w:pos="8306"/>
                <w:tab w:val="decimal" w:pos="784"/>
              </w:tabs>
              <w:rPr>
                <w:sz w:val="22"/>
              </w:rPr>
            </w:pPr>
            <w:r>
              <w:rPr>
                <w:sz w:val="22"/>
              </w:rPr>
              <w:t>15</w:t>
            </w:r>
          </w:p>
        </w:tc>
        <w:tc>
          <w:tcPr>
            <w:tcW w:w="1034" w:type="dxa"/>
          </w:tcPr>
          <w:p w:rsidR="00903724" w:rsidRPr="00903724" w:rsidRDefault="00903724" w:rsidP="00903724">
            <w:pPr>
              <w:pStyle w:val="Footer"/>
              <w:tabs>
                <w:tab w:val="clear" w:pos="4153"/>
                <w:tab w:val="clear" w:pos="8306"/>
                <w:tab w:val="decimal" w:pos="784"/>
              </w:tabs>
              <w:rPr>
                <w:sz w:val="22"/>
              </w:rPr>
            </w:pPr>
            <w:r w:rsidRPr="00903724">
              <w:rPr>
                <w:sz w:val="22"/>
              </w:rPr>
              <w:t>-</w:t>
            </w:r>
          </w:p>
        </w:tc>
        <w:tc>
          <w:tcPr>
            <w:tcW w:w="1135" w:type="dxa"/>
          </w:tcPr>
          <w:p w:rsidR="00903724" w:rsidRPr="00903724" w:rsidRDefault="00446D82" w:rsidP="0019268A">
            <w:pPr>
              <w:pStyle w:val="Footer"/>
              <w:tabs>
                <w:tab w:val="clear" w:pos="4153"/>
                <w:tab w:val="clear" w:pos="8306"/>
                <w:tab w:val="decimal" w:pos="784"/>
              </w:tabs>
              <w:rPr>
                <w:sz w:val="22"/>
              </w:rPr>
            </w:pPr>
            <w:r>
              <w:rPr>
                <w:sz w:val="22"/>
              </w:rPr>
              <w:t>125</w:t>
            </w:r>
          </w:p>
        </w:tc>
        <w:tc>
          <w:tcPr>
            <w:tcW w:w="1091" w:type="dxa"/>
          </w:tcPr>
          <w:p w:rsidR="00903724" w:rsidRPr="00903724" w:rsidRDefault="00903724" w:rsidP="00903724">
            <w:pPr>
              <w:pStyle w:val="Footer"/>
              <w:tabs>
                <w:tab w:val="clear" w:pos="4153"/>
                <w:tab w:val="clear" w:pos="8306"/>
                <w:tab w:val="decimal" w:pos="784"/>
              </w:tabs>
              <w:rPr>
                <w:sz w:val="22"/>
              </w:rPr>
            </w:pPr>
            <w:r w:rsidRPr="00903724">
              <w:rPr>
                <w:sz w:val="22"/>
              </w:rPr>
              <w:t>349</w:t>
            </w:r>
          </w:p>
        </w:tc>
      </w:tr>
      <w:tr w:rsidR="00903724" w:rsidRPr="00A60775" w:rsidTr="009E031B">
        <w:trPr>
          <w:trHeight w:hRule="exact" w:val="569"/>
        </w:trPr>
        <w:tc>
          <w:tcPr>
            <w:tcW w:w="1560" w:type="dxa"/>
          </w:tcPr>
          <w:p w:rsidR="00903724" w:rsidRPr="00C34D48" w:rsidRDefault="00903724" w:rsidP="00CD62E6">
            <w:pPr>
              <w:pStyle w:val="Footer"/>
              <w:tabs>
                <w:tab w:val="clear" w:pos="4153"/>
                <w:tab w:val="clear" w:pos="8306"/>
              </w:tabs>
              <w:rPr>
                <w:sz w:val="22"/>
              </w:rPr>
            </w:pPr>
            <w:r>
              <w:rPr>
                <w:sz w:val="22"/>
              </w:rPr>
              <w:t>Balance at 31 March</w:t>
            </w:r>
          </w:p>
        </w:tc>
        <w:tc>
          <w:tcPr>
            <w:tcW w:w="1134" w:type="dxa"/>
            <w:tcBorders>
              <w:top w:val="single" w:sz="4" w:space="0" w:color="auto"/>
              <w:bottom w:val="double" w:sz="4" w:space="0" w:color="auto"/>
            </w:tcBorders>
          </w:tcPr>
          <w:p w:rsidR="00903724" w:rsidRPr="00903724" w:rsidRDefault="00F36402" w:rsidP="00446D82">
            <w:pPr>
              <w:pStyle w:val="Footer"/>
              <w:tabs>
                <w:tab w:val="clear" w:pos="4153"/>
                <w:tab w:val="clear" w:pos="8306"/>
                <w:tab w:val="decimal" w:pos="900"/>
              </w:tabs>
              <w:rPr>
                <w:sz w:val="22"/>
              </w:rPr>
            </w:pPr>
            <w:r>
              <w:rPr>
                <w:sz w:val="22"/>
              </w:rPr>
              <w:t>43</w:t>
            </w:r>
            <w:r w:rsidR="00446D82">
              <w:rPr>
                <w:sz w:val="22"/>
              </w:rPr>
              <w:t>4</w:t>
            </w:r>
          </w:p>
        </w:tc>
        <w:tc>
          <w:tcPr>
            <w:tcW w:w="1134" w:type="dxa"/>
            <w:tcBorders>
              <w:top w:val="single" w:sz="4" w:space="0" w:color="auto"/>
              <w:bottom w:val="double" w:sz="4" w:space="0" w:color="auto"/>
            </w:tcBorders>
          </w:tcPr>
          <w:p w:rsidR="00903724" w:rsidRPr="00903724" w:rsidRDefault="00903724" w:rsidP="00903724">
            <w:pPr>
              <w:pStyle w:val="Footer"/>
              <w:tabs>
                <w:tab w:val="clear" w:pos="4153"/>
                <w:tab w:val="clear" w:pos="8306"/>
                <w:tab w:val="decimal" w:pos="900"/>
              </w:tabs>
              <w:rPr>
                <w:sz w:val="22"/>
              </w:rPr>
            </w:pPr>
            <w:r w:rsidRPr="00903724">
              <w:rPr>
                <w:sz w:val="22"/>
              </w:rPr>
              <w:t>1,129</w:t>
            </w:r>
          </w:p>
        </w:tc>
        <w:tc>
          <w:tcPr>
            <w:tcW w:w="1134" w:type="dxa"/>
            <w:tcBorders>
              <w:top w:val="single" w:sz="4" w:space="0" w:color="auto"/>
              <w:bottom w:val="double" w:sz="4" w:space="0" w:color="auto"/>
            </w:tcBorders>
          </w:tcPr>
          <w:p w:rsidR="00903724" w:rsidRPr="00903724" w:rsidRDefault="00F36402" w:rsidP="00200413">
            <w:pPr>
              <w:pStyle w:val="Footer"/>
              <w:tabs>
                <w:tab w:val="clear" w:pos="4153"/>
                <w:tab w:val="clear" w:pos="8306"/>
                <w:tab w:val="decimal" w:pos="743"/>
              </w:tabs>
              <w:rPr>
                <w:sz w:val="22"/>
              </w:rPr>
            </w:pPr>
            <w:r>
              <w:rPr>
                <w:sz w:val="22"/>
              </w:rPr>
              <w:t>22</w:t>
            </w:r>
          </w:p>
        </w:tc>
        <w:tc>
          <w:tcPr>
            <w:tcW w:w="1134" w:type="dxa"/>
            <w:tcBorders>
              <w:top w:val="single" w:sz="4" w:space="0" w:color="auto"/>
              <w:bottom w:val="double" w:sz="4" w:space="0" w:color="auto"/>
            </w:tcBorders>
          </w:tcPr>
          <w:p w:rsidR="00903724" w:rsidRPr="00903724" w:rsidRDefault="00903724" w:rsidP="00903724">
            <w:pPr>
              <w:pStyle w:val="Footer"/>
              <w:tabs>
                <w:tab w:val="clear" w:pos="4153"/>
                <w:tab w:val="clear" w:pos="8306"/>
                <w:tab w:val="decimal" w:pos="743"/>
              </w:tabs>
              <w:rPr>
                <w:sz w:val="22"/>
              </w:rPr>
            </w:pPr>
            <w:r w:rsidRPr="00903724">
              <w:rPr>
                <w:sz w:val="22"/>
              </w:rPr>
              <w:t>21</w:t>
            </w:r>
          </w:p>
        </w:tc>
        <w:tc>
          <w:tcPr>
            <w:tcW w:w="1134" w:type="dxa"/>
            <w:tcBorders>
              <w:top w:val="single" w:sz="4" w:space="0" w:color="auto"/>
              <w:bottom w:val="double" w:sz="4" w:space="0" w:color="auto"/>
            </w:tcBorders>
          </w:tcPr>
          <w:p w:rsidR="00903724" w:rsidRPr="00903724" w:rsidRDefault="00446D82" w:rsidP="0019268A">
            <w:pPr>
              <w:pStyle w:val="Footer"/>
              <w:tabs>
                <w:tab w:val="clear" w:pos="4153"/>
                <w:tab w:val="clear" w:pos="8306"/>
                <w:tab w:val="decimal" w:pos="784"/>
              </w:tabs>
              <w:rPr>
                <w:sz w:val="22"/>
              </w:rPr>
            </w:pPr>
            <w:r>
              <w:rPr>
                <w:sz w:val="22"/>
              </w:rPr>
              <w:t>628</w:t>
            </w:r>
          </w:p>
        </w:tc>
        <w:tc>
          <w:tcPr>
            <w:tcW w:w="1034" w:type="dxa"/>
            <w:tcBorders>
              <w:top w:val="single" w:sz="4" w:space="0" w:color="auto"/>
              <w:bottom w:val="double" w:sz="4" w:space="0" w:color="auto"/>
            </w:tcBorders>
          </w:tcPr>
          <w:p w:rsidR="00903724" w:rsidRPr="00903724" w:rsidRDefault="00903724" w:rsidP="00903724">
            <w:pPr>
              <w:pStyle w:val="Footer"/>
              <w:tabs>
                <w:tab w:val="clear" w:pos="4153"/>
                <w:tab w:val="clear" w:pos="8306"/>
                <w:tab w:val="decimal" w:pos="784"/>
              </w:tabs>
              <w:rPr>
                <w:sz w:val="22"/>
              </w:rPr>
            </w:pPr>
            <w:r w:rsidRPr="00903724">
              <w:rPr>
                <w:sz w:val="22"/>
              </w:rPr>
              <w:t>613</w:t>
            </w:r>
          </w:p>
        </w:tc>
        <w:tc>
          <w:tcPr>
            <w:tcW w:w="1135" w:type="dxa"/>
            <w:tcBorders>
              <w:top w:val="single" w:sz="4" w:space="0" w:color="auto"/>
              <w:bottom w:val="double" w:sz="4" w:space="0" w:color="auto"/>
            </w:tcBorders>
          </w:tcPr>
          <w:p w:rsidR="00903724" w:rsidRPr="00903724" w:rsidRDefault="00446D82" w:rsidP="0084727E">
            <w:pPr>
              <w:pStyle w:val="Footer"/>
              <w:tabs>
                <w:tab w:val="clear" w:pos="4153"/>
                <w:tab w:val="clear" w:pos="8306"/>
                <w:tab w:val="decimal" w:pos="784"/>
              </w:tabs>
              <w:rPr>
                <w:sz w:val="22"/>
              </w:rPr>
            </w:pPr>
            <w:r>
              <w:rPr>
                <w:sz w:val="22"/>
              </w:rPr>
              <w:t>1,084</w:t>
            </w:r>
          </w:p>
        </w:tc>
        <w:tc>
          <w:tcPr>
            <w:tcW w:w="1091" w:type="dxa"/>
            <w:tcBorders>
              <w:top w:val="single" w:sz="4" w:space="0" w:color="auto"/>
              <w:bottom w:val="double" w:sz="4" w:space="0" w:color="auto"/>
            </w:tcBorders>
          </w:tcPr>
          <w:p w:rsidR="00903724" w:rsidRPr="00903724" w:rsidRDefault="00903724" w:rsidP="00903724">
            <w:pPr>
              <w:pStyle w:val="Footer"/>
              <w:tabs>
                <w:tab w:val="clear" w:pos="4153"/>
                <w:tab w:val="clear" w:pos="8306"/>
                <w:tab w:val="decimal" w:pos="784"/>
              </w:tabs>
              <w:rPr>
                <w:sz w:val="22"/>
              </w:rPr>
            </w:pPr>
            <w:r w:rsidRPr="00903724">
              <w:rPr>
                <w:sz w:val="22"/>
              </w:rPr>
              <w:t>1,763</w:t>
            </w:r>
          </w:p>
        </w:tc>
      </w:tr>
    </w:tbl>
    <w:p w:rsidR="00D90216" w:rsidRDefault="00D90216" w:rsidP="0045781E">
      <w:pPr>
        <w:rPr>
          <w:b/>
          <w:sz w:val="22"/>
          <w:highlight w:val="cyan"/>
        </w:rPr>
      </w:pPr>
    </w:p>
    <w:p w:rsidR="000D7D67" w:rsidRDefault="00D90216" w:rsidP="00D90216">
      <w:pPr>
        <w:rPr>
          <w:b/>
          <w:sz w:val="22"/>
        </w:rPr>
      </w:pPr>
      <w:r>
        <w:rPr>
          <w:b/>
          <w:sz w:val="22"/>
        </w:rPr>
        <w:t>1</w:t>
      </w:r>
      <w:r w:rsidR="00903724">
        <w:rPr>
          <w:b/>
          <w:sz w:val="22"/>
        </w:rPr>
        <w:t>3</w:t>
      </w:r>
      <w:r w:rsidRPr="001F7F67">
        <w:rPr>
          <w:b/>
          <w:sz w:val="22"/>
        </w:rPr>
        <w:tab/>
      </w:r>
      <w:r w:rsidR="000D7D67">
        <w:rPr>
          <w:b/>
          <w:sz w:val="22"/>
        </w:rPr>
        <w:t>Other Long Term Liabilities</w:t>
      </w:r>
    </w:p>
    <w:p w:rsidR="000D7D67" w:rsidRPr="000D7D67" w:rsidRDefault="000D7D67" w:rsidP="00D90216">
      <w:pPr>
        <w:rPr>
          <w:sz w:val="22"/>
        </w:rPr>
      </w:pPr>
    </w:p>
    <w:p w:rsidR="000D7D67" w:rsidRPr="000D7D67" w:rsidRDefault="000D7D67" w:rsidP="000D7D67">
      <w:pPr>
        <w:pStyle w:val="01-NormInd1-BB"/>
        <w:rPr>
          <w:rFonts w:eastAsia="Times New Roman"/>
        </w:rPr>
      </w:pPr>
      <w:r w:rsidRPr="000D7D67">
        <w:rPr>
          <w:rFonts w:eastAsia="Times New Roman"/>
        </w:rPr>
        <w:t xml:space="preserve">Other </w:t>
      </w:r>
      <w:r>
        <w:rPr>
          <w:rFonts w:eastAsia="Times New Roman"/>
        </w:rPr>
        <w:t>long term liabilities comprise the following:</w:t>
      </w:r>
    </w:p>
    <w:p w:rsidR="000D7D67" w:rsidRPr="000D7D67" w:rsidRDefault="000D7D67" w:rsidP="000D7D67">
      <w:pPr>
        <w:pStyle w:val="01-NormInd1-BB"/>
        <w:rPr>
          <w:rFonts w:eastAsia="Times New Roman"/>
        </w:rPr>
      </w:pPr>
    </w:p>
    <w:tbl>
      <w:tblPr>
        <w:tblW w:w="7513" w:type="dxa"/>
        <w:tblInd w:w="675" w:type="dxa"/>
        <w:tblLook w:val="01E0" w:firstRow="1" w:lastRow="1" w:firstColumn="1" w:lastColumn="1" w:noHBand="0" w:noVBand="0"/>
      </w:tblPr>
      <w:tblGrid>
        <w:gridCol w:w="4395"/>
        <w:gridCol w:w="1559"/>
        <w:gridCol w:w="1559"/>
      </w:tblGrid>
      <w:tr w:rsidR="00903724" w:rsidRPr="00D72DD9" w:rsidTr="00D72DD9">
        <w:tc>
          <w:tcPr>
            <w:tcW w:w="4395" w:type="dxa"/>
            <w:shd w:val="clear" w:color="auto" w:fill="auto"/>
          </w:tcPr>
          <w:p w:rsidR="00903724" w:rsidRPr="00D72DD9" w:rsidRDefault="00903724" w:rsidP="00D72DD9">
            <w:pPr>
              <w:jc w:val="both"/>
              <w:rPr>
                <w:b/>
                <w:sz w:val="22"/>
              </w:rPr>
            </w:pPr>
          </w:p>
        </w:tc>
        <w:tc>
          <w:tcPr>
            <w:tcW w:w="1559" w:type="dxa"/>
            <w:shd w:val="clear" w:color="auto" w:fill="auto"/>
          </w:tcPr>
          <w:p w:rsidR="00903724" w:rsidRPr="005024AA" w:rsidRDefault="00903724" w:rsidP="00903724">
            <w:pPr>
              <w:pStyle w:val="BodyTextIndent"/>
              <w:ind w:left="0"/>
              <w:jc w:val="center"/>
              <w:rPr>
                <w:sz w:val="22"/>
                <w:lang w:val="en-GB"/>
              </w:rPr>
            </w:pPr>
            <w:r w:rsidRPr="005024AA">
              <w:rPr>
                <w:sz w:val="22"/>
                <w:lang w:val="en-GB"/>
              </w:rPr>
              <w:t>201</w:t>
            </w:r>
            <w:r>
              <w:rPr>
                <w:sz w:val="22"/>
                <w:lang w:val="en-GB"/>
              </w:rPr>
              <w:t>7/18</w:t>
            </w:r>
          </w:p>
        </w:tc>
        <w:tc>
          <w:tcPr>
            <w:tcW w:w="1559" w:type="dxa"/>
            <w:shd w:val="clear" w:color="auto" w:fill="auto"/>
          </w:tcPr>
          <w:p w:rsidR="00903724" w:rsidRDefault="00903724" w:rsidP="00903724">
            <w:r w:rsidRPr="005A0D4A">
              <w:rPr>
                <w:sz w:val="22"/>
              </w:rPr>
              <w:t>2016/17</w:t>
            </w:r>
          </w:p>
        </w:tc>
      </w:tr>
      <w:tr w:rsidR="00C73140" w:rsidRPr="00D72DD9" w:rsidTr="00D72DD9">
        <w:tc>
          <w:tcPr>
            <w:tcW w:w="4395" w:type="dxa"/>
            <w:shd w:val="clear" w:color="auto" w:fill="auto"/>
          </w:tcPr>
          <w:p w:rsidR="00C73140" w:rsidRPr="00D72DD9" w:rsidRDefault="00C73140" w:rsidP="00D72DD9">
            <w:pPr>
              <w:jc w:val="both"/>
              <w:rPr>
                <w:sz w:val="22"/>
                <w:szCs w:val="22"/>
              </w:rPr>
            </w:pPr>
          </w:p>
        </w:tc>
        <w:tc>
          <w:tcPr>
            <w:tcW w:w="1559" w:type="dxa"/>
            <w:shd w:val="clear" w:color="auto" w:fill="auto"/>
          </w:tcPr>
          <w:p w:rsidR="00C73140" w:rsidRPr="00D72DD9" w:rsidRDefault="00C73140" w:rsidP="00C73140">
            <w:pPr>
              <w:jc w:val="center"/>
              <w:rPr>
                <w:sz w:val="22"/>
                <w:szCs w:val="22"/>
              </w:rPr>
            </w:pPr>
            <w:r>
              <w:rPr>
                <w:sz w:val="22"/>
                <w:szCs w:val="22"/>
              </w:rPr>
              <w:t>£000</w:t>
            </w:r>
          </w:p>
        </w:tc>
        <w:tc>
          <w:tcPr>
            <w:tcW w:w="1559" w:type="dxa"/>
            <w:shd w:val="clear" w:color="auto" w:fill="auto"/>
          </w:tcPr>
          <w:p w:rsidR="00C73140" w:rsidRPr="00D72DD9" w:rsidRDefault="00C73140" w:rsidP="00C73140">
            <w:pPr>
              <w:jc w:val="center"/>
              <w:rPr>
                <w:sz w:val="22"/>
                <w:szCs w:val="22"/>
              </w:rPr>
            </w:pPr>
            <w:r>
              <w:rPr>
                <w:sz w:val="22"/>
                <w:szCs w:val="22"/>
              </w:rPr>
              <w:t>£000</w:t>
            </w:r>
          </w:p>
        </w:tc>
      </w:tr>
      <w:tr w:rsidR="00B04924" w:rsidRPr="00D72DD9" w:rsidTr="00D72DD9">
        <w:tc>
          <w:tcPr>
            <w:tcW w:w="4395" w:type="dxa"/>
            <w:shd w:val="clear" w:color="auto" w:fill="auto"/>
          </w:tcPr>
          <w:p w:rsidR="00B04924" w:rsidRPr="00D72DD9" w:rsidRDefault="00B04924" w:rsidP="00D72DD9">
            <w:pPr>
              <w:jc w:val="both"/>
              <w:rPr>
                <w:sz w:val="22"/>
                <w:szCs w:val="22"/>
              </w:rPr>
            </w:pPr>
          </w:p>
        </w:tc>
        <w:tc>
          <w:tcPr>
            <w:tcW w:w="1559" w:type="dxa"/>
            <w:shd w:val="clear" w:color="auto" w:fill="auto"/>
          </w:tcPr>
          <w:p w:rsidR="00B04924" w:rsidRPr="00D72DD9" w:rsidRDefault="00B04924" w:rsidP="00D72DD9">
            <w:pPr>
              <w:jc w:val="both"/>
              <w:rPr>
                <w:sz w:val="22"/>
                <w:szCs w:val="22"/>
              </w:rPr>
            </w:pPr>
          </w:p>
        </w:tc>
        <w:tc>
          <w:tcPr>
            <w:tcW w:w="1559" w:type="dxa"/>
            <w:shd w:val="clear" w:color="auto" w:fill="auto"/>
          </w:tcPr>
          <w:p w:rsidR="00B04924" w:rsidRPr="00D72DD9" w:rsidRDefault="00B04924" w:rsidP="00D72DD9">
            <w:pPr>
              <w:jc w:val="both"/>
              <w:rPr>
                <w:sz w:val="22"/>
                <w:szCs w:val="22"/>
              </w:rPr>
            </w:pPr>
          </w:p>
        </w:tc>
      </w:tr>
      <w:tr w:rsidR="00903724" w:rsidRPr="00D72DD9" w:rsidTr="00D72DD9">
        <w:tc>
          <w:tcPr>
            <w:tcW w:w="4395" w:type="dxa"/>
            <w:shd w:val="clear" w:color="auto" w:fill="auto"/>
          </w:tcPr>
          <w:p w:rsidR="00903724" w:rsidRPr="00390B17" w:rsidRDefault="00903724" w:rsidP="00150C12">
            <w:pPr>
              <w:rPr>
                <w:sz w:val="22"/>
                <w:szCs w:val="22"/>
              </w:rPr>
            </w:pPr>
            <w:r w:rsidRPr="00390B17">
              <w:rPr>
                <w:sz w:val="22"/>
                <w:szCs w:val="22"/>
              </w:rPr>
              <w:t xml:space="preserve">Finance Lease Liability </w:t>
            </w:r>
          </w:p>
        </w:tc>
        <w:tc>
          <w:tcPr>
            <w:tcW w:w="1559" w:type="dxa"/>
            <w:shd w:val="clear" w:color="auto" w:fill="auto"/>
          </w:tcPr>
          <w:p w:rsidR="00903724" w:rsidRPr="0039467C" w:rsidRDefault="0004720E" w:rsidP="00D72DD9">
            <w:pPr>
              <w:ind w:right="307"/>
              <w:jc w:val="right"/>
              <w:rPr>
                <w:sz w:val="22"/>
                <w:szCs w:val="22"/>
              </w:rPr>
            </w:pPr>
            <w:r>
              <w:rPr>
                <w:sz w:val="22"/>
                <w:szCs w:val="22"/>
              </w:rPr>
              <w:t>-</w:t>
            </w:r>
          </w:p>
        </w:tc>
        <w:tc>
          <w:tcPr>
            <w:tcW w:w="1559" w:type="dxa"/>
            <w:shd w:val="clear" w:color="auto" w:fill="auto"/>
          </w:tcPr>
          <w:p w:rsidR="00903724" w:rsidRPr="0039467C" w:rsidRDefault="00903724" w:rsidP="00903724">
            <w:pPr>
              <w:ind w:right="307"/>
              <w:jc w:val="right"/>
              <w:rPr>
                <w:sz w:val="22"/>
                <w:szCs w:val="22"/>
              </w:rPr>
            </w:pPr>
            <w:r>
              <w:rPr>
                <w:sz w:val="22"/>
                <w:szCs w:val="22"/>
              </w:rPr>
              <w:t>10</w:t>
            </w:r>
          </w:p>
        </w:tc>
      </w:tr>
      <w:tr w:rsidR="00903724" w:rsidRPr="00D72DD9" w:rsidTr="00D72DD9">
        <w:tc>
          <w:tcPr>
            <w:tcW w:w="4395" w:type="dxa"/>
            <w:shd w:val="clear" w:color="auto" w:fill="auto"/>
          </w:tcPr>
          <w:p w:rsidR="00903724" w:rsidRPr="0004720E" w:rsidRDefault="00903724" w:rsidP="00903724">
            <w:pPr>
              <w:rPr>
                <w:sz w:val="22"/>
                <w:szCs w:val="22"/>
              </w:rPr>
            </w:pPr>
            <w:r w:rsidRPr="0004720E">
              <w:rPr>
                <w:sz w:val="22"/>
                <w:szCs w:val="22"/>
              </w:rPr>
              <w:t>PFI Liability (see note 14)</w:t>
            </w:r>
          </w:p>
        </w:tc>
        <w:tc>
          <w:tcPr>
            <w:tcW w:w="1559" w:type="dxa"/>
            <w:shd w:val="clear" w:color="auto" w:fill="auto"/>
          </w:tcPr>
          <w:p w:rsidR="00903724" w:rsidRPr="0039467C" w:rsidRDefault="001E6773" w:rsidP="0039467C">
            <w:pPr>
              <w:ind w:right="307"/>
              <w:jc w:val="right"/>
              <w:rPr>
                <w:sz w:val="22"/>
                <w:szCs w:val="22"/>
              </w:rPr>
            </w:pPr>
            <w:r>
              <w:rPr>
                <w:sz w:val="22"/>
                <w:szCs w:val="22"/>
              </w:rPr>
              <w:t>13,917</w:t>
            </w:r>
          </w:p>
        </w:tc>
        <w:tc>
          <w:tcPr>
            <w:tcW w:w="1559" w:type="dxa"/>
            <w:shd w:val="clear" w:color="auto" w:fill="auto"/>
          </w:tcPr>
          <w:p w:rsidR="00903724" w:rsidRPr="0039467C" w:rsidRDefault="00903724" w:rsidP="00903724">
            <w:pPr>
              <w:ind w:right="307"/>
              <w:jc w:val="right"/>
              <w:rPr>
                <w:sz w:val="22"/>
                <w:szCs w:val="22"/>
              </w:rPr>
            </w:pPr>
            <w:r>
              <w:rPr>
                <w:sz w:val="22"/>
                <w:szCs w:val="22"/>
              </w:rPr>
              <w:t>14,231</w:t>
            </w:r>
          </w:p>
        </w:tc>
      </w:tr>
      <w:tr w:rsidR="00903724" w:rsidRPr="00D72DD9" w:rsidTr="00D72DD9">
        <w:tc>
          <w:tcPr>
            <w:tcW w:w="4395" w:type="dxa"/>
            <w:shd w:val="clear" w:color="auto" w:fill="auto"/>
          </w:tcPr>
          <w:p w:rsidR="00903724" w:rsidRPr="0004720E" w:rsidRDefault="00903724" w:rsidP="00903724">
            <w:pPr>
              <w:rPr>
                <w:sz w:val="22"/>
                <w:szCs w:val="22"/>
              </w:rPr>
            </w:pPr>
            <w:r w:rsidRPr="0004720E">
              <w:rPr>
                <w:sz w:val="22"/>
                <w:szCs w:val="22"/>
              </w:rPr>
              <w:t>PFI Contractor Loan (see note 14)</w:t>
            </w:r>
          </w:p>
        </w:tc>
        <w:tc>
          <w:tcPr>
            <w:tcW w:w="1559" w:type="dxa"/>
            <w:shd w:val="clear" w:color="auto" w:fill="auto"/>
          </w:tcPr>
          <w:p w:rsidR="00903724" w:rsidRPr="0039467C" w:rsidRDefault="00E579AF" w:rsidP="00D72DD9">
            <w:pPr>
              <w:ind w:right="307"/>
              <w:jc w:val="right"/>
              <w:rPr>
                <w:sz w:val="22"/>
                <w:szCs w:val="22"/>
              </w:rPr>
            </w:pPr>
            <w:r>
              <w:rPr>
                <w:sz w:val="22"/>
                <w:szCs w:val="22"/>
              </w:rPr>
              <w:t>70</w:t>
            </w:r>
          </w:p>
        </w:tc>
        <w:tc>
          <w:tcPr>
            <w:tcW w:w="1559" w:type="dxa"/>
            <w:shd w:val="clear" w:color="auto" w:fill="auto"/>
          </w:tcPr>
          <w:p w:rsidR="00903724" w:rsidRPr="0039467C" w:rsidRDefault="00903724" w:rsidP="00903724">
            <w:pPr>
              <w:ind w:right="307"/>
              <w:jc w:val="right"/>
              <w:rPr>
                <w:sz w:val="22"/>
                <w:szCs w:val="22"/>
              </w:rPr>
            </w:pPr>
            <w:r>
              <w:rPr>
                <w:sz w:val="22"/>
                <w:szCs w:val="22"/>
              </w:rPr>
              <w:t>75</w:t>
            </w:r>
          </w:p>
        </w:tc>
      </w:tr>
      <w:tr w:rsidR="00903724" w:rsidRPr="00D72DD9" w:rsidTr="00D72DD9">
        <w:tc>
          <w:tcPr>
            <w:tcW w:w="4395" w:type="dxa"/>
            <w:shd w:val="clear" w:color="auto" w:fill="auto"/>
          </w:tcPr>
          <w:p w:rsidR="00903724" w:rsidRPr="0004720E" w:rsidRDefault="00903724" w:rsidP="00903724">
            <w:pPr>
              <w:rPr>
                <w:sz w:val="22"/>
                <w:szCs w:val="22"/>
              </w:rPr>
            </w:pPr>
            <w:r w:rsidRPr="0004720E">
              <w:rPr>
                <w:sz w:val="22"/>
                <w:szCs w:val="22"/>
              </w:rPr>
              <w:t>Pension Liability (see note 15)</w:t>
            </w:r>
          </w:p>
        </w:tc>
        <w:tc>
          <w:tcPr>
            <w:tcW w:w="1559" w:type="dxa"/>
            <w:tcBorders>
              <w:bottom w:val="single" w:sz="4" w:space="0" w:color="auto"/>
            </w:tcBorders>
            <w:shd w:val="clear" w:color="auto" w:fill="auto"/>
          </w:tcPr>
          <w:p w:rsidR="00903724" w:rsidRPr="001A0285" w:rsidRDefault="000B3F95" w:rsidP="000B3F95">
            <w:pPr>
              <w:ind w:right="307"/>
              <w:jc w:val="right"/>
              <w:rPr>
                <w:sz w:val="22"/>
                <w:szCs w:val="22"/>
              </w:rPr>
            </w:pPr>
            <w:r>
              <w:rPr>
                <w:sz w:val="22"/>
                <w:szCs w:val="22"/>
              </w:rPr>
              <w:t>800</w:t>
            </w:r>
            <w:r w:rsidR="001E6773">
              <w:rPr>
                <w:sz w:val="22"/>
                <w:szCs w:val="22"/>
              </w:rPr>
              <w:t>,</w:t>
            </w:r>
            <w:r>
              <w:rPr>
                <w:sz w:val="22"/>
                <w:szCs w:val="22"/>
              </w:rPr>
              <w:t>264</w:t>
            </w:r>
          </w:p>
        </w:tc>
        <w:tc>
          <w:tcPr>
            <w:tcW w:w="1559" w:type="dxa"/>
            <w:tcBorders>
              <w:bottom w:val="single" w:sz="4" w:space="0" w:color="auto"/>
            </w:tcBorders>
            <w:shd w:val="clear" w:color="auto" w:fill="auto"/>
          </w:tcPr>
          <w:p w:rsidR="00903724" w:rsidRPr="001A0285" w:rsidRDefault="000B3F95" w:rsidP="000B3F95">
            <w:pPr>
              <w:ind w:right="307"/>
              <w:jc w:val="right"/>
              <w:rPr>
                <w:sz w:val="22"/>
                <w:szCs w:val="22"/>
              </w:rPr>
            </w:pPr>
            <w:r>
              <w:rPr>
                <w:sz w:val="22"/>
                <w:szCs w:val="22"/>
              </w:rPr>
              <w:t>797</w:t>
            </w:r>
            <w:r w:rsidR="00903724">
              <w:rPr>
                <w:sz w:val="22"/>
                <w:szCs w:val="22"/>
              </w:rPr>
              <w:t>,</w:t>
            </w:r>
            <w:r>
              <w:rPr>
                <w:sz w:val="22"/>
                <w:szCs w:val="22"/>
              </w:rPr>
              <w:t>742</w:t>
            </w:r>
          </w:p>
        </w:tc>
      </w:tr>
      <w:tr w:rsidR="00903724" w:rsidRPr="00D72DD9" w:rsidTr="00D72DD9">
        <w:tc>
          <w:tcPr>
            <w:tcW w:w="4395" w:type="dxa"/>
            <w:shd w:val="clear" w:color="auto" w:fill="auto"/>
          </w:tcPr>
          <w:p w:rsidR="00903724" w:rsidRPr="00D72DD9" w:rsidRDefault="00903724" w:rsidP="000D7D67">
            <w:pPr>
              <w:rPr>
                <w:sz w:val="22"/>
                <w:szCs w:val="22"/>
              </w:rPr>
            </w:pPr>
          </w:p>
        </w:tc>
        <w:tc>
          <w:tcPr>
            <w:tcW w:w="1559" w:type="dxa"/>
            <w:tcBorders>
              <w:top w:val="single" w:sz="4" w:space="0" w:color="auto"/>
              <w:bottom w:val="double" w:sz="4" w:space="0" w:color="auto"/>
            </w:tcBorders>
            <w:shd w:val="clear" w:color="auto" w:fill="auto"/>
          </w:tcPr>
          <w:p w:rsidR="00903724" w:rsidRPr="001A0285" w:rsidRDefault="000B3F95" w:rsidP="000B3F95">
            <w:pPr>
              <w:ind w:right="307"/>
              <w:jc w:val="right"/>
              <w:rPr>
                <w:sz w:val="22"/>
                <w:szCs w:val="22"/>
              </w:rPr>
            </w:pPr>
            <w:r>
              <w:rPr>
                <w:sz w:val="22"/>
                <w:szCs w:val="22"/>
              </w:rPr>
              <w:t>814</w:t>
            </w:r>
            <w:r w:rsidR="001E6773">
              <w:rPr>
                <w:sz w:val="22"/>
                <w:szCs w:val="22"/>
              </w:rPr>
              <w:t>,</w:t>
            </w:r>
            <w:r>
              <w:rPr>
                <w:sz w:val="22"/>
                <w:szCs w:val="22"/>
              </w:rPr>
              <w:t>251</w:t>
            </w:r>
          </w:p>
        </w:tc>
        <w:tc>
          <w:tcPr>
            <w:tcW w:w="1559" w:type="dxa"/>
            <w:tcBorders>
              <w:top w:val="single" w:sz="4" w:space="0" w:color="auto"/>
              <w:bottom w:val="double" w:sz="4" w:space="0" w:color="auto"/>
            </w:tcBorders>
            <w:shd w:val="clear" w:color="auto" w:fill="auto"/>
          </w:tcPr>
          <w:p w:rsidR="00903724" w:rsidRPr="001A0285" w:rsidRDefault="000B3F95" w:rsidP="000B3F95">
            <w:pPr>
              <w:ind w:right="307"/>
              <w:jc w:val="right"/>
              <w:rPr>
                <w:sz w:val="22"/>
                <w:szCs w:val="22"/>
              </w:rPr>
            </w:pPr>
            <w:r>
              <w:rPr>
                <w:sz w:val="22"/>
                <w:szCs w:val="22"/>
              </w:rPr>
              <w:t>812</w:t>
            </w:r>
            <w:r w:rsidR="00903724">
              <w:rPr>
                <w:sz w:val="22"/>
                <w:szCs w:val="22"/>
              </w:rPr>
              <w:t>,</w:t>
            </w:r>
            <w:r>
              <w:rPr>
                <w:sz w:val="22"/>
                <w:szCs w:val="22"/>
              </w:rPr>
              <w:t>058</w:t>
            </w:r>
          </w:p>
        </w:tc>
      </w:tr>
    </w:tbl>
    <w:p w:rsidR="001F1736" w:rsidRDefault="001F1736" w:rsidP="00D90216">
      <w:pPr>
        <w:rPr>
          <w:b/>
          <w:sz w:val="22"/>
        </w:rPr>
      </w:pPr>
    </w:p>
    <w:p w:rsidR="0084727E" w:rsidRDefault="0084727E" w:rsidP="00D90216">
      <w:pPr>
        <w:rPr>
          <w:b/>
          <w:sz w:val="22"/>
        </w:rPr>
      </w:pPr>
      <w:r>
        <w:rPr>
          <w:b/>
          <w:sz w:val="22"/>
        </w:rPr>
        <w:br w:type="page"/>
      </w:r>
    </w:p>
    <w:p w:rsidR="00D90216" w:rsidRPr="0044534C" w:rsidRDefault="00836028" w:rsidP="00D90216">
      <w:pPr>
        <w:rPr>
          <w:sz w:val="22"/>
        </w:rPr>
      </w:pPr>
      <w:r>
        <w:rPr>
          <w:b/>
          <w:sz w:val="22"/>
        </w:rPr>
        <w:lastRenderedPageBreak/>
        <w:t>1</w:t>
      </w:r>
      <w:r w:rsidR="00903724">
        <w:rPr>
          <w:b/>
          <w:sz w:val="22"/>
        </w:rPr>
        <w:t>4</w:t>
      </w:r>
      <w:r w:rsidR="000D7D67">
        <w:rPr>
          <w:b/>
          <w:sz w:val="22"/>
        </w:rPr>
        <w:tab/>
      </w:r>
      <w:r w:rsidR="00D90216" w:rsidRPr="001F7F67">
        <w:rPr>
          <w:b/>
          <w:sz w:val="22"/>
        </w:rPr>
        <w:t>PFI Scheme</w:t>
      </w:r>
      <w:r w:rsidR="00217242">
        <w:rPr>
          <w:b/>
          <w:sz w:val="22"/>
        </w:rPr>
        <w:t>s</w:t>
      </w:r>
    </w:p>
    <w:p w:rsidR="00D90216" w:rsidRPr="00A60775" w:rsidRDefault="00D90216" w:rsidP="00D90216">
      <w:pPr>
        <w:rPr>
          <w:b/>
          <w:sz w:val="22"/>
          <w:highlight w:val="cyan"/>
        </w:rPr>
      </w:pPr>
    </w:p>
    <w:p w:rsidR="001E0613" w:rsidRPr="00217242" w:rsidRDefault="001E0613" w:rsidP="00D90216">
      <w:pPr>
        <w:ind w:left="720"/>
        <w:jc w:val="both"/>
        <w:rPr>
          <w:sz w:val="22"/>
        </w:rPr>
      </w:pPr>
      <w:r w:rsidRPr="00217242">
        <w:rPr>
          <w:sz w:val="22"/>
        </w:rPr>
        <w:t>The Authority operates two PFI schemes with separate Private Sector Partners (PSP), details of which are as follows:</w:t>
      </w:r>
    </w:p>
    <w:p w:rsidR="001E0613" w:rsidRPr="00217242" w:rsidRDefault="001E0613" w:rsidP="00D90216">
      <w:pPr>
        <w:ind w:left="720"/>
        <w:jc w:val="both"/>
        <w:rPr>
          <w:sz w:val="22"/>
        </w:rPr>
      </w:pPr>
    </w:p>
    <w:p w:rsidR="001E0613" w:rsidRPr="00217242" w:rsidRDefault="001E0613" w:rsidP="00D90216">
      <w:pPr>
        <w:ind w:left="720"/>
        <w:jc w:val="both"/>
        <w:rPr>
          <w:sz w:val="22"/>
        </w:rPr>
      </w:pPr>
      <w:r w:rsidRPr="00217242">
        <w:rPr>
          <w:sz w:val="22"/>
        </w:rPr>
        <w:t>PFF Lancashire L</w:t>
      </w:r>
      <w:r w:rsidR="009E2E4B">
        <w:rPr>
          <w:sz w:val="22"/>
        </w:rPr>
        <w:t>imi</w:t>
      </w:r>
      <w:r w:rsidRPr="00217242">
        <w:rPr>
          <w:sz w:val="22"/>
        </w:rPr>
        <w:t>t</w:t>
      </w:r>
      <w:r w:rsidR="009E2E4B">
        <w:rPr>
          <w:sz w:val="22"/>
        </w:rPr>
        <w:t>e</w:t>
      </w:r>
      <w:r w:rsidRPr="00217242">
        <w:rPr>
          <w:sz w:val="22"/>
        </w:rPr>
        <w:t>d</w:t>
      </w:r>
    </w:p>
    <w:p w:rsidR="001E0613" w:rsidRPr="00217242" w:rsidRDefault="001E0613" w:rsidP="00D90216">
      <w:pPr>
        <w:ind w:left="720"/>
        <w:jc w:val="both"/>
        <w:rPr>
          <w:sz w:val="22"/>
        </w:rPr>
      </w:pPr>
    </w:p>
    <w:p w:rsidR="00D90216" w:rsidRPr="00217242" w:rsidRDefault="00D90216" w:rsidP="00D90216">
      <w:pPr>
        <w:ind w:left="720"/>
        <w:jc w:val="both"/>
        <w:rPr>
          <w:sz w:val="22"/>
        </w:rPr>
      </w:pPr>
      <w:r w:rsidRPr="00217242">
        <w:rPr>
          <w:sz w:val="22"/>
        </w:rPr>
        <w:t xml:space="preserve">The Authority signed a contract in May 2002 with a Private Sector Partner (PSP), a consortium known as PFF Lancashire Limited, under the Government's Private Finance Initiative, for two fire stations at Morecambe and Hyndburn. </w:t>
      </w:r>
    </w:p>
    <w:p w:rsidR="00D90216" w:rsidRPr="00217242" w:rsidRDefault="00D90216" w:rsidP="00D90216">
      <w:pPr>
        <w:ind w:left="720"/>
        <w:jc w:val="both"/>
        <w:rPr>
          <w:sz w:val="22"/>
        </w:rPr>
      </w:pPr>
    </w:p>
    <w:p w:rsidR="00D90216" w:rsidRPr="00217242" w:rsidRDefault="00D90216" w:rsidP="00D90216">
      <w:pPr>
        <w:ind w:left="720"/>
        <w:jc w:val="both"/>
        <w:rPr>
          <w:sz w:val="22"/>
        </w:rPr>
      </w:pPr>
      <w:r w:rsidRPr="00217242">
        <w:rPr>
          <w:sz w:val="22"/>
        </w:rPr>
        <w:t xml:space="preserve">Under the contract the Authority pays an annual unitary charge to </w:t>
      </w:r>
      <w:r w:rsidR="00217242" w:rsidRPr="00217242">
        <w:rPr>
          <w:sz w:val="22"/>
        </w:rPr>
        <w:t>PFF Lancashire</w:t>
      </w:r>
      <w:r w:rsidRPr="00217242">
        <w:rPr>
          <w:sz w:val="22"/>
        </w:rPr>
        <w:t xml:space="preserve"> </w:t>
      </w:r>
      <w:r w:rsidR="009E2E4B">
        <w:rPr>
          <w:sz w:val="22"/>
        </w:rPr>
        <w:t xml:space="preserve">Limited </w:t>
      </w:r>
      <w:r w:rsidRPr="00217242">
        <w:rPr>
          <w:sz w:val="22"/>
        </w:rPr>
        <w:t>for service</w:t>
      </w:r>
      <w:r w:rsidR="00217242" w:rsidRPr="00217242">
        <w:rPr>
          <w:sz w:val="22"/>
        </w:rPr>
        <w:t>d</w:t>
      </w:r>
      <w:r w:rsidRPr="00217242">
        <w:rPr>
          <w:sz w:val="22"/>
        </w:rPr>
        <w:t xml:space="preserve"> accommodation over the life of the 30-year contract, commencing in 2003/04.    The buildings and any plant installed in them at the end of the contract will be transferred to the Authority for nil consideration.    The estimated capital value of the scheme at the point of financial close was £3.500m.</w:t>
      </w:r>
    </w:p>
    <w:p w:rsidR="00D90216" w:rsidRDefault="00D90216" w:rsidP="00D90216">
      <w:pPr>
        <w:ind w:left="720"/>
        <w:jc w:val="both"/>
        <w:rPr>
          <w:sz w:val="22"/>
        </w:rPr>
      </w:pPr>
    </w:p>
    <w:p w:rsidR="00A50E0F" w:rsidRDefault="00A50E0F" w:rsidP="00A50E0F">
      <w:pPr>
        <w:ind w:left="720"/>
        <w:jc w:val="both"/>
        <w:rPr>
          <w:sz w:val="22"/>
        </w:rPr>
      </w:pPr>
      <w:r w:rsidRPr="00E1309A">
        <w:rPr>
          <w:sz w:val="22"/>
        </w:rPr>
        <w:t>Under the contract PFF Lancashire L</w:t>
      </w:r>
      <w:r w:rsidR="009E2E4B">
        <w:rPr>
          <w:sz w:val="22"/>
        </w:rPr>
        <w:t>imi</w:t>
      </w:r>
      <w:r w:rsidRPr="00E1309A">
        <w:rPr>
          <w:sz w:val="22"/>
        </w:rPr>
        <w:t>t</w:t>
      </w:r>
      <w:r w:rsidR="009E2E4B">
        <w:rPr>
          <w:sz w:val="22"/>
        </w:rPr>
        <w:t>e</w:t>
      </w:r>
      <w:r w:rsidRPr="00E1309A">
        <w:rPr>
          <w:sz w:val="22"/>
        </w:rPr>
        <w:t>d made a contribution of £0.150m towards the development costs, which is repaid through the annual unitary charge on the life of the 30-year contract commencing in 2005/06.  In accordance with recommended accounting practice, the reimbursement has been classed as a loan and the liability reflected as such in the Authority’s accounts.   At 31 March 201</w:t>
      </w:r>
      <w:r w:rsidR="00903724">
        <w:rPr>
          <w:sz w:val="22"/>
        </w:rPr>
        <w:t>8</w:t>
      </w:r>
      <w:r w:rsidRPr="00E1309A">
        <w:rPr>
          <w:sz w:val="22"/>
        </w:rPr>
        <w:t xml:space="preserve"> the outstanding loan was £0.</w:t>
      </w:r>
      <w:r w:rsidR="00EE1D91">
        <w:rPr>
          <w:sz w:val="22"/>
        </w:rPr>
        <w:t>0</w:t>
      </w:r>
      <w:r w:rsidR="00903724">
        <w:rPr>
          <w:sz w:val="22"/>
        </w:rPr>
        <w:t>75</w:t>
      </w:r>
      <w:r w:rsidRPr="00E1309A">
        <w:rPr>
          <w:sz w:val="22"/>
        </w:rPr>
        <w:t>m (201</w:t>
      </w:r>
      <w:r w:rsidR="00903724">
        <w:rPr>
          <w:sz w:val="22"/>
        </w:rPr>
        <w:t>6</w:t>
      </w:r>
      <w:r w:rsidR="005B2EBF">
        <w:rPr>
          <w:sz w:val="22"/>
        </w:rPr>
        <w:t>/1</w:t>
      </w:r>
      <w:r w:rsidR="00903724">
        <w:rPr>
          <w:sz w:val="22"/>
        </w:rPr>
        <w:t>7</w:t>
      </w:r>
      <w:r w:rsidRPr="00E1309A">
        <w:rPr>
          <w:sz w:val="22"/>
        </w:rPr>
        <w:t>: £0.</w:t>
      </w:r>
      <w:r w:rsidR="005B2EBF">
        <w:rPr>
          <w:sz w:val="22"/>
        </w:rPr>
        <w:t>0</w:t>
      </w:r>
      <w:r w:rsidR="00BB7898">
        <w:rPr>
          <w:sz w:val="22"/>
        </w:rPr>
        <w:t>8</w:t>
      </w:r>
      <w:r w:rsidR="00903724">
        <w:rPr>
          <w:sz w:val="22"/>
        </w:rPr>
        <w:t>0</w:t>
      </w:r>
      <w:r w:rsidRPr="00E1309A">
        <w:rPr>
          <w:sz w:val="22"/>
        </w:rPr>
        <w:t>m).</w:t>
      </w:r>
    </w:p>
    <w:p w:rsidR="00A50E0F" w:rsidRPr="00217242" w:rsidRDefault="00A50E0F" w:rsidP="00D90216">
      <w:pPr>
        <w:ind w:left="720"/>
        <w:jc w:val="both"/>
        <w:rPr>
          <w:sz w:val="22"/>
        </w:rPr>
      </w:pPr>
    </w:p>
    <w:p w:rsidR="001E0613" w:rsidRPr="00217242" w:rsidRDefault="001E0613" w:rsidP="00D90216">
      <w:pPr>
        <w:ind w:left="720"/>
        <w:jc w:val="both"/>
        <w:rPr>
          <w:sz w:val="22"/>
        </w:rPr>
      </w:pPr>
      <w:r w:rsidRPr="00217242">
        <w:rPr>
          <w:sz w:val="22"/>
        </w:rPr>
        <w:t>Balfour Beatty Fire and Rescue NW L</w:t>
      </w:r>
      <w:r w:rsidR="002B520D">
        <w:rPr>
          <w:sz w:val="22"/>
        </w:rPr>
        <w:t>imi</w:t>
      </w:r>
      <w:r w:rsidRPr="00217242">
        <w:rPr>
          <w:sz w:val="22"/>
        </w:rPr>
        <w:t>t</w:t>
      </w:r>
      <w:r w:rsidR="002B520D">
        <w:rPr>
          <w:sz w:val="22"/>
        </w:rPr>
        <w:t>e</w:t>
      </w:r>
      <w:r w:rsidRPr="00217242">
        <w:rPr>
          <w:sz w:val="22"/>
        </w:rPr>
        <w:t>d</w:t>
      </w:r>
    </w:p>
    <w:p w:rsidR="001E0613" w:rsidRDefault="001E0613" w:rsidP="00D90216">
      <w:pPr>
        <w:ind w:left="720"/>
        <w:jc w:val="both"/>
        <w:rPr>
          <w:sz w:val="22"/>
          <w:highlight w:val="yellow"/>
        </w:rPr>
      </w:pPr>
    </w:p>
    <w:p w:rsidR="00217242" w:rsidRPr="00217242" w:rsidRDefault="00217242" w:rsidP="00D90216">
      <w:pPr>
        <w:ind w:left="720"/>
        <w:jc w:val="both"/>
        <w:rPr>
          <w:sz w:val="22"/>
        </w:rPr>
      </w:pPr>
      <w:r w:rsidRPr="00217242">
        <w:rPr>
          <w:sz w:val="22"/>
        </w:rPr>
        <w:t>The Authority is also involved in a second PFI project, with Merseyside Fire and Rescue Authority and Cumbria County Council to deliver 16 new fire stations, 4 of which will be in Lancashire.  Contracts were signed with Balfour Beatty Fire and Rescue NW L</w:t>
      </w:r>
      <w:r w:rsidR="002B520D">
        <w:rPr>
          <w:sz w:val="22"/>
        </w:rPr>
        <w:t>imi</w:t>
      </w:r>
      <w:r w:rsidRPr="00217242">
        <w:rPr>
          <w:sz w:val="22"/>
        </w:rPr>
        <w:t>t</w:t>
      </w:r>
      <w:r w:rsidR="002B520D">
        <w:rPr>
          <w:sz w:val="22"/>
        </w:rPr>
        <w:t>e</w:t>
      </w:r>
      <w:r w:rsidRPr="00217242">
        <w:rPr>
          <w:sz w:val="22"/>
        </w:rPr>
        <w:t>d in February 2011, with phased construction beginning in 2011/12 and completing in 2013/14.</w:t>
      </w:r>
    </w:p>
    <w:p w:rsidR="00217242" w:rsidRDefault="00217242" w:rsidP="00D90216">
      <w:pPr>
        <w:ind w:left="720"/>
        <w:jc w:val="both"/>
        <w:rPr>
          <w:sz w:val="22"/>
          <w:highlight w:val="yellow"/>
        </w:rPr>
      </w:pPr>
    </w:p>
    <w:p w:rsidR="00217242" w:rsidRPr="008B45EF" w:rsidRDefault="00217242" w:rsidP="00217242">
      <w:pPr>
        <w:ind w:left="720"/>
        <w:jc w:val="both"/>
        <w:rPr>
          <w:sz w:val="22"/>
        </w:rPr>
      </w:pPr>
      <w:r w:rsidRPr="008B45EF">
        <w:rPr>
          <w:sz w:val="22"/>
        </w:rPr>
        <w:t>Under the contract the Authority pays an annual unitary charge to Balfour Beatty Fire and Rescue NW L</w:t>
      </w:r>
      <w:r w:rsidR="002B520D">
        <w:rPr>
          <w:sz w:val="22"/>
        </w:rPr>
        <w:t>imi</w:t>
      </w:r>
      <w:r w:rsidRPr="008B45EF">
        <w:rPr>
          <w:sz w:val="22"/>
        </w:rPr>
        <w:t>t</w:t>
      </w:r>
      <w:r w:rsidR="002B520D">
        <w:rPr>
          <w:sz w:val="22"/>
        </w:rPr>
        <w:t>e</w:t>
      </w:r>
      <w:r w:rsidRPr="008B45EF">
        <w:rPr>
          <w:sz w:val="22"/>
        </w:rPr>
        <w:t xml:space="preserve">d for serviced accommodation over the life of the contract, </w:t>
      </w:r>
      <w:r w:rsidR="008B45EF" w:rsidRPr="008B45EF">
        <w:rPr>
          <w:sz w:val="22"/>
        </w:rPr>
        <w:t xml:space="preserve">which runs for 25 years from initial handover of each station </w:t>
      </w:r>
      <w:r w:rsidRPr="008B45EF">
        <w:rPr>
          <w:sz w:val="22"/>
        </w:rPr>
        <w:t xml:space="preserve">commencing in </w:t>
      </w:r>
      <w:r w:rsidR="008B45EF" w:rsidRPr="008B45EF">
        <w:rPr>
          <w:sz w:val="22"/>
        </w:rPr>
        <w:t xml:space="preserve">March </w:t>
      </w:r>
      <w:r w:rsidRPr="008B45EF">
        <w:rPr>
          <w:sz w:val="22"/>
        </w:rPr>
        <w:t>20</w:t>
      </w:r>
      <w:r w:rsidR="008B45EF" w:rsidRPr="008B45EF">
        <w:rPr>
          <w:sz w:val="22"/>
        </w:rPr>
        <w:t>11</w:t>
      </w:r>
      <w:r w:rsidRPr="008B45EF">
        <w:rPr>
          <w:sz w:val="22"/>
        </w:rPr>
        <w:t>/</w:t>
      </w:r>
      <w:r w:rsidR="008B45EF" w:rsidRPr="008B45EF">
        <w:rPr>
          <w:sz w:val="22"/>
        </w:rPr>
        <w:t>12 for the Authority</w:t>
      </w:r>
      <w:r w:rsidRPr="008B45EF">
        <w:rPr>
          <w:sz w:val="22"/>
        </w:rPr>
        <w:t xml:space="preserve">.    The buildings and any plant installed in them at the end of the contract will be transferred to the Authority for nil consideration.    The estimated capital value of the </w:t>
      </w:r>
      <w:r w:rsidR="008B45EF" w:rsidRPr="008B45EF">
        <w:rPr>
          <w:sz w:val="22"/>
        </w:rPr>
        <w:t xml:space="preserve">total </w:t>
      </w:r>
      <w:r w:rsidRPr="008B45EF">
        <w:rPr>
          <w:sz w:val="22"/>
        </w:rPr>
        <w:t>scheme at the point of financial close was £</w:t>
      </w:r>
      <w:r w:rsidR="008B45EF" w:rsidRPr="008B45EF">
        <w:rPr>
          <w:sz w:val="22"/>
        </w:rPr>
        <w:t>47.886m, and for the Authority was £12.161m</w:t>
      </w:r>
      <w:r w:rsidRPr="008B45EF">
        <w:rPr>
          <w:sz w:val="22"/>
        </w:rPr>
        <w:t>.</w:t>
      </w:r>
    </w:p>
    <w:p w:rsidR="00217242" w:rsidRPr="000E5B3B" w:rsidRDefault="00217242" w:rsidP="00217242">
      <w:pPr>
        <w:ind w:left="720"/>
        <w:jc w:val="both"/>
        <w:rPr>
          <w:sz w:val="22"/>
          <w:highlight w:val="yellow"/>
        </w:rPr>
      </w:pPr>
    </w:p>
    <w:p w:rsidR="00217242" w:rsidRPr="005A3979" w:rsidRDefault="005A3979" w:rsidP="00D90216">
      <w:pPr>
        <w:ind w:left="720"/>
        <w:jc w:val="both"/>
        <w:rPr>
          <w:sz w:val="22"/>
        </w:rPr>
      </w:pPr>
      <w:r w:rsidRPr="005A3979">
        <w:rPr>
          <w:sz w:val="22"/>
        </w:rPr>
        <w:t>All PFI Schemes</w:t>
      </w:r>
    </w:p>
    <w:p w:rsidR="00217242" w:rsidRPr="000E5B3B" w:rsidRDefault="00217242" w:rsidP="00D90216">
      <w:pPr>
        <w:ind w:left="720"/>
        <w:jc w:val="both"/>
        <w:rPr>
          <w:sz w:val="22"/>
          <w:highlight w:val="yellow"/>
        </w:rPr>
      </w:pPr>
    </w:p>
    <w:p w:rsidR="00D90216" w:rsidRPr="005A3979" w:rsidRDefault="00217242" w:rsidP="00217242">
      <w:pPr>
        <w:ind w:left="720"/>
        <w:jc w:val="both"/>
        <w:rPr>
          <w:sz w:val="22"/>
        </w:rPr>
      </w:pPr>
      <w:r w:rsidRPr="005A3979">
        <w:rPr>
          <w:sz w:val="22"/>
        </w:rPr>
        <w:t>All PFI</w:t>
      </w:r>
      <w:r w:rsidR="00D90216" w:rsidRPr="005A3979">
        <w:rPr>
          <w:sz w:val="22"/>
        </w:rPr>
        <w:t xml:space="preserve"> stations are recognised on the Authority’s Balance Sheet</w:t>
      </w:r>
      <w:r w:rsidRPr="005A3979">
        <w:rPr>
          <w:sz w:val="22"/>
        </w:rPr>
        <w:t xml:space="preserve"> from the date of </w:t>
      </w:r>
      <w:r w:rsidR="008B45EF" w:rsidRPr="005A3979">
        <w:rPr>
          <w:sz w:val="22"/>
        </w:rPr>
        <w:t xml:space="preserve">initial </w:t>
      </w:r>
      <w:r w:rsidRPr="005A3979">
        <w:rPr>
          <w:sz w:val="22"/>
        </w:rPr>
        <w:t>handover</w:t>
      </w:r>
      <w:r w:rsidR="00D90216" w:rsidRPr="005A3979">
        <w:rPr>
          <w:sz w:val="22"/>
        </w:rPr>
        <w:t xml:space="preserve">.  Movements in their value over the year are detailed in the analysis of the movement on Property, Plant &amp; Equipment balance </w:t>
      </w:r>
      <w:r w:rsidR="00D90216" w:rsidRPr="000946E6">
        <w:rPr>
          <w:sz w:val="22"/>
        </w:rPr>
        <w:t xml:space="preserve">in </w:t>
      </w:r>
      <w:r w:rsidR="00D90216" w:rsidRPr="0004720E">
        <w:rPr>
          <w:sz w:val="22"/>
        </w:rPr>
        <w:t xml:space="preserve">note </w:t>
      </w:r>
      <w:r w:rsidR="00903724" w:rsidRPr="0004720E">
        <w:rPr>
          <w:sz w:val="22"/>
        </w:rPr>
        <w:t>6</w:t>
      </w:r>
      <w:r w:rsidR="00D90216" w:rsidRPr="0004720E">
        <w:rPr>
          <w:sz w:val="22"/>
        </w:rPr>
        <w:t>.</w:t>
      </w:r>
      <w:r w:rsidR="00D90216" w:rsidRPr="005A3979">
        <w:rPr>
          <w:sz w:val="22"/>
        </w:rPr>
        <w:t xml:space="preserve"> </w:t>
      </w:r>
    </w:p>
    <w:p w:rsidR="000669A4" w:rsidRDefault="000669A4" w:rsidP="00D90216">
      <w:pPr>
        <w:ind w:left="720"/>
        <w:jc w:val="both"/>
        <w:rPr>
          <w:sz w:val="22"/>
          <w:szCs w:val="22"/>
        </w:rPr>
      </w:pPr>
    </w:p>
    <w:p w:rsidR="00BB58EF" w:rsidRDefault="00D90216" w:rsidP="00D90216">
      <w:pPr>
        <w:ind w:left="720"/>
        <w:jc w:val="both"/>
        <w:rPr>
          <w:sz w:val="22"/>
          <w:szCs w:val="22"/>
        </w:rPr>
      </w:pPr>
      <w:r w:rsidRPr="005A3979">
        <w:rPr>
          <w:sz w:val="22"/>
          <w:szCs w:val="22"/>
        </w:rPr>
        <w:t>Payments made under the contract</w:t>
      </w:r>
      <w:r w:rsidR="005A3979" w:rsidRPr="005A3979">
        <w:rPr>
          <w:sz w:val="22"/>
          <w:szCs w:val="22"/>
        </w:rPr>
        <w:t>s</w:t>
      </w:r>
      <w:r w:rsidRPr="005A3979">
        <w:rPr>
          <w:sz w:val="22"/>
          <w:szCs w:val="22"/>
        </w:rPr>
        <w:t xml:space="preserve"> are performance related, so deductions are made if parts of the building are not available or if service performance (including maintenance) falls below an agreed standard.  The Authority makes an agreed payment each year which is increased by inflation and can be reduced if the contractor fails to meet availability and performance standards in any year, but is otherwise fixed.  In addition, the Authority receives Government Grant to offset some of these costs.  </w:t>
      </w:r>
    </w:p>
    <w:p w:rsidR="00D90216" w:rsidRPr="005A3979" w:rsidRDefault="00BB58EF" w:rsidP="00D90216">
      <w:pPr>
        <w:ind w:left="720"/>
        <w:jc w:val="both"/>
        <w:rPr>
          <w:sz w:val="22"/>
          <w:szCs w:val="22"/>
        </w:rPr>
      </w:pPr>
      <w:r>
        <w:rPr>
          <w:sz w:val="22"/>
          <w:szCs w:val="22"/>
        </w:rPr>
        <w:br w:type="page"/>
      </w:r>
      <w:r w:rsidR="00D90216" w:rsidRPr="005A3979">
        <w:rPr>
          <w:sz w:val="22"/>
          <w:szCs w:val="22"/>
        </w:rPr>
        <w:lastRenderedPageBreak/>
        <w:t xml:space="preserve">Payments remaining to be made under </w:t>
      </w:r>
      <w:r w:rsidR="005A3979" w:rsidRPr="005A3979">
        <w:rPr>
          <w:sz w:val="22"/>
          <w:szCs w:val="22"/>
        </w:rPr>
        <w:t>both</w:t>
      </w:r>
      <w:r w:rsidR="00D90216" w:rsidRPr="005A3979">
        <w:rPr>
          <w:sz w:val="22"/>
          <w:szCs w:val="22"/>
        </w:rPr>
        <w:t xml:space="preserve"> PFI </w:t>
      </w:r>
      <w:proofErr w:type="gramStart"/>
      <w:r w:rsidR="00D90216" w:rsidRPr="005A3979">
        <w:rPr>
          <w:sz w:val="22"/>
          <w:szCs w:val="22"/>
        </w:rPr>
        <w:t>contract</w:t>
      </w:r>
      <w:r w:rsidR="005A3979" w:rsidRPr="005A3979">
        <w:rPr>
          <w:sz w:val="22"/>
          <w:szCs w:val="22"/>
        </w:rPr>
        <w:t>s</w:t>
      </w:r>
      <w:r w:rsidR="00D90216" w:rsidRPr="005A3979">
        <w:rPr>
          <w:sz w:val="22"/>
          <w:szCs w:val="22"/>
        </w:rPr>
        <w:t>,</w:t>
      </w:r>
      <w:proofErr w:type="gramEnd"/>
      <w:r w:rsidR="00D90216" w:rsidRPr="005A3979">
        <w:rPr>
          <w:sz w:val="22"/>
          <w:szCs w:val="22"/>
        </w:rPr>
        <w:t xml:space="preserve"> and Government Subsidies to be received at 31 March 201</w:t>
      </w:r>
      <w:r w:rsidR="00903724">
        <w:rPr>
          <w:sz w:val="22"/>
          <w:szCs w:val="22"/>
        </w:rPr>
        <w:t>8</w:t>
      </w:r>
      <w:r w:rsidR="00D90216" w:rsidRPr="005A3979">
        <w:rPr>
          <w:sz w:val="22"/>
          <w:szCs w:val="22"/>
        </w:rPr>
        <w:t xml:space="preserve"> are as follows:</w:t>
      </w:r>
    </w:p>
    <w:p w:rsidR="00D90216" w:rsidRPr="001F4650" w:rsidRDefault="00D90216" w:rsidP="00D90216">
      <w:pPr>
        <w:pStyle w:val="BodyTextIndent"/>
        <w:rPr>
          <w:sz w:val="22"/>
          <w:szCs w:val="22"/>
          <w:highlight w:val="cyan"/>
          <w:lang w:val="en-GB"/>
        </w:rPr>
      </w:pPr>
    </w:p>
    <w:tbl>
      <w:tblPr>
        <w:tblW w:w="10189" w:type="dxa"/>
        <w:tblInd w:w="817" w:type="dxa"/>
        <w:tblLook w:val="01E0" w:firstRow="1" w:lastRow="1" w:firstColumn="1" w:lastColumn="1" w:noHBand="0" w:noVBand="0"/>
      </w:tblPr>
      <w:tblGrid>
        <w:gridCol w:w="3402"/>
        <w:gridCol w:w="1250"/>
        <w:gridCol w:w="1840"/>
        <w:gridCol w:w="1068"/>
        <w:gridCol w:w="1026"/>
        <w:gridCol w:w="1603"/>
      </w:tblGrid>
      <w:tr w:rsidR="00D90216" w:rsidRPr="00D72DD9" w:rsidTr="002510F7">
        <w:tc>
          <w:tcPr>
            <w:tcW w:w="3402" w:type="dxa"/>
            <w:shd w:val="clear" w:color="auto" w:fill="auto"/>
          </w:tcPr>
          <w:p w:rsidR="00D90216" w:rsidRPr="009E04DD" w:rsidRDefault="00D90216" w:rsidP="00D72DD9">
            <w:pPr>
              <w:pStyle w:val="BodyTextIndent"/>
              <w:ind w:left="0"/>
              <w:rPr>
                <w:sz w:val="22"/>
                <w:lang w:val="en-GB"/>
              </w:rPr>
            </w:pPr>
          </w:p>
        </w:tc>
        <w:tc>
          <w:tcPr>
            <w:tcW w:w="1250"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Payment for Services</w:t>
            </w:r>
          </w:p>
        </w:tc>
        <w:tc>
          <w:tcPr>
            <w:tcW w:w="1840"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Reimbursement of Capital Expenditure</w:t>
            </w:r>
          </w:p>
        </w:tc>
        <w:tc>
          <w:tcPr>
            <w:tcW w:w="1068"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Interest</w:t>
            </w:r>
          </w:p>
        </w:tc>
        <w:tc>
          <w:tcPr>
            <w:tcW w:w="1026"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Total</w:t>
            </w:r>
          </w:p>
        </w:tc>
        <w:tc>
          <w:tcPr>
            <w:tcW w:w="1603"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Government Subsidy</w:t>
            </w:r>
          </w:p>
        </w:tc>
      </w:tr>
      <w:tr w:rsidR="00D90216" w:rsidRPr="00D72DD9" w:rsidTr="002510F7">
        <w:tc>
          <w:tcPr>
            <w:tcW w:w="3402" w:type="dxa"/>
            <w:shd w:val="clear" w:color="auto" w:fill="auto"/>
          </w:tcPr>
          <w:p w:rsidR="00D90216" w:rsidRPr="009E04DD" w:rsidRDefault="00D90216" w:rsidP="00D72DD9">
            <w:pPr>
              <w:pStyle w:val="BodyTextIndent"/>
              <w:ind w:left="0"/>
              <w:rPr>
                <w:sz w:val="22"/>
                <w:lang w:val="en-GB"/>
              </w:rPr>
            </w:pPr>
          </w:p>
        </w:tc>
        <w:tc>
          <w:tcPr>
            <w:tcW w:w="1250"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£000</w:t>
            </w:r>
          </w:p>
        </w:tc>
        <w:tc>
          <w:tcPr>
            <w:tcW w:w="1840"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£000</w:t>
            </w:r>
          </w:p>
        </w:tc>
        <w:tc>
          <w:tcPr>
            <w:tcW w:w="1068"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£000</w:t>
            </w:r>
          </w:p>
        </w:tc>
        <w:tc>
          <w:tcPr>
            <w:tcW w:w="1026"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£000</w:t>
            </w:r>
          </w:p>
        </w:tc>
        <w:tc>
          <w:tcPr>
            <w:tcW w:w="1603" w:type="dxa"/>
            <w:shd w:val="clear" w:color="auto" w:fill="auto"/>
          </w:tcPr>
          <w:p w:rsidR="00D90216" w:rsidRPr="009E04DD" w:rsidRDefault="00D90216" w:rsidP="00D72DD9">
            <w:pPr>
              <w:pStyle w:val="BodyTextIndent"/>
              <w:ind w:left="0"/>
              <w:jc w:val="center"/>
              <w:rPr>
                <w:sz w:val="22"/>
                <w:lang w:val="en-GB"/>
              </w:rPr>
            </w:pPr>
            <w:r w:rsidRPr="009E04DD">
              <w:rPr>
                <w:sz w:val="22"/>
                <w:lang w:val="en-GB"/>
              </w:rPr>
              <w:t>£000</w:t>
            </w:r>
          </w:p>
        </w:tc>
      </w:tr>
      <w:tr w:rsidR="00D90216" w:rsidRPr="00D72DD9" w:rsidTr="002510F7">
        <w:tc>
          <w:tcPr>
            <w:tcW w:w="3402" w:type="dxa"/>
            <w:shd w:val="clear" w:color="auto" w:fill="auto"/>
          </w:tcPr>
          <w:p w:rsidR="00D90216" w:rsidRPr="009E04DD" w:rsidRDefault="00D90216" w:rsidP="00D72DD9">
            <w:pPr>
              <w:pStyle w:val="BodyTextIndent"/>
              <w:ind w:left="0"/>
              <w:rPr>
                <w:sz w:val="22"/>
                <w:lang w:val="en-GB"/>
              </w:rPr>
            </w:pPr>
          </w:p>
        </w:tc>
        <w:tc>
          <w:tcPr>
            <w:tcW w:w="1250" w:type="dxa"/>
            <w:shd w:val="clear" w:color="auto" w:fill="auto"/>
          </w:tcPr>
          <w:p w:rsidR="00D90216" w:rsidRPr="009E04DD" w:rsidRDefault="00D90216" w:rsidP="00D72DD9">
            <w:pPr>
              <w:pStyle w:val="BodyTextIndent"/>
              <w:ind w:left="0"/>
              <w:rPr>
                <w:sz w:val="22"/>
                <w:lang w:val="en-GB"/>
              </w:rPr>
            </w:pPr>
          </w:p>
        </w:tc>
        <w:tc>
          <w:tcPr>
            <w:tcW w:w="1840" w:type="dxa"/>
            <w:shd w:val="clear" w:color="auto" w:fill="auto"/>
          </w:tcPr>
          <w:p w:rsidR="00D90216" w:rsidRPr="009E04DD" w:rsidRDefault="00D90216" w:rsidP="00D72DD9">
            <w:pPr>
              <w:pStyle w:val="BodyTextIndent"/>
              <w:ind w:left="0"/>
              <w:rPr>
                <w:sz w:val="22"/>
                <w:lang w:val="en-GB"/>
              </w:rPr>
            </w:pPr>
          </w:p>
        </w:tc>
        <w:tc>
          <w:tcPr>
            <w:tcW w:w="1068" w:type="dxa"/>
            <w:shd w:val="clear" w:color="auto" w:fill="auto"/>
          </w:tcPr>
          <w:p w:rsidR="00D90216" w:rsidRPr="009E04DD" w:rsidRDefault="00D90216" w:rsidP="00D72DD9">
            <w:pPr>
              <w:pStyle w:val="BodyTextIndent"/>
              <w:ind w:left="0"/>
              <w:rPr>
                <w:sz w:val="22"/>
                <w:lang w:val="en-GB"/>
              </w:rPr>
            </w:pPr>
          </w:p>
        </w:tc>
        <w:tc>
          <w:tcPr>
            <w:tcW w:w="1026" w:type="dxa"/>
            <w:shd w:val="clear" w:color="auto" w:fill="auto"/>
          </w:tcPr>
          <w:p w:rsidR="00D90216" w:rsidRPr="009E04DD" w:rsidRDefault="00D90216" w:rsidP="00D72DD9">
            <w:pPr>
              <w:pStyle w:val="BodyTextIndent"/>
              <w:ind w:left="0"/>
              <w:rPr>
                <w:sz w:val="22"/>
                <w:lang w:val="en-GB"/>
              </w:rPr>
            </w:pPr>
          </w:p>
        </w:tc>
        <w:tc>
          <w:tcPr>
            <w:tcW w:w="1603" w:type="dxa"/>
            <w:shd w:val="clear" w:color="auto" w:fill="auto"/>
          </w:tcPr>
          <w:p w:rsidR="00D90216" w:rsidRPr="009E04DD" w:rsidRDefault="00D90216" w:rsidP="00D72DD9">
            <w:pPr>
              <w:pStyle w:val="BodyTextIndent"/>
              <w:ind w:left="0"/>
              <w:rPr>
                <w:sz w:val="22"/>
                <w:lang w:val="en-GB"/>
              </w:rPr>
            </w:pP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in 1 year</w:t>
            </w:r>
          </w:p>
        </w:tc>
        <w:tc>
          <w:tcPr>
            <w:tcW w:w="1250" w:type="dxa"/>
            <w:shd w:val="clear" w:color="auto" w:fill="auto"/>
            <w:vAlign w:val="center"/>
          </w:tcPr>
          <w:p w:rsidR="00BA33A4" w:rsidRPr="00752443" w:rsidRDefault="00347DE6" w:rsidP="00FE5821">
            <w:pPr>
              <w:tabs>
                <w:tab w:val="decimal" w:pos="738"/>
              </w:tabs>
              <w:rPr>
                <w:rFonts w:cs="Arial"/>
                <w:sz w:val="22"/>
                <w:szCs w:val="22"/>
              </w:rPr>
            </w:pPr>
            <w:r w:rsidRPr="00752443">
              <w:rPr>
                <w:rFonts w:cs="Arial"/>
                <w:sz w:val="22"/>
                <w:szCs w:val="22"/>
              </w:rPr>
              <w:t>676</w:t>
            </w:r>
          </w:p>
        </w:tc>
        <w:tc>
          <w:tcPr>
            <w:tcW w:w="1840" w:type="dxa"/>
            <w:shd w:val="clear" w:color="auto" w:fill="auto"/>
            <w:vAlign w:val="bottom"/>
          </w:tcPr>
          <w:p w:rsidR="00BA33A4" w:rsidRPr="00752443" w:rsidRDefault="00347DE6" w:rsidP="00FE5821">
            <w:pPr>
              <w:tabs>
                <w:tab w:val="decimal" w:pos="1212"/>
              </w:tabs>
              <w:rPr>
                <w:rFonts w:cs="Arial"/>
                <w:sz w:val="22"/>
                <w:szCs w:val="22"/>
              </w:rPr>
            </w:pPr>
            <w:r w:rsidRPr="00752443">
              <w:rPr>
                <w:rFonts w:cs="Arial"/>
                <w:sz w:val="22"/>
                <w:szCs w:val="22"/>
              </w:rPr>
              <w:t>314</w:t>
            </w:r>
          </w:p>
        </w:tc>
        <w:tc>
          <w:tcPr>
            <w:tcW w:w="1068" w:type="dxa"/>
            <w:shd w:val="clear" w:color="auto" w:fill="auto"/>
            <w:vAlign w:val="center"/>
          </w:tcPr>
          <w:p w:rsidR="00BA33A4" w:rsidRPr="00752443" w:rsidRDefault="00C5039C" w:rsidP="00347DE6">
            <w:pPr>
              <w:tabs>
                <w:tab w:val="decimal" w:pos="662"/>
              </w:tabs>
              <w:rPr>
                <w:rFonts w:cs="Arial"/>
                <w:sz w:val="22"/>
                <w:szCs w:val="22"/>
              </w:rPr>
            </w:pPr>
            <w:r w:rsidRPr="00752443">
              <w:rPr>
                <w:rFonts w:cs="Arial"/>
                <w:sz w:val="22"/>
                <w:szCs w:val="22"/>
              </w:rPr>
              <w:t>1,</w:t>
            </w:r>
            <w:r w:rsidR="00347DE6" w:rsidRPr="00752443">
              <w:rPr>
                <w:rFonts w:cs="Arial"/>
                <w:sz w:val="22"/>
                <w:szCs w:val="22"/>
              </w:rPr>
              <w:t>379</w:t>
            </w:r>
          </w:p>
        </w:tc>
        <w:tc>
          <w:tcPr>
            <w:tcW w:w="1026" w:type="dxa"/>
            <w:shd w:val="clear" w:color="auto" w:fill="auto"/>
            <w:vAlign w:val="center"/>
          </w:tcPr>
          <w:p w:rsidR="00BA33A4" w:rsidRPr="00752443" w:rsidRDefault="00C5039C" w:rsidP="00347DE6">
            <w:pPr>
              <w:tabs>
                <w:tab w:val="decimal" w:pos="648"/>
              </w:tabs>
              <w:rPr>
                <w:rFonts w:cs="Arial"/>
                <w:sz w:val="22"/>
                <w:szCs w:val="22"/>
              </w:rPr>
            </w:pPr>
            <w:r w:rsidRPr="00752443">
              <w:rPr>
                <w:rFonts w:cs="Arial"/>
                <w:sz w:val="22"/>
                <w:szCs w:val="22"/>
              </w:rPr>
              <w:t>2,</w:t>
            </w:r>
            <w:r w:rsidR="00347DE6" w:rsidRPr="00752443">
              <w:rPr>
                <w:rFonts w:cs="Arial"/>
                <w:sz w:val="22"/>
                <w:szCs w:val="22"/>
              </w:rPr>
              <w:t>369</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1,734</w:t>
            </w:r>
          </w:p>
        </w:tc>
      </w:tr>
      <w:tr w:rsidR="00BA33A4" w:rsidRPr="00D72DD9" w:rsidTr="00FE5821">
        <w:trPr>
          <w:trHeight w:val="257"/>
        </w:trPr>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within 2-5 years</w:t>
            </w:r>
          </w:p>
        </w:tc>
        <w:tc>
          <w:tcPr>
            <w:tcW w:w="1250" w:type="dxa"/>
            <w:shd w:val="clear" w:color="auto" w:fill="auto"/>
            <w:vAlign w:val="bottom"/>
          </w:tcPr>
          <w:p w:rsidR="00BA33A4" w:rsidRPr="00752443" w:rsidRDefault="00C5039C" w:rsidP="00347DE6">
            <w:pPr>
              <w:tabs>
                <w:tab w:val="decimal" w:pos="738"/>
              </w:tabs>
              <w:rPr>
                <w:rFonts w:cs="Arial"/>
                <w:sz w:val="22"/>
                <w:szCs w:val="22"/>
              </w:rPr>
            </w:pPr>
            <w:r w:rsidRPr="00752443">
              <w:rPr>
                <w:rFonts w:cs="Arial"/>
                <w:sz w:val="22"/>
                <w:szCs w:val="22"/>
              </w:rPr>
              <w:t>2,</w:t>
            </w:r>
            <w:r w:rsidR="00347DE6" w:rsidRPr="00752443">
              <w:rPr>
                <w:rFonts w:cs="Arial"/>
                <w:sz w:val="22"/>
                <w:szCs w:val="22"/>
              </w:rPr>
              <w:t>893</w:t>
            </w:r>
          </w:p>
        </w:tc>
        <w:tc>
          <w:tcPr>
            <w:tcW w:w="1840" w:type="dxa"/>
            <w:shd w:val="clear" w:color="auto" w:fill="auto"/>
            <w:vAlign w:val="bottom"/>
          </w:tcPr>
          <w:p w:rsidR="00BA33A4" w:rsidRPr="00752443" w:rsidRDefault="00C5039C" w:rsidP="00347DE6">
            <w:pPr>
              <w:tabs>
                <w:tab w:val="decimal" w:pos="1212"/>
              </w:tabs>
              <w:rPr>
                <w:rFonts w:cs="Arial"/>
                <w:sz w:val="22"/>
                <w:szCs w:val="22"/>
              </w:rPr>
            </w:pPr>
            <w:r w:rsidRPr="00752443">
              <w:rPr>
                <w:rFonts w:cs="Arial"/>
                <w:sz w:val="22"/>
                <w:szCs w:val="22"/>
              </w:rPr>
              <w:t>1,</w:t>
            </w:r>
            <w:r w:rsidR="00347DE6" w:rsidRPr="00752443">
              <w:rPr>
                <w:rFonts w:cs="Arial"/>
                <w:sz w:val="22"/>
                <w:szCs w:val="22"/>
              </w:rPr>
              <w:t>566</w:t>
            </w:r>
          </w:p>
        </w:tc>
        <w:tc>
          <w:tcPr>
            <w:tcW w:w="1068" w:type="dxa"/>
            <w:shd w:val="clear" w:color="auto" w:fill="auto"/>
            <w:vAlign w:val="center"/>
          </w:tcPr>
          <w:p w:rsidR="00BA33A4" w:rsidRPr="00752443" w:rsidRDefault="00C5039C" w:rsidP="00347DE6">
            <w:pPr>
              <w:tabs>
                <w:tab w:val="decimal" w:pos="662"/>
              </w:tabs>
              <w:rPr>
                <w:rFonts w:cs="Arial"/>
                <w:sz w:val="22"/>
                <w:szCs w:val="22"/>
              </w:rPr>
            </w:pPr>
            <w:r w:rsidRPr="00752443">
              <w:rPr>
                <w:rFonts w:cs="Arial"/>
                <w:sz w:val="22"/>
                <w:szCs w:val="22"/>
              </w:rPr>
              <w:t>5,</w:t>
            </w:r>
            <w:r w:rsidR="00347DE6" w:rsidRPr="00752443">
              <w:rPr>
                <w:rFonts w:cs="Arial"/>
                <w:sz w:val="22"/>
                <w:szCs w:val="22"/>
              </w:rPr>
              <w:t>290</w:t>
            </w:r>
          </w:p>
        </w:tc>
        <w:tc>
          <w:tcPr>
            <w:tcW w:w="1026" w:type="dxa"/>
            <w:shd w:val="clear" w:color="auto" w:fill="auto"/>
            <w:vAlign w:val="center"/>
          </w:tcPr>
          <w:p w:rsidR="00BA33A4" w:rsidRPr="00752443" w:rsidRDefault="00C5039C" w:rsidP="00347DE6">
            <w:pPr>
              <w:tabs>
                <w:tab w:val="decimal" w:pos="648"/>
              </w:tabs>
              <w:rPr>
                <w:rFonts w:cs="Arial"/>
                <w:sz w:val="22"/>
                <w:szCs w:val="22"/>
              </w:rPr>
            </w:pPr>
            <w:r w:rsidRPr="00752443">
              <w:rPr>
                <w:rFonts w:cs="Arial"/>
                <w:sz w:val="22"/>
                <w:szCs w:val="22"/>
              </w:rPr>
              <w:t>9,</w:t>
            </w:r>
            <w:r w:rsidR="00347DE6" w:rsidRPr="00752443">
              <w:rPr>
                <w:rFonts w:cs="Arial"/>
                <w:sz w:val="22"/>
                <w:szCs w:val="22"/>
              </w:rPr>
              <w:t>749</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6,935</w:t>
            </w: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within 6-10 years</w:t>
            </w:r>
          </w:p>
        </w:tc>
        <w:tc>
          <w:tcPr>
            <w:tcW w:w="1250" w:type="dxa"/>
            <w:shd w:val="clear" w:color="auto" w:fill="auto"/>
            <w:vAlign w:val="bottom"/>
          </w:tcPr>
          <w:p w:rsidR="00BA33A4" w:rsidRPr="00752443" w:rsidRDefault="00C5039C" w:rsidP="00347DE6">
            <w:pPr>
              <w:tabs>
                <w:tab w:val="decimal" w:pos="738"/>
              </w:tabs>
              <w:rPr>
                <w:rFonts w:cs="Arial"/>
                <w:sz w:val="22"/>
                <w:szCs w:val="22"/>
              </w:rPr>
            </w:pPr>
            <w:r w:rsidRPr="00752443">
              <w:rPr>
                <w:rFonts w:cs="Arial"/>
                <w:sz w:val="22"/>
                <w:szCs w:val="22"/>
              </w:rPr>
              <w:t>4,</w:t>
            </w:r>
            <w:r w:rsidR="00347DE6" w:rsidRPr="00752443">
              <w:rPr>
                <w:rFonts w:cs="Arial"/>
                <w:sz w:val="22"/>
                <w:szCs w:val="22"/>
              </w:rPr>
              <w:t>091</w:t>
            </w:r>
          </w:p>
        </w:tc>
        <w:tc>
          <w:tcPr>
            <w:tcW w:w="1840" w:type="dxa"/>
            <w:shd w:val="clear" w:color="auto" w:fill="auto"/>
            <w:vAlign w:val="bottom"/>
          </w:tcPr>
          <w:p w:rsidR="00BA33A4" w:rsidRPr="00752443" w:rsidRDefault="00347DE6" w:rsidP="00347DE6">
            <w:pPr>
              <w:tabs>
                <w:tab w:val="decimal" w:pos="1212"/>
              </w:tabs>
              <w:rPr>
                <w:rFonts w:cs="Arial"/>
                <w:sz w:val="22"/>
                <w:szCs w:val="22"/>
              </w:rPr>
            </w:pPr>
            <w:r w:rsidRPr="00752443">
              <w:rPr>
                <w:rFonts w:cs="Arial"/>
                <w:sz w:val="22"/>
                <w:szCs w:val="22"/>
              </w:rPr>
              <w:t>2</w:t>
            </w:r>
            <w:r w:rsidR="00C5039C" w:rsidRPr="00752443">
              <w:rPr>
                <w:rFonts w:cs="Arial"/>
                <w:sz w:val="22"/>
                <w:szCs w:val="22"/>
              </w:rPr>
              <w:t>,</w:t>
            </w:r>
            <w:r w:rsidRPr="00752443">
              <w:rPr>
                <w:rFonts w:cs="Arial"/>
                <w:sz w:val="22"/>
                <w:szCs w:val="22"/>
              </w:rPr>
              <w:t>893</w:t>
            </w:r>
          </w:p>
        </w:tc>
        <w:tc>
          <w:tcPr>
            <w:tcW w:w="1068" w:type="dxa"/>
            <w:shd w:val="clear" w:color="auto" w:fill="auto"/>
            <w:vAlign w:val="center"/>
          </w:tcPr>
          <w:p w:rsidR="00BA33A4" w:rsidRPr="00752443" w:rsidRDefault="00C5039C" w:rsidP="00347DE6">
            <w:pPr>
              <w:tabs>
                <w:tab w:val="decimal" w:pos="662"/>
              </w:tabs>
              <w:rPr>
                <w:rFonts w:cs="Arial"/>
                <w:sz w:val="22"/>
                <w:szCs w:val="22"/>
              </w:rPr>
            </w:pPr>
            <w:r w:rsidRPr="00752443">
              <w:rPr>
                <w:rFonts w:cs="Arial"/>
                <w:sz w:val="22"/>
                <w:szCs w:val="22"/>
              </w:rPr>
              <w:t>5,</w:t>
            </w:r>
            <w:r w:rsidR="00347DE6" w:rsidRPr="00752443">
              <w:rPr>
                <w:rFonts w:cs="Arial"/>
                <w:sz w:val="22"/>
                <w:szCs w:val="22"/>
              </w:rPr>
              <w:t>857</w:t>
            </w:r>
          </w:p>
        </w:tc>
        <w:tc>
          <w:tcPr>
            <w:tcW w:w="1026" w:type="dxa"/>
            <w:shd w:val="clear" w:color="auto" w:fill="auto"/>
            <w:vAlign w:val="center"/>
          </w:tcPr>
          <w:p w:rsidR="00BA33A4" w:rsidRPr="00752443" w:rsidRDefault="00C5039C" w:rsidP="00347DE6">
            <w:pPr>
              <w:tabs>
                <w:tab w:val="decimal" w:pos="648"/>
              </w:tabs>
              <w:rPr>
                <w:rFonts w:cs="Arial"/>
                <w:sz w:val="22"/>
                <w:szCs w:val="22"/>
              </w:rPr>
            </w:pPr>
            <w:r w:rsidRPr="00752443">
              <w:rPr>
                <w:rFonts w:cs="Arial"/>
                <w:sz w:val="22"/>
                <w:szCs w:val="22"/>
              </w:rPr>
              <w:t>12,</w:t>
            </w:r>
            <w:r w:rsidR="00347DE6" w:rsidRPr="00752443">
              <w:rPr>
                <w:rFonts w:cs="Arial"/>
                <w:sz w:val="22"/>
                <w:szCs w:val="22"/>
              </w:rPr>
              <w:t>841</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8,668</w:t>
            </w: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within 11-15 years</w:t>
            </w:r>
          </w:p>
        </w:tc>
        <w:tc>
          <w:tcPr>
            <w:tcW w:w="1250" w:type="dxa"/>
            <w:shd w:val="clear" w:color="auto" w:fill="auto"/>
            <w:vAlign w:val="bottom"/>
          </w:tcPr>
          <w:p w:rsidR="00BA33A4" w:rsidRPr="00752443" w:rsidRDefault="00C5039C" w:rsidP="00347DE6">
            <w:pPr>
              <w:tabs>
                <w:tab w:val="decimal" w:pos="738"/>
              </w:tabs>
              <w:rPr>
                <w:rFonts w:cs="Arial"/>
                <w:sz w:val="22"/>
                <w:szCs w:val="22"/>
              </w:rPr>
            </w:pPr>
            <w:r w:rsidRPr="00752443">
              <w:rPr>
                <w:rFonts w:cs="Arial"/>
                <w:sz w:val="22"/>
                <w:szCs w:val="22"/>
              </w:rPr>
              <w:t>4,</w:t>
            </w:r>
            <w:r w:rsidR="00347DE6" w:rsidRPr="00752443">
              <w:rPr>
                <w:rFonts w:cs="Arial"/>
                <w:sz w:val="22"/>
                <w:szCs w:val="22"/>
              </w:rPr>
              <w:t>693</w:t>
            </w:r>
          </w:p>
        </w:tc>
        <w:tc>
          <w:tcPr>
            <w:tcW w:w="1840" w:type="dxa"/>
            <w:shd w:val="clear" w:color="auto" w:fill="auto"/>
            <w:vAlign w:val="bottom"/>
          </w:tcPr>
          <w:p w:rsidR="00BA33A4" w:rsidRPr="00752443" w:rsidRDefault="00C5039C" w:rsidP="00347DE6">
            <w:pPr>
              <w:tabs>
                <w:tab w:val="decimal" w:pos="1212"/>
              </w:tabs>
              <w:rPr>
                <w:rFonts w:cs="Arial"/>
                <w:sz w:val="22"/>
                <w:szCs w:val="22"/>
              </w:rPr>
            </w:pPr>
            <w:r w:rsidRPr="00752443">
              <w:rPr>
                <w:rFonts w:cs="Arial"/>
                <w:sz w:val="22"/>
                <w:szCs w:val="22"/>
              </w:rPr>
              <w:t>4,</w:t>
            </w:r>
            <w:r w:rsidR="00347DE6" w:rsidRPr="00752443">
              <w:rPr>
                <w:rFonts w:cs="Arial"/>
                <w:sz w:val="22"/>
                <w:szCs w:val="22"/>
              </w:rPr>
              <w:t>620</w:t>
            </w:r>
          </w:p>
        </w:tc>
        <w:tc>
          <w:tcPr>
            <w:tcW w:w="1068" w:type="dxa"/>
            <w:shd w:val="clear" w:color="auto" w:fill="auto"/>
            <w:vAlign w:val="center"/>
          </w:tcPr>
          <w:p w:rsidR="00BA33A4" w:rsidRPr="00752443" w:rsidRDefault="00347DE6" w:rsidP="00347DE6">
            <w:pPr>
              <w:tabs>
                <w:tab w:val="decimal" w:pos="662"/>
              </w:tabs>
              <w:rPr>
                <w:rFonts w:cs="Arial"/>
                <w:sz w:val="22"/>
                <w:szCs w:val="22"/>
              </w:rPr>
            </w:pPr>
            <w:r w:rsidRPr="00752443">
              <w:rPr>
                <w:rFonts w:cs="Arial"/>
                <w:sz w:val="22"/>
                <w:szCs w:val="22"/>
              </w:rPr>
              <w:t>4</w:t>
            </w:r>
            <w:r w:rsidR="00C5039C" w:rsidRPr="00752443">
              <w:rPr>
                <w:rFonts w:cs="Arial"/>
                <w:sz w:val="22"/>
                <w:szCs w:val="22"/>
              </w:rPr>
              <w:t>,</w:t>
            </w:r>
            <w:r w:rsidRPr="00752443">
              <w:rPr>
                <w:rFonts w:cs="Arial"/>
                <w:sz w:val="22"/>
                <w:szCs w:val="22"/>
              </w:rPr>
              <w:t>130</w:t>
            </w:r>
          </w:p>
        </w:tc>
        <w:tc>
          <w:tcPr>
            <w:tcW w:w="1026" w:type="dxa"/>
            <w:shd w:val="clear" w:color="auto" w:fill="auto"/>
            <w:vAlign w:val="center"/>
          </w:tcPr>
          <w:p w:rsidR="00BA33A4" w:rsidRPr="00752443" w:rsidRDefault="00C5039C" w:rsidP="00347DE6">
            <w:pPr>
              <w:tabs>
                <w:tab w:val="decimal" w:pos="648"/>
              </w:tabs>
              <w:rPr>
                <w:rFonts w:cs="Arial"/>
                <w:sz w:val="22"/>
                <w:szCs w:val="22"/>
              </w:rPr>
            </w:pPr>
            <w:r w:rsidRPr="00752443">
              <w:rPr>
                <w:rFonts w:cs="Arial"/>
                <w:sz w:val="22"/>
                <w:szCs w:val="22"/>
              </w:rPr>
              <w:t>13,</w:t>
            </w:r>
            <w:r w:rsidR="00347DE6" w:rsidRPr="00752443">
              <w:rPr>
                <w:rFonts w:cs="Arial"/>
                <w:sz w:val="22"/>
                <w:szCs w:val="22"/>
              </w:rPr>
              <w:t>443</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8,648</w:t>
            </w: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within 16-20 years</w:t>
            </w:r>
          </w:p>
        </w:tc>
        <w:tc>
          <w:tcPr>
            <w:tcW w:w="1250" w:type="dxa"/>
            <w:shd w:val="clear" w:color="auto" w:fill="auto"/>
            <w:vAlign w:val="bottom"/>
          </w:tcPr>
          <w:p w:rsidR="00BA33A4" w:rsidRPr="00752443" w:rsidRDefault="00C5039C" w:rsidP="00347DE6">
            <w:pPr>
              <w:tabs>
                <w:tab w:val="decimal" w:pos="738"/>
              </w:tabs>
              <w:rPr>
                <w:rFonts w:cs="Arial"/>
                <w:sz w:val="22"/>
                <w:szCs w:val="22"/>
              </w:rPr>
            </w:pPr>
            <w:r w:rsidRPr="00752443">
              <w:rPr>
                <w:rFonts w:cs="Arial"/>
                <w:sz w:val="22"/>
                <w:szCs w:val="22"/>
              </w:rPr>
              <w:t>3,</w:t>
            </w:r>
            <w:r w:rsidR="00347DE6" w:rsidRPr="00752443">
              <w:rPr>
                <w:rFonts w:cs="Arial"/>
                <w:sz w:val="22"/>
                <w:szCs w:val="22"/>
              </w:rPr>
              <w:t>380</w:t>
            </w:r>
          </w:p>
        </w:tc>
        <w:tc>
          <w:tcPr>
            <w:tcW w:w="1840" w:type="dxa"/>
            <w:shd w:val="clear" w:color="auto" w:fill="auto"/>
            <w:vAlign w:val="bottom"/>
          </w:tcPr>
          <w:p w:rsidR="00BA33A4" w:rsidRPr="00752443" w:rsidRDefault="00C5039C" w:rsidP="00347DE6">
            <w:pPr>
              <w:tabs>
                <w:tab w:val="decimal" w:pos="1212"/>
              </w:tabs>
              <w:rPr>
                <w:rFonts w:cs="Arial"/>
                <w:sz w:val="22"/>
                <w:szCs w:val="22"/>
              </w:rPr>
            </w:pPr>
            <w:r w:rsidRPr="00752443">
              <w:rPr>
                <w:rFonts w:cs="Arial"/>
                <w:sz w:val="22"/>
                <w:szCs w:val="22"/>
              </w:rPr>
              <w:t>4,</w:t>
            </w:r>
            <w:r w:rsidR="00347DE6" w:rsidRPr="00752443">
              <w:rPr>
                <w:rFonts w:cs="Arial"/>
                <w:sz w:val="22"/>
                <w:szCs w:val="22"/>
              </w:rPr>
              <w:t>580</w:t>
            </w:r>
          </w:p>
        </w:tc>
        <w:tc>
          <w:tcPr>
            <w:tcW w:w="1068" w:type="dxa"/>
            <w:shd w:val="clear" w:color="auto" w:fill="auto"/>
            <w:vAlign w:val="center"/>
          </w:tcPr>
          <w:p w:rsidR="00BA33A4" w:rsidRPr="00752443" w:rsidRDefault="00C5039C" w:rsidP="00347DE6">
            <w:pPr>
              <w:tabs>
                <w:tab w:val="decimal" w:pos="662"/>
              </w:tabs>
              <w:rPr>
                <w:rFonts w:cs="Arial"/>
                <w:sz w:val="22"/>
                <w:szCs w:val="22"/>
              </w:rPr>
            </w:pPr>
            <w:r w:rsidRPr="00752443">
              <w:rPr>
                <w:rFonts w:cs="Arial"/>
                <w:sz w:val="22"/>
                <w:szCs w:val="22"/>
              </w:rPr>
              <w:t>1,</w:t>
            </w:r>
            <w:r w:rsidR="00347DE6" w:rsidRPr="00752443">
              <w:rPr>
                <w:rFonts w:cs="Arial"/>
                <w:sz w:val="22"/>
                <w:szCs w:val="22"/>
              </w:rPr>
              <w:t>916</w:t>
            </w:r>
          </w:p>
        </w:tc>
        <w:tc>
          <w:tcPr>
            <w:tcW w:w="1026" w:type="dxa"/>
            <w:shd w:val="clear" w:color="auto" w:fill="auto"/>
            <w:vAlign w:val="center"/>
          </w:tcPr>
          <w:p w:rsidR="00BA33A4" w:rsidRPr="00752443" w:rsidRDefault="00347DE6" w:rsidP="00347DE6">
            <w:pPr>
              <w:tabs>
                <w:tab w:val="decimal" w:pos="648"/>
              </w:tabs>
              <w:rPr>
                <w:rFonts w:cs="Arial"/>
                <w:sz w:val="22"/>
                <w:szCs w:val="22"/>
              </w:rPr>
            </w:pPr>
            <w:r w:rsidRPr="00752443">
              <w:rPr>
                <w:rFonts w:cs="Arial"/>
                <w:sz w:val="22"/>
                <w:szCs w:val="22"/>
              </w:rPr>
              <w:t>9</w:t>
            </w:r>
            <w:r w:rsidR="00C5039C" w:rsidRPr="00752443">
              <w:rPr>
                <w:rFonts w:cs="Arial"/>
                <w:sz w:val="22"/>
                <w:szCs w:val="22"/>
              </w:rPr>
              <w:t>,</w:t>
            </w:r>
            <w:r w:rsidRPr="00752443">
              <w:rPr>
                <w:rFonts w:cs="Arial"/>
                <w:sz w:val="22"/>
                <w:szCs w:val="22"/>
              </w:rPr>
              <w:t>876</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6,246</w:t>
            </w: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Payable within 21-25 years</w:t>
            </w:r>
          </w:p>
        </w:tc>
        <w:tc>
          <w:tcPr>
            <w:tcW w:w="1250" w:type="dxa"/>
            <w:shd w:val="clear" w:color="auto" w:fill="auto"/>
            <w:vAlign w:val="bottom"/>
          </w:tcPr>
          <w:p w:rsidR="00BA33A4" w:rsidRPr="00752443" w:rsidRDefault="00347DE6" w:rsidP="00FE5821">
            <w:pPr>
              <w:tabs>
                <w:tab w:val="decimal" w:pos="738"/>
              </w:tabs>
              <w:rPr>
                <w:rFonts w:cs="Arial"/>
                <w:sz w:val="22"/>
                <w:szCs w:val="22"/>
              </w:rPr>
            </w:pPr>
            <w:r w:rsidRPr="00752443">
              <w:rPr>
                <w:rFonts w:cs="Arial"/>
                <w:sz w:val="22"/>
                <w:szCs w:val="22"/>
              </w:rPr>
              <w:t>262</w:t>
            </w:r>
          </w:p>
        </w:tc>
        <w:tc>
          <w:tcPr>
            <w:tcW w:w="1840" w:type="dxa"/>
            <w:shd w:val="clear" w:color="auto" w:fill="auto"/>
            <w:vAlign w:val="bottom"/>
          </w:tcPr>
          <w:p w:rsidR="00BA33A4" w:rsidRPr="00752443" w:rsidRDefault="00347DE6" w:rsidP="00FE5821">
            <w:pPr>
              <w:tabs>
                <w:tab w:val="decimal" w:pos="1212"/>
              </w:tabs>
              <w:rPr>
                <w:rFonts w:cs="Arial"/>
                <w:sz w:val="22"/>
                <w:szCs w:val="22"/>
              </w:rPr>
            </w:pPr>
            <w:r w:rsidRPr="00752443">
              <w:rPr>
                <w:rFonts w:cs="Arial"/>
                <w:sz w:val="22"/>
                <w:szCs w:val="22"/>
              </w:rPr>
              <w:t>258</w:t>
            </w:r>
          </w:p>
        </w:tc>
        <w:tc>
          <w:tcPr>
            <w:tcW w:w="1068" w:type="dxa"/>
            <w:shd w:val="clear" w:color="auto" w:fill="auto"/>
            <w:vAlign w:val="center"/>
          </w:tcPr>
          <w:p w:rsidR="00BA33A4" w:rsidRPr="00752443" w:rsidRDefault="00347DE6" w:rsidP="00FE5821">
            <w:pPr>
              <w:tabs>
                <w:tab w:val="decimal" w:pos="662"/>
              </w:tabs>
              <w:rPr>
                <w:rFonts w:cs="Arial"/>
                <w:sz w:val="22"/>
                <w:szCs w:val="22"/>
              </w:rPr>
            </w:pPr>
            <w:r w:rsidRPr="00752443">
              <w:rPr>
                <w:rFonts w:cs="Arial"/>
                <w:sz w:val="22"/>
                <w:szCs w:val="22"/>
              </w:rPr>
              <w:t>12</w:t>
            </w:r>
          </w:p>
        </w:tc>
        <w:tc>
          <w:tcPr>
            <w:tcW w:w="1026" w:type="dxa"/>
            <w:shd w:val="clear" w:color="auto" w:fill="auto"/>
            <w:vAlign w:val="center"/>
          </w:tcPr>
          <w:p w:rsidR="00BA33A4" w:rsidRPr="00752443" w:rsidRDefault="00347DE6" w:rsidP="00FE5821">
            <w:pPr>
              <w:tabs>
                <w:tab w:val="decimal" w:pos="648"/>
              </w:tabs>
              <w:rPr>
                <w:rFonts w:cs="Arial"/>
                <w:sz w:val="22"/>
                <w:szCs w:val="22"/>
              </w:rPr>
            </w:pPr>
            <w:r w:rsidRPr="00752443">
              <w:rPr>
                <w:rFonts w:cs="Arial"/>
                <w:sz w:val="22"/>
                <w:szCs w:val="22"/>
              </w:rPr>
              <w:t>532</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365</w:t>
            </w: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p>
        </w:tc>
        <w:tc>
          <w:tcPr>
            <w:tcW w:w="1250" w:type="dxa"/>
            <w:shd w:val="clear" w:color="auto" w:fill="auto"/>
            <w:vAlign w:val="bottom"/>
          </w:tcPr>
          <w:p w:rsidR="00BA33A4" w:rsidRPr="00752443" w:rsidRDefault="00BA33A4" w:rsidP="00FE5821">
            <w:pPr>
              <w:tabs>
                <w:tab w:val="decimal" w:pos="738"/>
              </w:tabs>
              <w:rPr>
                <w:rFonts w:cs="Arial"/>
                <w:sz w:val="22"/>
                <w:szCs w:val="22"/>
              </w:rPr>
            </w:pPr>
          </w:p>
        </w:tc>
        <w:tc>
          <w:tcPr>
            <w:tcW w:w="1840" w:type="dxa"/>
            <w:shd w:val="clear" w:color="auto" w:fill="auto"/>
            <w:vAlign w:val="bottom"/>
          </w:tcPr>
          <w:p w:rsidR="00BA33A4" w:rsidRPr="00752443" w:rsidRDefault="00BA33A4" w:rsidP="00FE5821">
            <w:pPr>
              <w:tabs>
                <w:tab w:val="decimal" w:pos="1212"/>
              </w:tabs>
              <w:rPr>
                <w:rFonts w:cs="Arial"/>
                <w:sz w:val="22"/>
                <w:szCs w:val="22"/>
              </w:rPr>
            </w:pPr>
          </w:p>
        </w:tc>
        <w:tc>
          <w:tcPr>
            <w:tcW w:w="1068" w:type="dxa"/>
            <w:shd w:val="clear" w:color="auto" w:fill="auto"/>
            <w:vAlign w:val="center"/>
          </w:tcPr>
          <w:p w:rsidR="00BA33A4" w:rsidRPr="00752443" w:rsidRDefault="00BA33A4" w:rsidP="00FE5821">
            <w:pPr>
              <w:tabs>
                <w:tab w:val="decimal" w:pos="662"/>
              </w:tabs>
              <w:rPr>
                <w:rFonts w:cs="Arial"/>
                <w:sz w:val="22"/>
                <w:szCs w:val="22"/>
              </w:rPr>
            </w:pPr>
          </w:p>
        </w:tc>
        <w:tc>
          <w:tcPr>
            <w:tcW w:w="1026" w:type="dxa"/>
            <w:shd w:val="clear" w:color="auto" w:fill="auto"/>
            <w:vAlign w:val="center"/>
          </w:tcPr>
          <w:p w:rsidR="00BA33A4" w:rsidRPr="00752443" w:rsidRDefault="00BA33A4" w:rsidP="00FE5821">
            <w:pPr>
              <w:tabs>
                <w:tab w:val="decimal" w:pos="648"/>
              </w:tabs>
              <w:rPr>
                <w:rFonts w:cs="Arial"/>
                <w:sz w:val="22"/>
                <w:szCs w:val="22"/>
              </w:rPr>
            </w:pPr>
          </w:p>
        </w:tc>
        <w:tc>
          <w:tcPr>
            <w:tcW w:w="1603" w:type="dxa"/>
            <w:shd w:val="clear" w:color="auto" w:fill="auto"/>
            <w:vAlign w:val="bottom"/>
          </w:tcPr>
          <w:p w:rsidR="00BA33A4" w:rsidRPr="00FE5821" w:rsidRDefault="00BA33A4" w:rsidP="00FE5821">
            <w:pPr>
              <w:tabs>
                <w:tab w:val="decimal" w:pos="1046"/>
              </w:tabs>
              <w:rPr>
                <w:rFonts w:cs="Arial"/>
                <w:sz w:val="22"/>
                <w:szCs w:val="22"/>
              </w:rPr>
            </w:pPr>
          </w:p>
        </w:tc>
      </w:tr>
      <w:tr w:rsidR="00BA33A4" w:rsidRPr="00D72DD9" w:rsidTr="00FE5821">
        <w:tc>
          <w:tcPr>
            <w:tcW w:w="3402" w:type="dxa"/>
            <w:shd w:val="clear" w:color="auto" w:fill="auto"/>
            <w:vAlign w:val="bottom"/>
          </w:tcPr>
          <w:p w:rsidR="00BA33A4" w:rsidRPr="009E04DD" w:rsidRDefault="00BA33A4" w:rsidP="00FE5821">
            <w:pPr>
              <w:pStyle w:val="BodyTextIndent"/>
              <w:ind w:left="0"/>
              <w:rPr>
                <w:sz w:val="22"/>
                <w:lang w:val="en-GB"/>
              </w:rPr>
            </w:pPr>
            <w:r w:rsidRPr="009E04DD">
              <w:rPr>
                <w:sz w:val="22"/>
                <w:lang w:val="en-GB"/>
              </w:rPr>
              <w:t>Total</w:t>
            </w:r>
          </w:p>
        </w:tc>
        <w:tc>
          <w:tcPr>
            <w:tcW w:w="1250" w:type="dxa"/>
            <w:shd w:val="clear" w:color="auto" w:fill="auto"/>
            <w:vAlign w:val="bottom"/>
          </w:tcPr>
          <w:p w:rsidR="00BA33A4" w:rsidRPr="00752443" w:rsidRDefault="00C5039C" w:rsidP="00347DE6">
            <w:pPr>
              <w:tabs>
                <w:tab w:val="decimal" w:pos="738"/>
              </w:tabs>
              <w:rPr>
                <w:rFonts w:cs="Arial"/>
                <w:sz w:val="22"/>
                <w:szCs w:val="22"/>
              </w:rPr>
            </w:pPr>
            <w:r w:rsidRPr="00752443">
              <w:rPr>
                <w:rFonts w:cs="Arial"/>
                <w:sz w:val="22"/>
                <w:szCs w:val="22"/>
              </w:rPr>
              <w:t>15,</w:t>
            </w:r>
            <w:r w:rsidR="00347DE6" w:rsidRPr="00752443">
              <w:rPr>
                <w:rFonts w:cs="Arial"/>
                <w:sz w:val="22"/>
                <w:szCs w:val="22"/>
              </w:rPr>
              <w:t>995</w:t>
            </w:r>
          </w:p>
        </w:tc>
        <w:tc>
          <w:tcPr>
            <w:tcW w:w="1840" w:type="dxa"/>
            <w:shd w:val="clear" w:color="auto" w:fill="auto"/>
            <w:vAlign w:val="bottom"/>
          </w:tcPr>
          <w:p w:rsidR="00BA33A4" w:rsidRPr="00752443" w:rsidRDefault="00C5039C" w:rsidP="00347DE6">
            <w:pPr>
              <w:tabs>
                <w:tab w:val="decimal" w:pos="1212"/>
              </w:tabs>
              <w:rPr>
                <w:rFonts w:cs="Arial"/>
                <w:sz w:val="22"/>
                <w:szCs w:val="22"/>
              </w:rPr>
            </w:pPr>
            <w:r w:rsidRPr="00752443">
              <w:rPr>
                <w:rFonts w:cs="Arial"/>
                <w:sz w:val="22"/>
                <w:szCs w:val="22"/>
              </w:rPr>
              <w:t>1</w:t>
            </w:r>
            <w:r w:rsidR="00347DE6" w:rsidRPr="00752443">
              <w:rPr>
                <w:rFonts w:cs="Arial"/>
                <w:sz w:val="22"/>
                <w:szCs w:val="22"/>
              </w:rPr>
              <w:t>4</w:t>
            </w:r>
            <w:r w:rsidRPr="00752443">
              <w:rPr>
                <w:rFonts w:cs="Arial"/>
                <w:sz w:val="22"/>
                <w:szCs w:val="22"/>
              </w:rPr>
              <w:t>,</w:t>
            </w:r>
            <w:r w:rsidR="00347DE6" w:rsidRPr="00752443">
              <w:rPr>
                <w:rFonts w:cs="Arial"/>
                <w:sz w:val="22"/>
                <w:szCs w:val="22"/>
              </w:rPr>
              <w:t>231</w:t>
            </w:r>
          </w:p>
        </w:tc>
        <w:tc>
          <w:tcPr>
            <w:tcW w:w="1068" w:type="dxa"/>
            <w:shd w:val="clear" w:color="auto" w:fill="auto"/>
            <w:vAlign w:val="center"/>
          </w:tcPr>
          <w:p w:rsidR="00BA33A4" w:rsidRPr="00752443" w:rsidRDefault="00C5039C" w:rsidP="00347DE6">
            <w:pPr>
              <w:tabs>
                <w:tab w:val="decimal" w:pos="662"/>
              </w:tabs>
              <w:rPr>
                <w:rFonts w:cs="Arial"/>
                <w:sz w:val="22"/>
                <w:szCs w:val="22"/>
              </w:rPr>
            </w:pPr>
            <w:r w:rsidRPr="00752443">
              <w:rPr>
                <w:rFonts w:cs="Arial"/>
                <w:sz w:val="22"/>
                <w:szCs w:val="22"/>
              </w:rPr>
              <w:t>1</w:t>
            </w:r>
            <w:r w:rsidR="00347DE6" w:rsidRPr="00752443">
              <w:rPr>
                <w:rFonts w:cs="Arial"/>
                <w:sz w:val="22"/>
                <w:szCs w:val="22"/>
              </w:rPr>
              <w:t>8</w:t>
            </w:r>
            <w:r w:rsidRPr="00752443">
              <w:rPr>
                <w:rFonts w:cs="Arial"/>
                <w:sz w:val="22"/>
                <w:szCs w:val="22"/>
              </w:rPr>
              <w:t>,58</w:t>
            </w:r>
            <w:r w:rsidR="00347DE6" w:rsidRPr="00752443">
              <w:rPr>
                <w:rFonts w:cs="Arial"/>
                <w:sz w:val="22"/>
                <w:szCs w:val="22"/>
              </w:rPr>
              <w:t>6</w:t>
            </w:r>
          </w:p>
        </w:tc>
        <w:tc>
          <w:tcPr>
            <w:tcW w:w="1026" w:type="dxa"/>
            <w:shd w:val="clear" w:color="auto" w:fill="auto"/>
            <w:vAlign w:val="center"/>
          </w:tcPr>
          <w:p w:rsidR="00BA33A4" w:rsidRPr="00752443" w:rsidRDefault="00C5039C" w:rsidP="00347DE6">
            <w:pPr>
              <w:tabs>
                <w:tab w:val="decimal" w:pos="648"/>
              </w:tabs>
              <w:rPr>
                <w:rFonts w:cs="Arial"/>
                <w:sz w:val="22"/>
                <w:szCs w:val="22"/>
              </w:rPr>
            </w:pPr>
            <w:r w:rsidRPr="00752443">
              <w:rPr>
                <w:rFonts w:cs="Arial"/>
                <w:sz w:val="22"/>
                <w:szCs w:val="22"/>
              </w:rPr>
              <w:t>4</w:t>
            </w:r>
            <w:r w:rsidR="00347DE6" w:rsidRPr="00752443">
              <w:rPr>
                <w:rFonts w:cs="Arial"/>
                <w:sz w:val="22"/>
                <w:szCs w:val="22"/>
              </w:rPr>
              <w:t>8</w:t>
            </w:r>
            <w:r w:rsidRPr="00752443">
              <w:rPr>
                <w:rFonts w:cs="Arial"/>
                <w:sz w:val="22"/>
                <w:szCs w:val="22"/>
              </w:rPr>
              <w:t>,</w:t>
            </w:r>
            <w:r w:rsidR="00347DE6" w:rsidRPr="00752443">
              <w:rPr>
                <w:rFonts w:cs="Arial"/>
                <w:sz w:val="22"/>
                <w:szCs w:val="22"/>
              </w:rPr>
              <w:t>810</w:t>
            </w:r>
          </w:p>
        </w:tc>
        <w:tc>
          <w:tcPr>
            <w:tcW w:w="1603" w:type="dxa"/>
            <w:shd w:val="clear" w:color="auto" w:fill="auto"/>
            <w:vAlign w:val="bottom"/>
          </w:tcPr>
          <w:p w:rsidR="00BA33A4" w:rsidRPr="00FE5821" w:rsidRDefault="00C5039C" w:rsidP="00FE5821">
            <w:pPr>
              <w:tabs>
                <w:tab w:val="decimal" w:pos="1046"/>
              </w:tabs>
              <w:rPr>
                <w:rFonts w:cs="Arial"/>
                <w:sz w:val="22"/>
                <w:szCs w:val="22"/>
              </w:rPr>
            </w:pPr>
            <w:r>
              <w:rPr>
                <w:rFonts w:cs="Arial"/>
                <w:sz w:val="22"/>
                <w:szCs w:val="22"/>
              </w:rPr>
              <w:t>32,596</w:t>
            </w:r>
          </w:p>
        </w:tc>
      </w:tr>
    </w:tbl>
    <w:p w:rsidR="00D90216" w:rsidRDefault="00D90216" w:rsidP="00D90216">
      <w:pPr>
        <w:pStyle w:val="BodyTextIndent"/>
        <w:rPr>
          <w:sz w:val="22"/>
          <w:highlight w:val="cyan"/>
          <w:lang w:val="en-GB"/>
        </w:rPr>
      </w:pPr>
    </w:p>
    <w:p w:rsidR="0061700B" w:rsidRDefault="0061700B" w:rsidP="0061700B">
      <w:pPr>
        <w:ind w:left="720"/>
        <w:jc w:val="both"/>
        <w:rPr>
          <w:sz w:val="22"/>
        </w:rPr>
      </w:pPr>
      <w:r w:rsidRPr="0061700B">
        <w:rPr>
          <w:sz w:val="22"/>
        </w:rPr>
        <w:t xml:space="preserve">Although the payments made to the contractor are described as unitary payments, they have been calculated to compensate the contractor for the fair value of the services they provide, the capital expenditure incurred and interest payable </w:t>
      </w:r>
      <w:r w:rsidR="00B1753C">
        <w:rPr>
          <w:sz w:val="22"/>
        </w:rPr>
        <w:t>over the life of the contract</w:t>
      </w:r>
      <w:r w:rsidRPr="0061700B">
        <w:rPr>
          <w:sz w:val="22"/>
        </w:rPr>
        <w:t>. The liability outstanding to pay the contractor for capital expenditure incurred is as follows</w:t>
      </w:r>
      <w:r>
        <w:rPr>
          <w:sz w:val="22"/>
        </w:rPr>
        <w:t>:</w:t>
      </w:r>
    </w:p>
    <w:p w:rsidR="0061700B" w:rsidRDefault="0061700B" w:rsidP="0061700B">
      <w:pPr>
        <w:ind w:left="720"/>
        <w:jc w:val="both"/>
        <w:rPr>
          <w:sz w:val="22"/>
        </w:rPr>
      </w:pPr>
    </w:p>
    <w:tbl>
      <w:tblPr>
        <w:tblW w:w="0" w:type="auto"/>
        <w:tblInd w:w="817" w:type="dxa"/>
        <w:tblLook w:val="01E0" w:firstRow="1" w:lastRow="1" w:firstColumn="1" w:lastColumn="1" w:noHBand="0" w:noVBand="0"/>
      </w:tblPr>
      <w:tblGrid>
        <w:gridCol w:w="5245"/>
        <w:gridCol w:w="1984"/>
        <w:gridCol w:w="1855"/>
      </w:tblGrid>
      <w:tr w:rsidR="00596141" w:rsidRPr="00D72DD9" w:rsidTr="00D72DD9">
        <w:tc>
          <w:tcPr>
            <w:tcW w:w="5245" w:type="dxa"/>
            <w:shd w:val="clear" w:color="auto" w:fill="auto"/>
          </w:tcPr>
          <w:p w:rsidR="00596141" w:rsidRPr="00D72DD9" w:rsidRDefault="00596141" w:rsidP="00D72DD9">
            <w:pPr>
              <w:jc w:val="both"/>
              <w:rPr>
                <w:sz w:val="22"/>
              </w:rPr>
            </w:pPr>
          </w:p>
        </w:tc>
        <w:tc>
          <w:tcPr>
            <w:tcW w:w="1984" w:type="dxa"/>
            <w:shd w:val="clear" w:color="auto" w:fill="auto"/>
          </w:tcPr>
          <w:p w:rsidR="00596141" w:rsidRPr="00D72DD9" w:rsidRDefault="00596141" w:rsidP="00596141">
            <w:pPr>
              <w:jc w:val="center"/>
              <w:rPr>
                <w:sz w:val="22"/>
              </w:rPr>
            </w:pPr>
            <w:r w:rsidRPr="00D72DD9">
              <w:rPr>
                <w:sz w:val="22"/>
              </w:rPr>
              <w:t>201</w:t>
            </w:r>
            <w:r>
              <w:rPr>
                <w:sz w:val="22"/>
              </w:rPr>
              <w:t>7/18</w:t>
            </w:r>
          </w:p>
        </w:tc>
        <w:tc>
          <w:tcPr>
            <w:tcW w:w="1855" w:type="dxa"/>
            <w:shd w:val="clear" w:color="auto" w:fill="auto"/>
          </w:tcPr>
          <w:p w:rsidR="00596141" w:rsidRPr="00D72DD9" w:rsidRDefault="00596141" w:rsidP="005274B5">
            <w:pPr>
              <w:jc w:val="center"/>
              <w:rPr>
                <w:sz w:val="22"/>
              </w:rPr>
            </w:pPr>
            <w:r w:rsidRPr="00D72DD9">
              <w:rPr>
                <w:sz w:val="22"/>
              </w:rPr>
              <w:t>201</w:t>
            </w:r>
            <w:r>
              <w:rPr>
                <w:sz w:val="22"/>
              </w:rPr>
              <w:t>6/17</w:t>
            </w:r>
          </w:p>
        </w:tc>
      </w:tr>
      <w:tr w:rsidR="0061700B" w:rsidRPr="00D72DD9" w:rsidTr="00D72DD9">
        <w:tc>
          <w:tcPr>
            <w:tcW w:w="5245" w:type="dxa"/>
            <w:shd w:val="clear" w:color="auto" w:fill="auto"/>
          </w:tcPr>
          <w:p w:rsidR="0061700B" w:rsidRPr="00D72DD9" w:rsidRDefault="0061700B" w:rsidP="00D72DD9">
            <w:pPr>
              <w:jc w:val="both"/>
              <w:rPr>
                <w:sz w:val="22"/>
              </w:rPr>
            </w:pPr>
          </w:p>
        </w:tc>
        <w:tc>
          <w:tcPr>
            <w:tcW w:w="1984" w:type="dxa"/>
            <w:shd w:val="clear" w:color="auto" w:fill="auto"/>
          </w:tcPr>
          <w:p w:rsidR="0061700B" w:rsidRPr="00D72DD9" w:rsidRDefault="0061700B" w:rsidP="00D72DD9">
            <w:pPr>
              <w:jc w:val="center"/>
              <w:rPr>
                <w:sz w:val="22"/>
              </w:rPr>
            </w:pPr>
            <w:r w:rsidRPr="00D72DD9">
              <w:rPr>
                <w:sz w:val="22"/>
              </w:rPr>
              <w:t>£000</w:t>
            </w:r>
          </w:p>
        </w:tc>
        <w:tc>
          <w:tcPr>
            <w:tcW w:w="1855" w:type="dxa"/>
            <w:shd w:val="clear" w:color="auto" w:fill="auto"/>
          </w:tcPr>
          <w:p w:rsidR="0061700B" w:rsidRPr="00D72DD9" w:rsidRDefault="0061700B" w:rsidP="00D72DD9">
            <w:pPr>
              <w:jc w:val="center"/>
              <w:rPr>
                <w:sz w:val="22"/>
              </w:rPr>
            </w:pPr>
            <w:r w:rsidRPr="00D72DD9">
              <w:rPr>
                <w:sz w:val="22"/>
              </w:rPr>
              <w:t>£000</w:t>
            </w:r>
          </w:p>
        </w:tc>
      </w:tr>
      <w:tr w:rsidR="0061700B" w:rsidRPr="00D72DD9" w:rsidTr="00D72DD9">
        <w:tc>
          <w:tcPr>
            <w:tcW w:w="5245" w:type="dxa"/>
            <w:shd w:val="clear" w:color="auto" w:fill="auto"/>
          </w:tcPr>
          <w:p w:rsidR="0061700B" w:rsidRPr="00D72DD9" w:rsidRDefault="0061700B" w:rsidP="00D72DD9">
            <w:pPr>
              <w:jc w:val="both"/>
              <w:rPr>
                <w:sz w:val="22"/>
              </w:rPr>
            </w:pPr>
          </w:p>
        </w:tc>
        <w:tc>
          <w:tcPr>
            <w:tcW w:w="1984" w:type="dxa"/>
            <w:shd w:val="clear" w:color="auto" w:fill="auto"/>
          </w:tcPr>
          <w:p w:rsidR="0061700B" w:rsidRPr="00D72DD9" w:rsidRDefault="0061700B" w:rsidP="00D72DD9">
            <w:pPr>
              <w:jc w:val="both"/>
              <w:rPr>
                <w:sz w:val="22"/>
              </w:rPr>
            </w:pPr>
          </w:p>
        </w:tc>
        <w:tc>
          <w:tcPr>
            <w:tcW w:w="1855" w:type="dxa"/>
            <w:shd w:val="clear" w:color="auto" w:fill="auto"/>
          </w:tcPr>
          <w:p w:rsidR="0061700B" w:rsidRPr="00D72DD9" w:rsidRDefault="0061700B" w:rsidP="00D72DD9">
            <w:pPr>
              <w:jc w:val="both"/>
              <w:rPr>
                <w:sz w:val="22"/>
              </w:rPr>
            </w:pPr>
          </w:p>
        </w:tc>
      </w:tr>
      <w:tr w:rsidR="00596141" w:rsidRPr="00D72DD9" w:rsidTr="00D72DD9">
        <w:tc>
          <w:tcPr>
            <w:tcW w:w="5245" w:type="dxa"/>
            <w:shd w:val="clear" w:color="auto" w:fill="auto"/>
          </w:tcPr>
          <w:p w:rsidR="00596141" w:rsidRPr="00D72DD9" w:rsidRDefault="00596141" w:rsidP="00D72DD9">
            <w:pPr>
              <w:jc w:val="both"/>
              <w:rPr>
                <w:sz w:val="22"/>
              </w:rPr>
            </w:pPr>
            <w:r w:rsidRPr="00D72DD9">
              <w:rPr>
                <w:sz w:val="22"/>
              </w:rPr>
              <w:t>Balance outstanding at the start of the year</w:t>
            </w:r>
          </w:p>
        </w:tc>
        <w:tc>
          <w:tcPr>
            <w:tcW w:w="1984" w:type="dxa"/>
            <w:shd w:val="clear" w:color="auto" w:fill="auto"/>
          </w:tcPr>
          <w:p w:rsidR="00596141" w:rsidRPr="008A5617" w:rsidRDefault="00596141" w:rsidP="00596141">
            <w:pPr>
              <w:pStyle w:val="BodyTextIndent"/>
              <w:ind w:left="0" w:right="459"/>
              <w:jc w:val="right"/>
              <w:rPr>
                <w:sz w:val="22"/>
                <w:lang w:val="en-GB"/>
              </w:rPr>
            </w:pPr>
            <w:r>
              <w:rPr>
                <w:sz w:val="22"/>
                <w:lang w:val="en-GB"/>
              </w:rPr>
              <w:t>14,519</w:t>
            </w:r>
          </w:p>
        </w:tc>
        <w:tc>
          <w:tcPr>
            <w:tcW w:w="1855" w:type="dxa"/>
            <w:shd w:val="clear" w:color="auto" w:fill="auto"/>
          </w:tcPr>
          <w:p w:rsidR="00596141" w:rsidRPr="008A5617" w:rsidRDefault="00596141" w:rsidP="005274B5">
            <w:pPr>
              <w:pStyle w:val="BodyTextIndent"/>
              <w:ind w:left="0" w:right="459"/>
              <w:jc w:val="right"/>
              <w:rPr>
                <w:sz w:val="22"/>
                <w:lang w:val="en-GB"/>
              </w:rPr>
            </w:pPr>
            <w:r>
              <w:rPr>
                <w:sz w:val="22"/>
                <w:lang w:val="en-GB"/>
              </w:rPr>
              <w:t>14,782</w:t>
            </w:r>
          </w:p>
        </w:tc>
      </w:tr>
      <w:tr w:rsidR="00596141" w:rsidRPr="00D72DD9" w:rsidTr="00D72DD9">
        <w:tc>
          <w:tcPr>
            <w:tcW w:w="5245" w:type="dxa"/>
            <w:shd w:val="clear" w:color="auto" w:fill="auto"/>
          </w:tcPr>
          <w:p w:rsidR="00596141" w:rsidRPr="00D72DD9" w:rsidRDefault="00596141" w:rsidP="00D72DD9">
            <w:pPr>
              <w:jc w:val="both"/>
              <w:rPr>
                <w:sz w:val="22"/>
              </w:rPr>
            </w:pPr>
            <w:r w:rsidRPr="00D72DD9">
              <w:rPr>
                <w:sz w:val="22"/>
              </w:rPr>
              <w:t>Payments during the year</w:t>
            </w:r>
          </w:p>
        </w:tc>
        <w:tc>
          <w:tcPr>
            <w:tcW w:w="1984" w:type="dxa"/>
            <w:shd w:val="clear" w:color="auto" w:fill="auto"/>
          </w:tcPr>
          <w:p w:rsidR="00596141" w:rsidRPr="003837FF" w:rsidRDefault="00DC45A2" w:rsidP="00BA33A4">
            <w:pPr>
              <w:pStyle w:val="BodyTextIndent"/>
              <w:ind w:left="0" w:right="459"/>
              <w:jc w:val="right"/>
              <w:rPr>
                <w:sz w:val="22"/>
                <w:lang w:val="en-GB"/>
              </w:rPr>
            </w:pPr>
            <w:r>
              <w:rPr>
                <w:sz w:val="22"/>
                <w:lang w:val="en-GB"/>
              </w:rPr>
              <w:t>(288)</w:t>
            </w:r>
          </w:p>
        </w:tc>
        <w:tc>
          <w:tcPr>
            <w:tcW w:w="1855" w:type="dxa"/>
            <w:shd w:val="clear" w:color="auto" w:fill="auto"/>
          </w:tcPr>
          <w:p w:rsidR="00596141" w:rsidRPr="003837FF" w:rsidRDefault="00596141" w:rsidP="005274B5">
            <w:pPr>
              <w:pStyle w:val="BodyTextIndent"/>
              <w:ind w:left="0" w:right="459"/>
              <w:jc w:val="right"/>
              <w:rPr>
                <w:sz w:val="22"/>
                <w:lang w:val="en-GB"/>
              </w:rPr>
            </w:pPr>
            <w:r>
              <w:rPr>
                <w:sz w:val="22"/>
                <w:lang w:val="en-GB"/>
              </w:rPr>
              <w:t>(263)</w:t>
            </w:r>
          </w:p>
        </w:tc>
      </w:tr>
      <w:tr w:rsidR="00596141" w:rsidRPr="00D72DD9" w:rsidTr="00D72DD9">
        <w:tc>
          <w:tcPr>
            <w:tcW w:w="5245" w:type="dxa"/>
            <w:shd w:val="clear" w:color="auto" w:fill="auto"/>
          </w:tcPr>
          <w:p w:rsidR="00596141" w:rsidRPr="00D72DD9" w:rsidRDefault="00596141" w:rsidP="00D72DD9">
            <w:pPr>
              <w:jc w:val="both"/>
              <w:rPr>
                <w:sz w:val="22"/>
              </w:rPr>
            </w:pPr>
            <w:r w:rsidRPr="00D72DD9">
              <w:rPr>
                <w:sz w:val="22"/>
              </w:rPr>
              <w:t>Balance outstanding at year end</w:t>
            </w:r>
          </w:p>
        </w:tc>
        <w:tc>
          <w:tcPr>
            <w:tcW w:w="1984" w:type="dxa"/>
            <w:shd w:val="clear" w:color="auto" w:fill="auto"/>
          </w:tcPr>
          <w:p w:rsidR="00596141" w:rsidRPr="003837FF" w:rsidRDefault="00DC45A2" w:rsidP="003837FF">
            <w:pPr>
              <w:pStyle w:val="BodyTextIndent"/>
              <w:ind w:left="0" w:right="459"/>
              <w:jc w:val="right"/>
              <w:rPr>
                <w:sz w:val="22"/>
                <w:lang w:val="en-GB"/>
              </w:rPr>
            </w:pPr>
            <w:r>
              <w:rPr>
                <w:sz w:val="22"/>
                <w:lang w:val="en-GB"/>
              </w:rPr>
              <w:t>14,231</w:t>
            </w:r>
          </w:p>
        </w:tc>
        <w:tc>
          <w:tcPr>
            <w:tcW w:w="1855" w:type="dxa"/>
            <w:shd w:val="clear" w:color="auto" w:fill="auto"/>
          </w:tcPr>
          <w:p w:rsidR="00596141" w:rsidRPr="003837FF" w:rsidRDefault="00596141" w:rsidP="005274B5">
            <w:pPr>
              <w:pStyle w:val="BodyTextIndent"/>
              <w:ind w:left="0" w:right="459"/>
              <w:jc w:val="right"/>
              <w:rPr>
                <w:sz w:val="22"/>
                <w:lang w:val="en-GB"/>
              </w:rPr>
            </w:pPr>
            <w:r>
              <w:rPr>
                <w:sz w:val="22"/>
                <w:lang w:val="en-GB"/>
              </w:rPr>
              <w:t>14,519</w:t>
            </w:r>
          </w:p>
        </w:tc>
      </w:tr>
    </w:tbl>
    <w:p w:rsidR="00D90216" w:rsidRDefault="00D90216" w:rsidP="001F1736">
      <w:pPr>
        <w:rPr>
          <w:b/>
          <w:sz w:val="22"/>
          <w:highlight w:val="cyan"/>
        </w:rPr>
      </w:pPr>
    </w:p>
    <w:p w:rsidR="00D90216" w:rsidRPr="00515D7E" w:rsidRDefault="00190B25" w:rsidP="00D90216">
      <w:pPr>
        <w:rPr>
          <w:b/>
          <w:sz w:val="22"/>
        </w:rPr>
      </w:pPr>
      <w:r>
        <w:rPr>
          <w:b/>
          <w:sz w:val="22"/>
        </w:rPr>
        <w:t>1</w:t>
      </w:r>
      <w:r w:rsidR="005274B5">
        <w:rPr>
          <w:b/>
          <w:sz w:val="22"/>
        </w:rPr>
        <w:t>5</w:t>
      </w:r>
      <w:r w:rsidR="00D90216" w:rsidRPr="00515D7E">
        <w:rPr>
          <w:b/>
          <w:sz w:val="22"/>
        </w:rPr>
        <w:tab/>
        <w:t>Net Liability Related to Local Government and Firefighters’ Pensions Schemes</w:t>
      </w:r>
      <w:r w:rsidR="00D90216" w:rsidRPr="00515D7E">
        <w:rPr>
          <w:sz w:val="22"/>
        </w:rPr>
        <w:t xml:space="preserve"> </w:t>
      </w:r>
    </w:p>
    <w:p w:rsidR="00D90216" w:rsidRPr="00515D7E" w:rsidRDefault="00D90216" w:rsidP="00D90216">
      <w:pPr>
        <w:rPr>
          <w:b/>
          <w:sz w:val="22"/>
        </w:rPr>
      </w:pPr>
      <w:r w:rsidRPr="00515D7E">
        <w:rPr>
          <w:b/>
          <w:sz w:val="22"/>
        </w:rPr>
        <w:tab/>
        <w:t>Pensions</w:t>
      </w:r>
    </w:p>
    <w:p w:rsidR="00D90216" w:rsidRPr="00E1309A" w:rsidRDefault="00D90216" w:rsidP="00D90216">
      <w:pPr>
        <w:rPr>
          <w:sz w:val="22"/>
        </w:rPr>
      </w:pPr>
    </w:p>
    <w:p w:rsidR="00D90216" w:rsidRPr="00E1309A" w:rsidRDefault="00D90216" w:rsidP="00D90216">
      <w:pPr>
        <w:pStyle w:val="BodyTextIndent"/>
        <w:jc w:val="both"/>
        <w:rPr>
          <w:sz w:val="22"/>
        </w:rPr>
      </w:pPr>
      <w:r w:rsidRPr="00E1309A">
        <w:rPr>
          <w:sz w:val="22"/>
        </w:rPr>
        <w:t xml:space="preserve">During the year the Authority made contributions to the cost of pensions for all employees (except for those who chose not to be members of the scheme) as required by statute. </w:t>
      </w:r>
    </w:p>
    <w:p w:rsidR="00D90216" w:rsidRPr="00E1309A" w:rsidRDefault="00D90216" w:rsidP="00D90216">
      <w:pPr>
        <w:pStyle w:val="BodyText2"/>
        <w:rPr>
          <w:color w:val="auto"/>
          <w:sz w:val="22"/>
        </w:rPr>
      </w:pPr>
    </w:p>
    <w:p w:rsidR="00D90216" w:rsidRPr="00E1309A" w:rsidRDefault="00D90216" w:rsidP="00D90216">
      <w:pPr>
        <w:pStyle w:val="BodyText2"/>
        <w:ind w:left="720"/>
        <w:rPr>
          <w:color w:val="auto"/>
          <w:sz w:val="22"/>
        </w:rPr>
      </w:pPr>
      <w:r w:rsidRPr="00E1309A">
        <w:rPr>
          <w:color w:val="auto"/>
          <w:sz w:val="22"/>
        </w:rPr>
        <w:t>The Authority participates in two pension schemes:</w:t>
      </w:r>
    </w:p>
    <w:p w:rsidR="00D90216" w:rsidRPr="00E1309A" w:rsidRDefault="00D90216" w:rsidP="00D90216">
      <w:pPr>
        <w:jc w:val="both"/>
        <w:rPr>
          <w:sz w:val="22"/>
        </w:rPr>
      </w:pPr>
    </w:p>
    <w:p w:rsidR="00D90216" w:rsidRPr="00E1309A" w:rsidRDefault="00D90216" w:rsidP="00D90216">
      <w:pPr>
        <w:pStyle w:val="BodyTextIndent"/>
        <w:ind w:left="1440" w:hanging="720"/>
        <w:jc w:val="both"/>
        <w:rPr>
          <w:sz w:val="22"/>
          <w:lang w:val="en-GB"/>
        </w:rPr>
      </w:pPr>
      <w:proofErr w:type="spellStart"/>
      <w:r w:rsidRPr="00E1309A">
        <w:rPr>
          <w:sz w:val="22"/>
          <w:lang w:val="en-GB"/>
        </w:rPr>
        <w:t>i</w:t>
      </w:r>
      <w:proofErr w:type="spellEnd"/>
      <w:r w:rsidRPr="00E1309A">
        <w:rPr>
          <w:sz w:val="22"/>
          <w:lang w:val="en-GB"/>
        </w:rPr>
        <w:t>)</w:t>
      </w:r>
      <w:r w:rsidRPr="00E1309A">
        <w:rPr>
          <w:sz w:val="22"/>
          <w:lang w:val="en-GB"/>
        </w:rPr>
        <w:tab/>
        <w:t xml:space="preserve">Uniformed Firefighters are covered by an unfunded, defined benefit scheme, meaning that there are no investment assets built up to meet the pensions liabilities and that cash has to be generated by the Authority to meet actual pensions payments as they fall due.  </w:t>
      </w:r>
    </w:p>
    <w:p w:rsidR="00D90216" w:rsidRPr="00E1309A" w:rsidRDefault="00D90216" w:rsidP="00D90216">
      <w:pPr>
        <w:ind w:hanging="425"/>
        <w:jc w:val="both"/>
        <w:rPr>
          <w:sz w:val="22"/>
        </w:rPr>
      </w:pPr>
    </w:p>
    <w:p w:rsidR="00D90216" w:rsidRPr="00E1309A" w:rsidRDefault="00D90216" w:rsidP="00D90216">
      <w:pPr>
        <w:pStyle w:val="BodyTextIndent"/>
        <w:ind w:left="1440" w:hanging="720"/>
        <w:jc w:val="both"/>
        <w:rPr>
          <w:sz w:val="22"/>
          <w:lang w:val="en-GB"/>
        </w:rPr>
      </w:pPr>
      <w:r w:rsidRPr="00E1309A">
        <w:rPr>
          <w:sz w:val="22"/>
          <w:lang w:val="en-GB"/>
        </w:rPr>
        <w:t>ii)</w:t>
      </w:r>
      <w:r w:rsidRPr="00E1309A">
        <w:rPr>
          <w:sz w:val="22"/>
          <w:lang w:val="en-GB"/>
        </w:rPr>
        <w:tab/>
        <w:t xml:space="preserve">Other staff pensions are provided from the Lancashire County Pension Fund.  This is a funded scheme, meaning that the Authority and employees pay contributions into a fund calculated at a level intended to balance the </w:t>
      </w:r>
      <w:proofErr w:type="gramStart"/>
      <w:r w:rsidRPr="00E1309A">
        <w:rPr>
          <w:sz w:val="22"/>
          <w:lang w:val="en-GB"/>
        </w:rPr>
        <w:t>pensions</w:t>
      </w:r>
      <w:proofErr w:type="gramEnd"/>
      <w:r w:rsidRPr="00E1309A">
        <w:rPr>
          <w:sz w:val="22"/>
          <w:lang w:val="en-GB"/>
        </w:rPr>
        <w:t xml:space="preserve"> liabilities with the investment assets. </w:t>
      </w:r>
    </w:p>
    <w:p w:rsidR="00D90216" w:rsidRPr="00A60775" w:rsidRDefault="00D90216" w:rsidP="00D90216">
      <w:pPr>
        <w:pStyle w:val="BodyTextIndent"/>
        <w:ind w:left="0" w:hanging="425"/>
        <w:jc w:val="both"/>
        <w:rPr>
          <w:sz w:val="22"/>
          <w:highlight w:val="cyan"/>
          <w:lang w:val="en-GB"/>
        </w:rPr>
      </w:pPr>
    </w:p>
    <w:p w:rsidR="00D90216" w:rsidRPr="00E1309A" w:rsidRDefault="00D90216" w:rsidP="00D90216">
      <w:pPr>
        <w:ind w:left="720"/>
        <w:jc w:val="both"/>
        <w:rPr>
          <w:b/>
          <w:color w:val="000000"/>
          <w:sz w:val="22"/>
        </w:rPr>
      </w:pPr>
      <w:r w:rsidRPr="00E1309A">
        <w:rPr>
          <w:b/>
          <w:color w:val="000000"/>
          <w:sz w:val="22"/>
        </w:rPr>
        <w:t>Transactions Relating to Post-employment Benefits</w:t>
      </w:r>
    </w:p>
    <w:p w:rsidR="00D90216" w:rsidRPr="00CF3CF8" w:rsidRDefault="00D90216" w:rsidP="00D90216">
      <w:pPr>
        <w:pStyle w:val="BodyTextIndent"/>
        <w:ind w:left="0" w:hanging="425"/>
        <w:jc w:val="both"/>
        <w:rPr>
          <w:sz w:val="22"/>
          <w:lang w:val="en-GB"/>
        </w:rPr>
      </w:pPr>
    </w:p>
    <w:p w:rsidR="001711A3" w:rsidRDefault="00D90216" w:rsidP="00B14CA2">
      <w:pPr>
        <w:ind w:left="720"/>
        <w:jc w:val="both"/>
        <w:rPr>
          <w:color w:val="000000"/>
          <w:sz w:val="22"/>
        </w:rPr>
      </w:pPr>
      <w:r w:rsidRPr="00CF3CF8">
        <w:rPr>
          <w:color w:val="000000"/>
          <w:sz w:val="22"/>
        </w:rPr>
        <w:t xml:space="preserve">We recognise the cost of retirement benefits in the reported cost of services when they are earned by employees, rather than when the benefits are eventually paid as pensions.  However, the charge we are required to make against council tax is based on the cash payable in the year, so the real cost of </w:t>
      </w:r>
      <w:proofErr w:type="spellStart"/>
      <w:r w:rsidRPr="00CF3CF8">
        <w:rPr>
          <w:color w:val="000000"/>
          <w:sz w:val="22"/>
        </w:rPr>
        <w:t>post employment</w:t>
      </w:r>
      <w:proofErr w:type="spellEnd"/>
      <w:r w:rsidRPr="00CF3CF8">
        <w:rPr>
          <w:color w:val="000000"/>
          <w:sz w:val="22"/>
        </w:rPr>
        <w:t>/retirement benefits is reversed out of the General Fund via the Movement in Reserves Statement.  The following transactions have been made in the Comprehensive Income &amp; Expenditure Statement and the General Fund Balance Fund via the Movement in Reserves Statement during the year:</w:t>
      </w:r>
    </w:p>
    <w:p w:rsidR="001711A3" w:rsidRDefault="001711A3">
      <w:pPr>
        <w:rPr>
          <w:color w:val="000000"/>
          <w:sz w:val="22"/>
        </w:rPr>
      </w:pPr>
      <w:r>
        <w:rPr>
          <w:color w:val="000000"/>
          <w:sz w:val="22"/>
        </w:rPr>
        <w:br w:type="page"/>
      </w:r>
    </w:p>
    <w:p w:rsidR="006454EE" w:rsidRPr="00B14CA2" w:rsidRDefault="006454EE" w:rsidP="00B14CA2">
      <w:pPr>
        <w:ind w:left="720"/>
        <w:jc w:val="both"/>
        <w:rPr>
          <w:color w:val="000000"/>
          <w:sz w:val="22"/>
        </w:rPr>
      </w:pPr>
    </w:p>
    <w:tbl>
      <w:tblPr>
        <w:tblW w:w="9498" w:type="dxa"/>
        <w:tblInd w:w="81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4536"/>
        <w:gridCol w:w="1134"/>
        <w:gridCol w:w="1276"/>
        <w:gridCol w:w="1276"/>
        <w:gridCol w:w="1276"/>
      </w:tblGrid>
      <w:tr w:rsidR="00D90216" w:rsidRPr="00A60775" w:rsidTr="00EF4270">
        <w:trPr>
          <w:cantSplit/>
          <w:trHeight w:val="300"/>
        </w:trPr>
        <w:tc>
          <w:tcPr>
            <w:tcW w:w="4536" w:type="dxa"/>
            <w:tcBorders>
              <w:top w:val="nil"/>
              <w:left w:val="nil"/>
              <w:bottom w:val="nil"/>
              <w:right w:val="nil"/>
            </w:tcBorders>
          </w:tcPr>
          <w:p w:rsidR="00D90216" w:rsidRPr="00CF3CF8" w:rsidRDefault="006454EE" w:rsidP="00CD62E6">
            <w:pPr>
              <w:ind w:left="34"/>
              <w:jc w:val="both"/>
              <w:rPr>
                <w:sz w:val="22"/>
              </w:rPr>
            </w:pPr>
            <w:r>
              <w:rPr>
                <w:sz w:val="22"/>
                <w:highlight w:val="cyan"/>
              </w:rPr>
              <w:br w:type="page"/>
            </w:r>
          </w:p>
        </w:tc>
        <w:tc>
          <w:tcPr>
            <w:tcW w:w="2410" w:type="dxa"/>
            <w:gridSpan w:val="2"/>
            <w:tcBorders>
              <w:top w:val="nil"/>
              <w:left w:val="nil"/>
              <w:bottom w:val="nil"/>
              <w:right w:val="nil"/>
            </w:tcBorders>
            <w:vAlign w:val="center"/>
          </w:tcPr>
          <w:p w:rsidR="00D90216" w:rsidRPr="00CF3CF8" w:rsidRDefault="00D90216" w:rsidP="00CD62E6">
            <w:pPr>
              <w:ind w:left="34"/>
              <w:jc w:val="center"/>
              <w:rPr>
                <w:sz w:val="22"/>
              </w:rPr>
            </w:pPr>
            <w:r w:rsidRPr="00CF3CF8">
              <w:rPr>
                <w:sz w:val="22"/>
              </w:rPr>
              <w:t>Local Government Pension Scheme</w:t>
            </w:r>
          </w:p>
        </w:tc>
        <w:tc>
          <w:tcPr>
            <w:tcW w:w="2552" w:type="dxa"/>
            <w:gridSpan w:val="2"/>
            <w:tcBorders>
              <w:top w:val="nil"/>
              <w:left w:val="nil"/>
              <w:bottom w:val="nil"/>
              <w:right w:val="nil"/>
            </w:tcBorders>
          </w:tcPr>
          <w:p w:rsidR="00D90216" w:rsidRPr="00CF3CF8" w:rsidRDefault="00D90216" w:rsidP="00CD62E6">
            <w:pPr>
              <w:ind w:left="34"/>
              <w:jc w:val="center"/>
              <w:rPr>
                <w:sz w:val="22"/>
              </w:rPr>
            </w:pPr>
            <w:r w:rsidRPr="00CF3CF8">
              <w:rPr>
                <w:sz w:val="22"/>
              </w:rPr>
              <w:t>Uniformed Firefighters’ Pension Scheme</w:t>
            </w:r>
          </w:p>
        </w:tc>
      </w:tr>
      <w:tr w:rsidR="00576064" w:rsidRPr="00A60775" w:rsidTr="00EF4270">
        <w:trPr>
          <w:trHeight w:val="300"/>
        </w:trPr>
        <w:tc>
          <w:tcPr>
            <w:tcW w:w="4536" w:type="dxa"/>
            <w:tcBorders>
              <w:top w:val="nil"/>
            </w:tcBorders>
          </w:tcPr>
          <w:p w:rsidR="00576064" w:rsidRPr="00CF3CF8" w:rsidRDefault="00576064" w:rsidP="00CD62E6">
            <w:pPr>
              <w:ind w:left="34"/>
              <w:jc w:val="both"/>
              <w:rPr>
                <w:sz w:val="22"/>
              </w:rPr>
            </w:pPr>
          </w:p>
        </w:tc>
        <w:tc>
          <w:tcPr>
            <w:tcW w:w="1134" w:type="dxa"/>
            <w:tcBorders>
              <w:top w:val="nil"/>
            </w:tcBorders>
          </w:tcPr>
          <w:p w:rsidR="00576064" w:rsidRPr="00D72DD9" w:rsidRDefault="00576064" w:rsidP="00576064">
            <w:pPr>
              <w:jc w:val="center"/>
              <w:rPr>
                <w:sz w:val="22"/>
              </w:rPr>
            </w:pPr>
            <w:r w:rsidRPr="00D72DD9">
              <w:rPr>
                <w:sz w:val="22"/>
              </w:rPr>
              <w:t>201</w:t>
            </w:r>
            <w:r>
              <w:rPr>
                <w:sz w:val="22"/>
              </w:rPr>
              <w:t>7/18</w:t>
            </w:r>
          </w:p>
        </w:tc>
        <w:tc>
          <w:tcPr>
            <w:tcW w:w="1276" w:type="dxa"/>
            <w:tcBorders>
              <w:top w:val="nil"/>
            </w:tcBorders>
          </w:tcPr>
          <w:p w:rsidR="00576064" w:rsidRDefault="00576064" w:rsidP="005274B5">
            <w:pPr>
              <w:jc w:val="center"/>
              <w:rPr>
                <w:sz w:val="22"/>
              </w:rPr>
            </w:pPr>
            <w:r w:rsidRPr="00D72DD9">
              <w:rPr>
                <w:sz w:val="22"/>
              </w:rPr>
              <w:t>201</w:t>
            </w:r>
            <w:r>
              <w:rPr>
                <w:sz w:val="22"/>
              </w:rPr>
              <w:t>6/17</w:t>
            </w:r>
          </w:p>
          <w:p w:rsidR="004D091D" w:rsidRPr="00D72DD9" w:rsidRDefault="00831B30" w:rsidP="005274B5">
            <w:pPr>
              <w:jc w:val="center"/>
              <w:rPr>
                <w:sz w:val="22"/>
              </w:rPr>
            </w:pPr>
            <w:r>
              <w:rPr>
                <w:sz w:val="22"/>
              </w:rPr>
              <w:t>R</w:t>
            </w:r>
            <w:r w:rsidR="004D091D">
              <w:rPr>
                <w:sz w:val="22"/>
              </w:rPr>
              <w:t>estated</w:t>
            </w:r>
            <w:r>
              <w:rPr>
                <w:sz w:val="22"/>
              </w:rPr>
              <w:t>*</w:t>
            </w:r>
          </w:p>
        </w:tc>
        <w:tc>
          <w:tcPr>
            <w:tcW w:w="1276" w:type="dxa"/>
            <w:tcBorders>
              <w:top w:val="nil"/>
            </w:tcBorders>
          </w:tcPr>
          <w:p w:rsidR="00576064" w:rsidRPr="00D72DD9" w:rsidRDefault="00576064" w:rsidP="005274B5">
            <w:pPr>
              <w:jc w:val="center"/>
              <w:rPr>
                <w:sz w:val="22"/>
              </w:rPr>
            </w:pPr>
            <w:r w:rsidRPr="00D72DD9">
              <w:rPr>
                <w:sz w:val="22"/>
              </w:rPr>
              <w:t>201</w:t>
            </w:r>
            <w:r>
              <w:rPr>
                <w:sz w:val="22"/>
              </w:rPr>
              <w:t>7/18</w:t>
            </w:r>
          </w:p>
        </w:tc>
        <w:tc>
          <w:tcPr>
            <w:tcW w:w="1276" w:type="dxa"/>
            <w:tcBorders>
              <w:top w:val="nil"/>
            </w:tcBorders>
          </w:tcPr>
          <w:p w:rsidR="00576064" w:rsidRPr="00D72DD9" w:rsidRDefault="00576064" w:rsidP="005274B5">
            <w:pPr>
              <w:jc w:val="center"/>
              <w:rPr>
                <w:sz w:val="22"/>
              </w:rPr>
            </w:pPr>
            <w:r w:rsidRPr="00D72DD9">
              <w:rPr>
                <w:sz w:val="22"/>
              </w:rPr>
              <w:t>201</w:t>
            </w:r>
            <w:r>
              <w:rPr>
                <w:sz w:val="22"/>
              </w:rPr>
              <w:t>6/17</w:t>
            </w:r>
          </w:p>
        </w:tc>
      </w:tr>
      <w:tr w:rsidR="00D90216" w:rsidRPr="00A60775" w:rsidTr="00EF4270">
        <w:trPr>
          <w:trHeight w:val="300"/>
        </w:trPr>
        <w:tc>
          <w:tcPr>
            <w:tcW w:w="4536" w:type="dxa"/>
          </w:tcPr>
          <w:p w:rsidR="00D90216" w:rsidRPr="00CF3CF8" w:rsidRDefault="00D90216" w:rsidP="00CD62E6">
            <w:pPr>
              <w:ind w:left="34"/>
              <w:jc w:val="both"/>
              <w:rPr>
                <w:sz w:val="22"/>
              </w:rPr>
            </w:pPr>
          </w:p>
        </w:tc>
        <w:tc>
          <w:tcPr>
            <w:tcW w:w="1134" w:type="dxa"/>
          </w:tcPr>
          <w:p w:rsidR="00D90216" w:rsidRPr="00CF3CF8" w:rsidRDefault="00D90216" w:rsidP="00CD62E6">
            <w:pPr>
              <w:tabs>
                <w:tab w:val="decimal" w:pos="717"/>
              </w:tabs>
              <w:rPr>
                <w:sz w:val="22"/>
              </w:rPr>
            </w:pPr>
            <w:r w:rsidRPr="00CF3CF8">
              <w:rPr>
                <w:sz w:val="22"/>
              </w:rPr>
              <w:t>£000</w:t>
            </w:r>
          </w:p>
        </w:tc>
        <w:tc>
          <w:tcPr>
            <w:tcW w:w="1276" w:type="dxa"/>
          </w:tcPr>
          <w:p w:rsidR="00D90216" w:rsidRPr="00CF3CF8" w:rsidRDefault="00D90216" w:rsidP="00CD62E6">
            <w:pPr>
              <w:tabs>
                <w:tab w:val="decimal" w:pos="717"/>
              </w:tabs>
              <w:rPr>
                <w:sz w:val="22"/>
              </w:rPr>
            </w:pPr>
            <w:r w:rsidRPr="00CF3CF8">
              <w:rPr>
                <w:sz w:val="22"/>
              </w:rPr>
              <w:t>£000</w:t>
            </w:r>
          </w:p>
        </w:tc>
        <w:tc>
          <w:tcPr>
            <w:tcW w:w="1276" w:type="dxa"/>
          </w:tcPr>
          <w:p w:rsidR="00D90216" w:rsidRPr="00CF3CF8" w:rsidRDefault="00D90216" w:rsidP="00CD62E6">
            <w:pPr>
              <w:tabs>
                <w:tab w:val="decimal" w:pos="717"/>
              </w:tabs>
              <w:rPr>
                <w:sz w:val="22"/>
              </w:rPr>
            </w:pPr>
            <w:r w:rsidRPr="00CF3CF8">
              <w:rPr>
                <w:sz w:val="22"/>
              </w:rPr>
              <w:t>£000</w:t>
            </w:r>
          </w:p>
        </w:tc>
        <w:tc>
          <w:tcPr>
            <w:tcW w:w="1276" w:type="dxa"/>
          </w:tcPr>
          <w:p w:rsidR="00D90216" w:rsidRPr="00CF3CF8" w:rsidRDefault="00D90216" w:rsidP="00CD62E6">
            <w:pPr>
              <w:tabs>
                <w:tab w:val="decimal" w:pos="717"/>
              </w:tabs>
              <w:rPr>
                <w:sz w:val="22"/>
              </w:rPr>
            </w:pPr>
            <w:r w:rsidRPr="00CF3CF8">
              <w:rPr>
                <w:sz w:val="22"/>
              </w:rPr>
              <w:t>£000</w:t>
            </w:r>
          </w:p>
        </w:tc>
      </w:tr>
      <w:tr w:rsidR="00D90216" w:rsidRPr="00A60775" w:rsidTr="00EF4270">
        <w:trPr>
          <w:trHeight w:val="300"/>
        </w:trPr>
        <w:tc>
          <w:tcPr>
            <w:tcW w:w="4536" w:type="dxa"/>
          </w:tcPr>
          <w:p w:rsidR="00D90216" w:rsidRPr="00A60775" w:rsidRDefault="00D90216" w:rsidP="00CD62E6">
            <w:pPr>
              <w:ind w:left="34"/>
              <w:jc w:val="both"/>
              <w:rPr>
                <w:b/>
                <w:sz w:val="22"/>
                <w:highlight w:val="cyan"/>
              </w:rPr>
            </w:pPr>
            <w:r w:rsidRPr="00CF3CF8">
              <w:rPr>
                <w:color w:val="000000"/>
                <w:sz w:val="22"/>
              </w:rPr>
              <w:t>Comprehensive Income &amp; Expenditure Statement</w:t>
            </w:r>
          </w:p>
        </w:tc>
        <w:tc>
          <w:tcPr>
            <w:tcW w:w="1134"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r>
      <w:tr w:rsidR="00D90216" w:rsidRPr="00A60775" w:rsidTr="00EF4270">
        <w:trPr>
          <w:trHeight w:val="300"/>
        </w:trPr>
        <w:tc>
          <w:tcPr>
            <w:tcW w:w="4536" w:type="dxa"/>
          </w:tcPr>
          <w:p w:rsidR="00D90216" w:rsidRPr="006455CA" w:rsidRDefault="00D90216" w:rsidP="00CD62E6">
            <w:pPr>
              <w:ind w:left="34"/>
              <w:jc w:val="both"/>
              <w:rPr>
                <w:sz w:val="22"/>
              </w:rPr>
            </w:pPr>
            <w:r w:rsidRPr="006455CA">
              <w:rPr>
                <w:sz w:val="22"/>
              </w:rPr>
              <w:t>Cost of Services:</w:t>
            </w:r>
          </w:p>
        </w:tc>
        <w:tc>
          <w:tcPr>
            <w:tcW w:w="1134"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c>
          <w:tcPr>
            <w:tcW w:w="1276" w:type="dxa"/>
          </w:tcPr>
          <w:p w:rsidR="00D90216" w:rsidRPr="00A60775" w:rsidRDefault="00D90216" w:rsidP="00CD62E6">
            <w:pPr>
              <w:ind w:left="34"/>
              <w:jc w:val="both"/>
              <w:rPr>
                <w:sz w:val="22"/>
                <w:highlight w:val="cyan"/>
              </w:rPr>
            </w:pPr>
          </w:p>
        </w:tc>
      </w:tr>
      <w:tr w:rsidR="00576064" w:rsidRPr="00A60775" w:rsidTr="00EF4270">
        <w:trPr>
          <w:trHeight w:val="300"/>
        </w:trPr>
        <w:tc>
          <w:tcPr>
            <w:tcW w:w="4536" w:type="dxa"/>
          </w:tcPr>
          <w:p w:rsidR="00576064" w:rsidRPr="008B1BF3" w:rsidRDefault="00576064" w:rsidP="00882E25">
            <w:pPr>
              <w:numPr>
                <w:ilvl w:val="0"/>
                <w:numId w:val="18"/>
              </w:numPr>
              <w:tabs>
                <w:tab w:val="clear" w:pos="754"/>
                <w:tab w:val="num" w:pos="459"/>
              </w:tabs>
              <w:ind w:hanging="720"/>
              <w:jc w:val="both"/>
              <w:rPr>
                <w:sz w:val="22"/>
              </w:rPr>
            </w:pPr>
            <w:r w:rsidRPr="008B1BF3">
              <w:rPr>
                <w:sz w:val="22"/>
              </w:rPr>
              <w:t>Current service cost</w:t>
            </w:r>
          </w:p>
        </w:tc>
        <w:tc>
          <w:tcPr>
            <w:tcW w:w="1134" w:type="dxa"/>
            <w:tcBorders>
              <w:bottom w:val="nil"/>
            </w:tcBorders>
          </w:tcPr>
          <w:p w:rsidR="00576064" w:rsidRPr="00870777" w:rsidRDefault="001542E8" w:rsidP="00537A1F">
            <w:pPr>
              <w:tabs>
                <w:tab w:val="decimal" w:pos="717"/>
              </w:tabs>
              <w:ind w:left="34"/>
              <w:rPr>
                <w:sz w:val="22"/>
              </w:rPr>
            </w:pPr>
            <w:r>
              <w:rPr>
                <w:sz w:val="22"/>
              </w:rPr>
              <w:t>1,</w:t>
            </w:r>
            <w:r w:rsidR="00537A1F">
              <w:rPr>
                <w:sz w:val="22"/>
              </w:rPr>
              <w:t>774</w:t>
            </w:r>
          </w:p>
        </w:tc>
        <w:tc>
          <w:tcPr>
            <w:tcW w:w="1276" w:type="dxa"/>
            <w:tcBorders>
              <w:bottom w:val="nil"/>
            </w:tcBorders>
          </w:tcPr>
          <w:p w:rsidR="00576064" w:rsidRPr="00870777" w:rsidRDefault="00537A1F" w:rsidP="005274B5">
            <w:pPr>
              <w:tabs>
                <w:tab w:val="decimal" w:pos="717"/>
              </w:tabs>
              <w:ind w:left="34"/>
              <w:rPr>
                <w:sz w:val="22"/>
              </w:rPr>
            </w:pPr>
            <w:r>
              <w:rPr>
                <w:sz w:val="22"/>
              </w:rPr>
              <w:t>1,057</w:t>
            </w:r>
          </w:p>
        </w:tc>
        <w:tc>
          <w:tcPr>
            <w:tcW w:w="1276" w:type="dxa"/>
            <w:tcBorders>
              <w:bottom w:val="nil"/>
            </w:tcBorders>
          </w:tcPr>
          <w:p w:rsidR="00576064" w:rsidRPr="00870777" w:rsidRDefault="00CE604F" w:rsidP="009879E6">
            <w:pPr>
              <w:tabs>
                <w:tab w:val="decimal" w:pos="884"/>
              </w:tabs>
              <w:ind w:left="34"/>
              <w:rPr>
                <w:sz w:val="22"/>
              </w:rPr>
            </w:pPr>
            <w:r>
              <w:rPr>
                <w:sz w:val="22"/>
              </w:rPr>
              <w:t>10,690</w:t>
            </w:r>
          </w:p>
        </w:tc>
        <w:tc>
          <w:tcPr>
            <w:tcW w:w="1276" w:type="dxa"/>
            <w:tcBorders>
              <w:bottom w:val="nil"/>
            </w:tcBorders>
          </w:tcPr>
          <w:p w:rsidR="00576064" w:rsidRPr="00870777" w:rsidRDefault="00576064" w:rsidP="005274B5">
            <w:pPr>
              <w:tabs>
                <w:tab w:val="decimal" w:pos="884"/>
              </w:tabs>
              <w:ind w:left="34"/>
              <w:rPr>
                <w:sz w:val="22"/>
              </w:rPr>
            </w:pPr>
            <w:r>
              <w:rPr>
                <w:sz w:val="22"/>
              </w:rPr>
              <w:t>8,450</w:t>
            </w:r>
          </w:p>
        </w:tc>
      </w:tr>
      <w:tr w:rsidR="00576064" w:rsidRPr="00A60775" w:rsidTr="00EF4270">
        <w:trPr>
          <w:trHeight w:val="300"/>
        </w:trPr>
        <w:tc>
          <w:tcPr>
            <w:tcW w:w="4536" w:type="dxa"/>
            <w:tcBorders>
              <w:right w:val="nil"/>
            </w:tcBorders>
          </w:tcPr>
          <w:p w:rsidR="00576064" w:rsidRDefault="00576064" w:rsidP="00882E25">
            <w:pPr>
              <w:numPr>
                <w:ilvl w:val="0"/>
                <w:numId w:val="18"/>
              </w:numPr>
              <w:tabs>
                <w:tab w:val="clear" w:pos="754"/>
                <w:tab w:val="num" w:pos="459"/>
              </w:tabs>
              <w:ind w:hanging="720"/>
              <w:jc w:val="both"/>
              <w:rPr>
                <w:sz w:val="22"/>
              </w:rPr>
            </w:pPr>
            <w:r>
              <w:rPr>
                <w:sz w:val="22"/>
              </w:rPr>
              <w:t>Administrative expenses</w:t>
            </w:r>
          </w:p>
        </w:tc>
        <w:tc>
          <w:tcPr>
            <w:tcW w:w="1134" w:type="dxa"/>
            <w:tcBorders>
              <w:top w:val="nil"/>
              <w:left w:val="nil"/>
              <w:bottom w:val="nil"/>
              <w:right w:val="nil"/>
            </w:tcBorders>
          </w:tcPr>
          <w:p w:rsidR="00576064" w:rsidRPr="00870777" w:rsidRDefault="001542E8" w:rsidP="00CD62E6">
            <w:pPr>
              <w:tabs>
                <w:tab w:val="decimal" w:pos="717"/>
              </w:tabs>
              <w:ind w:left="34"/>
              <w:rPr>
                <w:sz w:val="22"/>
              </w:rPr>
            </w:pPr>
            <w:r>
              <w:rPr>
                <w:sz w:val="22"/>
              </w:rPr>
              <w:t>24</w:t>
            </w:r>
          </w:p>
        </w:tc>
        <w:tc>
          <w:tcPr>
            <w:tcW w:w="1276" w:type="dxa"/>
            <w:tcBorders>
              <w:top w:val="nil"/>
              <w:left w:val="nil"/>
              <w:bottom w:val="nil"/>
              <w:right w:val="nil"/>
            </w:tcBorders>
          </w:tcPr>
          <w:p w:rsidR="00576064" w:rsidRPr="00870777" w:rsidRDefault="00576064" w:rsidP="005274B5">
            <w:pPr>
              <w:tabs>
                <w:tab w:val="decimal" w:pos="717"/>
              </w:tabs>
              <w:ind w:left="34"/>
              <w:rPr>
                <w:sz w:val="22"/>
              </w:rPr>
            </w:pPr>
            <w:r>
              <w:rPr>
                <w:sz w:val="22"/>
              </w:rPr>
              <w:t>22</w:t>
            </w:r>
          </w:p>
        </w:tc>
        <w:tc>
          <w:tcPr>
            <w:tcW w:w="1276" w:type="dxa"/>
            <w:tcBorders>
              <w:top w:val="nil"/>
              <w:left w:val="nil"/>
              <w:bottom w:val="nil"/>
              <w:right w:val="nil"/>
            </w:tcBorders>
          </w:tcPr>
          <w:p w:rsidR="00576064" w:rsidRPr="00870777" w:rsidRDefault="00576064" w:rsidP="00287281">
            <w:pPr>
              <w:tabs>
                <w:tab w:val="decimal" w:pos="884"/>
              </w:tabs>
              <w:ind w:left="34"/>
              <w:rPr>
                <w:sz w:val="22"/>
              </w:rPr>
            </w:pPr>
            <w:r>
              <w:rPr>
                <w:sz w:val="22"/>
              </w:rPr>
              <w:t>-</w:t>
            </w:r>
          </w:p>
        </w:tc>
        <w:tc>
          <w:tcPr>
            <w:tcW w:w="1276" w:type="dxa"/>
            <w:tcBorders>
              <w:top w:val="nil"/>
              <w:left w:val="nil"/>
              <w:bottom w:val="nil"/>
              <w:right w:val="nil"/>
            </w:tcBorders>
          </w:tcPr>
          <w:p w:rsidR="00576064" w:rsidRPr="00870777" w:rsidRDefault="00576064" w:rsidP="005274B5">
            <w:pPr>
              <w:tabs>
                <w:tab w:val="decimal" w:pos="884"/>
              </w:tabs>
              <w:ind w:left="34"/>
              <w:rPr>
                <w:sz w:val="22"/>
              </w:rPr>
            </w:pPr>
            <w:r>
              <w:rPr>
                <w:sz w:val="22"/>
              </w:rPr>
              <w:t>-</w:t>
            </w:r>
          </w:p>
        </w:tc>
      </w:tr>
      <w:tr w:rsidR="00576064" w:rsidRPr="00A60775" w:rsidTr="00EF4270">
        <w:trPr>
          <w:trHeight w:val="300"/>
        </w:trPr>
        <w:tc>
          <w:tcPr>
            <w:tcW w:w="4536" w:type="dxa"/>
          </w:tcPr>
          <w:p w:rsidR="00576064" w:rsidRPr="008B1BF3" w:rsidRDefault="00576064" w:rsidP="00882E25">
            <w:pPr>
              <w:numPr>
                <w:ilvl w:val="0"/>
                <w:numId w:val="18"/>
              </w:numPr>
              <w:tabs>
                <w:tab w:val="clear" w:pos="754"/>
                <w:tab w:val="num" w:pos="459"/>
              </w:tabs>
              <w:ind w:hanging="720"/>
              <w:jc w:val="both"/>
              <w:rPr>
                <w:sz w:val="22"/>
              </w:rPr>
            </w:pPr>
            <w:r>
              <w:rPr>
                <w:sz w:val="22"/>
              </w:rPr>
              <w:t>Past service cost</w:t>
            </w:r>
          </w:p>
        </w:tc>
        <w:tc>
          <w:tcPr>
            <w:tcW w:w="1134" w:type="dxa"/>
            <w:tcBorders>
              <w:top w:val="nil"/>
              <w:bottom w:val="single" w:sz="6" w:space="0" w:color="000000"/>
            </w:tcBorders>
          </w:tcPr>
          <w:p w:rsidR="00576064" w:rsidRPr="00870777" w:rsidRDefault="00576064" w:rsidP="00CD62E6">
            <w:pPr>
              <w:tabs>
                <w:tab w:val="decimal" w:pos="717"/>
              </w:tabs>
              <w:ind w:left="34"/>
              <w:rPr>
                <w:sz w:val="22"/>
              </w:rPr>
            </w:pPr>
            <w:r>
              <w:rPr>
                <w:sz w:val="22"/>
              </w:rPr>
              <w:t>-</w:t>
            </w:r>
          </w:p>
        </w:tc>
        <w:tc>
          <w:tcPr>
            <w:tcW w:w="1276" w:type="dxa"/>
            <w:tcBorders>
              <w:top w:val="nil"/>
              <w:bottom w:val="single" w:sz="6" w:space="0" w:color="000000"/>
            </w:tcBorders>
          </w:tcPr>
          <w:p w:rsidR="00576064" w:rsidRPr="00870777" w:rsidRDefault="00576064" w:rsidP="005274B5">
            <w:pPr>
              <w:tabs>
                <w:tab w:val="decimal" w:pos="717"/>
              </w:tabs>
              <w:ind w:left="34"/>
              <w:rPr>
                <w:sz w:val="22"/>
              </w:rPr>
            </w:pPr>
            <w:r>
              <w:rPr>
                <w:sz w:val="22"/>
              </w:rPr>
              <w:t>-</w:t>
            </w:r>
          </w:p>
        </w:tc>
        <w:tc>
          <w:tcPr>
            <w:tcW w:w="1276" w:type="dxa"/>
            <w:tcBorders>
              <w:top w:val="nil"/>
              <w:bottom w:val="single" w:sz="6" w:space="0" w:color="000000"/>
            </w:tcBorders>
          </w:tcPr>
          <w:p w:rsidR="00576064" w:rsidRPr="006C28D2" w:rsidRDefault="00CE604F" w:rsidP="00287281">
            <w:pPr>
              <w:tabs>
                <w:tab w:val="decimal" w:pos="884"/>
              </w:tabs>
              <w:ind w:left="34"/>
              <w:rPr>
                <w:sz w:val="22"/>
              </w:rPr>
            </w:pPr>
            <w:r>
              <w:rPr>
                <w:sz w:val="22"/>
              </w:rPr>
              <w:t>510</w:t>
            </w:r>
          </w:p>
        </w:tc>
        <w:tc>
          <w:tcPr>
            <w:tcW w:w="1276" w:type="dxa"/>
            <w:tcBorders>
              <w:top w:val="nil"/>
              <w:bottom w:val="single" w:sz="6" w:space="0" w:color="000000"/>
            </w:tcBorders>
          </w:tcPr>
          <w:p w:rsidR="00576064" w:rsidRPr="006C28D2" w:rsidRDefault="00576064" w:rsidP="005274B5">
            <w:pPr>
              <w:tabs>
                <w:tab w:val="decimal" w:pos="884"/>
              </w:tabs>
              <w:ind w:left="34"/>
              <w:rPr>
                <w:sz w:val="22"/>
              </w:rPr>
            </w:pPr>
            <w:r w:rsidRPr="009879E6">
              <w:rPr>
                <w:sz w:val="22"/>
              </w:rPr>
              <w:t>450</w:t>
            </w:r>
          </w:p>
        </w:tc>
      </w:tr>
      <w:tr w:rsidR="00576064" w:rsidRPr="00A60775" w:rsidTr="00EF4270">
        <w:trPr>
          <w:trHeight w:val="300"/>
        </w:trPr>
        <w:tc>
          <w:tcPr>
            <w:tcW w:w="4536" w:type="dxa"/>
          </w:tcPr>
          <w:p w:rsidR="00576064" w:rsidRPr="00A60775" w:rsidRDefault="00576064" w:rsidP="00CD62E6">
            <w:pPr>
              <w:ind w:left="34"/>
              <w:jc w:val="both"/>
              <w:rPr>
                <w:sz w:val="22"/>
                <w:highlight w:val="cyan"/>
              </w:rPr>
            </w:pPr>
          </w:p>
        </w:tc>
        <w:tc>
          <w:tcPr>
            <w:tcW w:w="1134" w:type="dxa"/>
            <w:tcBorders>
              <w:top w:val="single" w:sz="6" w:space="0" w:color="000000"/>
            </w:tcBorders>
          </w:tcPr>
          <w:p w:rsidR="00576064" w:rsidRPr="00870777" w:rsidRDefault="001542E8" w:rsidP="00537A1F">
            <w:pPr>
              <w:tabs>
                <w:tab w:val="decimal" w:pos="717"/>
              </w:tabs>
              <w:ind w:left="34"/>
              <w:rPr>
                <w:sz w:val="22"/>
              </w:rPr>
            </w:pPr>
            <w:r>
              <w:rPr>
                <w:sz w:val="22"/>
              </w:rPr>
              <w:t>1,</w:t>
            </w:r>
            <w:r w:rsidR="00537A1F">
              <w:rPr>
                <w:sz w:val="22"/>
              </w:rPr>
              <w:t>798</w:t>
            </w:r>
          </w:p>
        </w:tc>
        <w:tc>
          <w:tcPr>
            <w:tcW w:w="1276" w:type="dxa"/>
            <w:tcBorders>
              <w:top w:val="single" w:sz="6" w:space="0" w:color="000000"/>
            </w:tcBorders>
          </w:tcPr>
          <w:p w:rsidR="00576064" w:rsidRPr="00870777" w:rsidRDefault="00537A1F" w:rsidP="005274B5">
            <w:pPr>
              <w:tabs>
                <w:tab w:val="decimal" w:pos="717"/>
              </w:tabs>
              <w:ind w:left="34"/>
              <w:rPr>
                <w:sz w:val="22"/>
              </w:rPr>
            </w:pPr>
            <w:r>
              <w:rPr>
                <w:sz w:val="22"/>
              </w:rPr>
              <w:t>1,079</w:t>
            </w:r>
          </w:p>
        </w:tc>
        <w:tc>
          <w:tcPr>
            <w:tcW w:w="1276" w:type="dxa"/>
            <w:tcBorders>
              <w:top w:val="single" w:sz="6" w:space="0" w:color="000000"/>
            </w:tcBorders>
          </w:tcPr>
          <w:p w:rsidR="00576064" w:rsidRPr="006C28D2" w:rsidRDefault="00CE604F" w:rsidP="0065180D">
            <w:pPr>
              <w:tabs>
                <w:tab w:val="decimal" w:pos="884"/>
              </w:tabs>
              <w:ind w:left="34"/>
              <w:rPr>
                <w:sz w:val="22"/>
              </w:rPr>
            </w:pPr>
            <w:r>
              <w:rPr>
                <w:sz w:val="22"/>
              </w:rPr>
              <w:t>11,200</w:t>
            </w:r>
          </w:p>
        </w:tc>
        <w:tc>
          <w:tcPr>
            <w:tcW w:w="1276" w:type="dxa"/>
            <w:tcBorders>
              <w:top w:val="single" w:sz="6" w:space="0" w:color="000000"/>
            </w:tcBorders>
          </w:tcPr>
          <w:p w:rsidR="00576064" w:rsidRPr="006C28D2" w:rsidRDefault="00576064" w:rsidP="005274B5">
            <w:pPr>
              <w:tabs>
                <w:tab w:val="decimal" w:pos="884"/>
              </w:tabs>
              <w:ind w:left="34"/>
              <w:rPr>
                <w:sz w:val="22"/>
              </w:rPr>
            </w:pPr>
            <w:r>
              <w:rPr>
                <w:sz w:val="22"/>
              </w:rPr>
              <w:t>8,900</w:t>
            </w:r>
          </w:p>
        </w:tc>
      </w:tr>
      <w:tr w:rsidR="00576064" w:rsidRPr="00A60775" w:rsidTr="00EF4270">
        <w:trPr>
          <w:trHeight w:val="300"/>
        </w:trPr>
        <w:tc>
          <w:tcPr>
            <w:tcW w:w="4536" w:type="dxa"/>
          </w:tcPr>
          <w:p w:rsidR="00576064" w:rsidRPr="006455CA" w:rsidRDefault="00576064" w:rsidP="00CD62E6">
            <w:pPr>
              <w:ind w:left="34"/>
              <w:jc w:val="both"/>
              <w:rPr>
                <w:sz w:val="22"/>
              </w:rPr>
            </w:pPr>
            <w:r w:rsidRPr="006455CA">
              <w:rPr>
                <w:sz w:val="22"/>
              </w:rPr>
              <w:t>Financing and Investment Income and Expenditure:</w:t>
            </w:r>
          </w:p>
        </w:tc>
        <w:tc>
          <w:tcPr>
            <w:tcW w:w="1134"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c>
          <w:tcPr>
            <w:tcW w:w="1276" w:type="dxa"/>
          </w:tcPr>
          <w:p w:rsidR="00576064" w:rsidRPr="006C28D2" w:rsidRDefault="00576064" w:rsidP="00287281">
            <w:pPr>
              <w:tabs>
                <w:tab w:val="decimal" w:pos="884"/>
              </w:tabs>
              <w:ind w:left="34"/>
              <w:rPr>
                <w:sz w:val="22"/>
              </w:rPr>
            </w:pPr>
          </w:p>
        </w:tc>
        <w:tc>
          <w:tcPr>
            <w:tcW w:w="1276" w:type="dxa"/>
          </w:tcPr>
          <w:p w:rsidR="00576064" w:rsidRPr="006C28D2" w:rsidRDefault="00576064" w:rsidP="005274B5">
            <w:pPr>
              <w:tabs>
                <w:tab w:val="decimal" w:pos="884"/>
              </w:tabs>
              <w:ind w:left="34"/>
              <w:rPr>
                <w:sz w:val="22"/>
              </w:rPr>
            </w:pPr>
          </w:p>
        </w:tc>
      </w:tr>
      <w:tr w:rsidR="00576064" w:rsidRPr="00A60775" w:rsidTr="00EF4270">
        <w:trPr>
          <w:trHeight w:val="300"/>
        </w:trPr>
        <w:tc>
          <w:tcPr>
            <w:tcW w:w="4536" w:type="dxa"/>
          </w:tcPr>
          <w:p w:rsidR="00576064" w:rsidRPr="008B1BF3" w:rsidRDefault="00576064" w:rsidP="00882E25">
            <w:pPr>
              <w:numPr>
                <w:ilvl w:val="0"/>
                <w:numId w:val="18"/>
              </w:numPr>
              <w:tabs>
                <w:tab w:val="clear" w:pos="754"/>
                <w:tab w:val="num" w:pos="459"/>
              </w:tabs>
              <w:ind w:hanging="720"/>
              <w:jc w:val="both"/>
              <w:rPr>
                <w:sz w:val="22"/>
              </w:rPr>
            </w:pPr>
            <w:r w:rsidRPr="008B1BF3">
              <w:rPr>
                <w:sz w:val="22"/>
              </w:rPr>
              <w:t>Interest cost</w:t>
            </w:r>
          </w:p>
        </w:tc>
        <w:tc>
          <w:tcPr>
            <w:tcW w:w="1134" w:type="dxa"/>
          </w:tcPr>
          <w:p w:rsidR="00576064" w:rsidRPr="00870777" w:rsidRDefault="001542E8" w:rsidP="00537A1F">
            <w:pPr>
              <w:tabs>
                <w:tab w:val="decimal" w:pos="717"/>
              </w:tabs>
              <w:ind w:left="34"/>
              <w:rPr>
                <w:sz w:val="22"/>
              </w:rPr>
            </w:pPr>
            <w:r>
              <w:rPr>
                <w:sz w:val="22"/>
              </w:rPr>
              <w:t>1,</w:t>
            </w:r>
            <w:r w:rsidR="00537A1F">
              <w:rPr>
                <w:sz w:val="22"/>
              </w:rPr>
              <w:t>570</w:t>
            </w:r>
          </w:p>
        </w:tc>
        <w:tc>
          <w:tcPr>
            <w:tcW w:w="1276" w:type="dxa"/>
          </w:tcPr>
          <w:p w:rsidR="00576064" w:rsidRPr="00870777" w:rsidRDefault="00576064" w:rsidP="00BA5902">
            <w:pPr>
              <w:tabs>
                <w:tab w:val="decimal" w:pos="717"/>
              </w:tabs>
              <w:ind w:left="34"/>
              <w:rPr>
                <w:sz w:val="22"/>
              </w:rPr>
            </w:pPr>
            <w:r>
              <w:rPr>
                <w:sz w:val="22"/>
              </w:rPr>
              <w:t>1,</w:t>
            </w:r>
            <w:r w:rsidR="00537A1F">
              <w:rPr>
                <w:sz w:val="22"/>
              </w:rPr>
              <w:t>828</w:t>
            </w:r>
          </w:p>
        </w:tc>
        <w:tc>
          <w:tcPr>
            <w:tcW w:w="1276" w:type="dxa"/>
          </w:tcPr>
          <w:p w:rsidR="00576064" w:rsidRPr="006C28D2" w:rsidRDefault="00CE604F" w:rsidP="00870777">
            <w:pPr>
              <w:tabs>
                <w:tab w:val="decimal" w:pos="884"/>
              </w:tabs>
              <w:ind w:left="34"/>
              <w:rPr>
                <w:sz w:val="22"/>
              </w:rPr>
            </w:pPr>
            <w:r>
              <w:rPr>
                <w:sz w:val="22"/>
              </w:rPr>
              <w:t>20,790</w:t>
            </w:r>
          </w:p>
        </w:tc>
        <w:tc>
          <w:tcPr>
            <w:tcW w:w="1276" w:type="dxa"/>
          </w:tcPr>
          <w:p w:rsidR="00576064" w:rsidRPr="006C28D2" w:rsidRDefault="00576064" w:rsidP="005274B5">
            <w:pPr>
              <w:tabs>
                <w:tab w:val="decimal" w:pos="884"/>
              </w:tabs>
              <w:ind w:left="34"/>
              <w:rPr>
                <w:sz w:val="22"/>
              </w:rPr>
            </w:pPr>
            <w:r>
              <w:rPr>
                <w:sz w:val="22"/>
              </w:rPr>
              <w:t>23,100</w:t>
            </w:r>
          </w:p>
        </w:tc>
      </w:tr>
      <w:tr w:rsidR="00576064" w:rsidRPr="00A60775" w:rsidTr="00EF4270">
        <w:trPr>
          <w:trHeight w:val="300"/>
        </w:trPr>
        <w:tc>
          <w:tcPr>
            <w:tcW w:w="4536" w:type="dxa"/>
          </w:tcPr>
          <w:p w:rsidR="00576064" w:rsidRPr="008B1BF3" w:rsidRDefault="00576064" w:rsidP="00882E25">
            <w:pPr>
              <w:numPr>
                <w:ilvl w:val="0"/>
                <w:numId w:val="18"/>
              </w:numPr>
              <w:tabs>
                <w:tab w:val="clear" w:pos="754"/>
                <w:tab w:val="num" w:pos="459"/>
              </w:tabs>
              <w:ind w:hanging="720"/>
              <w:jc w:val="both"/>
              <w:rPr>
                <w:sz w:val="22"/>
              </w:rPr>
            </w:pPr>
            <w:r>
              <w:rPr>
                <w:sz w:val="22"/>
              </w:rPr>
              <w:t>Interest on scheme assets</w:t>
            </w:r>
          </w:p>
        </w:tc>
        <w:tc>
          <w:tcPr>
            <w:tcW w:w="1134" w:type="dxa"/>
            <w:tcBorders>
              <w:bottom w:val="single" w:sz="6" w:space="0" w:color="000000"/>
            </w:tcBorders>
          </w:tcPr>
          <w:p w:rsidR="00576064" w:rsidRPr="00870777" w:rsidRDefault="001542E8" w:rsidP="00537A1F">
            <w:pPr>
              <w:tabs>
                <w:tab w:val="decimal" w:pos="717"/>
              </w:tabs>
              <w:ind w:left="34"/>
              <w:rPr>
                <w:sz w:val="22"/>
              </w:rPr>
            </w:pPr>
            <w:r>
              <w:rPr>
                <w:sz w:val="22"/>
              </w:rPr>
              <w:t>(1,</w:t>
            </w:r>
            <w:r w:rsidR="00537A1F">
              <w:rPr>
                <w:sz w:val="22"/>
              </w:rPr>
              <w:t>354</w:t>
            </w:r>
            <w:r>
              <w:rPr>
                <w:sz w:val="22"/>
              </w:rPr>
              <w:t>)</w:t>
            </w:r>
          </w:p>
        </w:tc>
        <w:tc>
          <w:tcPr>
            <w:tcW w:w="1276" w:type="dxa"/>
            <w:tcBorders>
              <w:bottom w:val="single" w:sz="6" w:space="0" w:color="000000"/>
            </w:tcBorders>
          </w:tcPr>
          <w:p w:rsidR="00576064" w:rsidRPr="00870777" w:rsidRDefault="00576064" w:rsidP="00BA5902">
            <w:pPr>
              <w:tabs>
                <w:tab w:val="decimal" w:pos="717"/>
              </w:tabs>
              <w:ind w:left="34"/>
              <w:rPr>
                <w:sz w:val="22"/>
              </w:rPr>
            </w:pPr>
            <w:r>
              <w:rPr>
                <w:sz w:val="22"/>
              </w:rPr>
              <w:t>(1,</w:t>
            </w:r>
            <w:r w:rsidR="00537A1F">
              <w:rPr>
                <w:sz w:val="22"/>
              </w:rPr>
              <w:t>643</w:t>
            </w:r>
            <w:r>
              <w:rPr>
                <w:sz w:val="22"/>
              </w:rPr>
              <w:t>)</w:t>
            </w:r>
          </w:p>
        </w:tc>
        <w:tc>
          <w:tcPr>
            <w:tcW w:w="1276" w:type="dxa"/>
            <w:tcBorders>
              <w:bottom w:val="single" w:sz="6" w:space="0" w:color="000000"/>
            </w:tcBorders>
          </w:tcPr>
          <w:p w:rsidR="00576064" w:rsidRPr="006C28D2" w:rsidRDefault="00576064" w:rsidP="00287281">
            <w:pPr>
              <w:tabs>
                <w:tab w:val="decimal" w:pos="884"/>
              </w:tabs>
              <w:ind w:left="34"/>
              <w:rPr>
                <w:sz w:val="22"/>
              </w:rPr>
            </w:pPr>
            <w:r>
              <w:rPr>
                <w:sz w:val="22"/>
              </w:rPr>
              <w:t>-</w:t>
            </w:r>
          </w:p>
        </w:tc>
        <w:tc>
          <w:tcPr>
            <w:tcW w:w="1276" w:type="dxa"/>
            <w:tcBorders>
              <w:bottom w:val="single" w:sz="6" w:space="0" w:color="000000"/>
            </w:tcBorders>
          </w:tcPr>
          <w:p w:rsidR="00576064" w:rsidRPr="006C28D2" w:rsidRDefault="00576064" w:rsidP="005274B5">
            <w:pPr>
              <w:tabs>
                <w:tab w:val="decimal" w:pos="884"/>
              </w:tabs>
              <w:ind w:left="34"/>
              <w:rPr>
                <w:sz w:val="22"/>
              </w:rPr>
            </w:pPr>
            <w:r>
              <w:rPr>
                <w:sz w:val="22"/>
              </w:rPr>
              <w:t>-</w:t>
            </w:r>
          </w:p>
        </w:tc>
      </w:tr>
      <w:tr w:rsidR="00576064" w:rsidRPr="00A60775" w:rsidTr="00EF4270">
        <w:trPr>
          <w:trHeight w:val="300"/>
        </w:trPr>
        <w:tc>
          <w:tcPr>
            <w:tcW w:w="4536" w:type="dxa"/>
          </w:tcPr>
          <w:p w:rsidR="00576064" w:rsidRPr="008B1BF3" w:rsidRDefault="00576064" w:rsidP="00CD62E6">
            <w:pPr>
              <w:ind w:left="34"/>
              <w:jc w:val="both"/>
              <w:rPr>
                <w:sz w:val="22"/>
              </w:rPr>
            </w:pPr>
          </w:p>
        </w:tc>
        <w:tc>
          <w:tcPr>
            <w:tcW w:w="1134" w:type="dxa"/>
            <w:tcBorders>
              <w:top w:val="single" w:sz="6" w:space="0" w:color="000000"/>
            </w:tcBorders>
          </w:tcPr>
          <w:p w:rsidR="00576064" w:rsidRPr="00870777" w:rsidRDefault="00537A1F" w:rsidP="00CD62E6">
            <w:pPr>
              <w:tabs>
                <w:tab w:val="decimal" w:pos="717"/>
              </w:tabs>
              <w:ind w:left="34"/>
              <w:rPr>
                <w:sz w:val="22"/>
              </w:rPr>
            </w:pPr>
            <w:r>
              <w:rPr>
                <w:sz w:val="22"/>
              </w:rPr>
              <w:t>216</w:t>
            </w:r>
          </w:p>
        </w:tc>
        <w:tc>
          <w:tcPr>
            <w:tcW w:w="1276" w:type="dxa"/>
            <w:tcBorders>
              <w:top w:val="single" w:sz="6" w:space="0" w:color="000000"/>
            </w:tcBorders>
          </w:tcPr>
          <w:p w:rsidR="00576064" w:rsidRPr="00870777" w:rsidRDefault="00537A1F" w:rsidP="005274B5">
            <w:pPr>
              <w:tabs>
                <w:tab w:val="decimal" w:pos="717"/>
              </w:tabs>
              <w:ind w:left="34"/>
              <w:rPr>
                <w:sz w:val="22"/>
              </w:rPr>
            </w:pPr>
            <w:r>
              <w:rPr>
                <w:sz w:val="22"/>
              </w:rPr>
              <w:t>185</w:t>
            </w:r>
          </w:p>
        </w:tc>
        <w:tc>
          <w:tcPr>
            <w:tcW w:w="1276" w:type="dxa"/>
            <w:tcBorders>
              <w:top w:val="single" w:sz="6" w:space="0" w:color="000000"/>
            </w:tcBorders>
          </w:tcPr>
          <w:p w:rsidR="00576064" w:rsidRPr="006C28D2" w:rsidRDefault="00CE604F" w:rsidP="0065180D">
            <w:pPr>
              <w:tabs>
                <w:tab w:val="decimal" w:pos="884"/>
              </w:tabs>
              <w:ind w:left="34"/>
              <w:rPr>
                <w:sz w:val="22"/>
              </w:rPr>
            </w:pPr>
            <w:r>
              <w:rPr>
                <w:sz w:val="22"/>
              </w:rPr>
              <w:t>20,790</w:t>
            </w:r>
          </w:p>
        </w:tc>
        <w:tc>
          <w:tcPr>
            <w:tcW w:w="1276" w:type="dxa"/>
            <w:tcBorders>
              <w:top w:val="single" w:sz="6" w:space="0" w:color="000000"/>
            </w:tcBorders>
          </w:tcPr>
          <w:p w:rsidR="00576064" w:rsidRPr="006C28D2" w:rsidRDefault="00576064" w:rsidP="005274B5">
            <w:pPr>
              <w:tabs>
                <w:tab w:val="decimal" w:pos="884"/>
              </w:tabs>
              <w:ind w:left="34"/>
              <w:rPr>
                <w:sz w:val="22"/>
              </w:rPr>
            </w:pPr>
            <w:r>
              <w:rPr>
                <w:sz w:val="22"/>
              </w:rPr>
              <w:t>23,100</w:t>
            </w:r>
          </w:p>
        </w:tc>
      </w:tr>
      <w:tr w:rsidR="00576064" w:rsidRPr="00A60775" w:rsidTr="00EF4270">
        <w:trPr>
          <w:trHeight w:val="300"/>
        </w:trPr>
        <w:tc>
          <w:tcPr>
            <w:tcW w:w="4536" w:type="dxa"/>
          </w:tcPr>
          <w:p w:rsidR="00576064" w:rsidRPr="00A60775" w:rsidRDefault="00576064" w:rsidP="00CD62E6">
            <w:pPr>
              <w:ind w:left="34"/>
              <w:rPr>
                <w:b/>
                <w:sz w:val="22"/>
                <w:highlight w:val="cyan"/>
              </w:rPr>
            </w:pPr>
            <w:r w:rsidRPr="008B1BF3">
              <w:rPr>
                <w:b/>
                <w:sz w:val="22"/>
              </w:rPr>
              <w:t xml:space="preserve">Total </w:t>
            </w:r>
            <w:proofErr w:type="spellStart"/>
            <w:r w:rsidRPr="008B1BF3">
              <w:rPr>
                <w:b/>
                <w:sz w:val="22"/>
              </w:rPr>
              <w:t>post employment</w:t>
            </w:r>
            <w:proofErr w:type="spellEnd"/>
            <w:r w:rsidRPr="008B1BF3">
              <w:rPr>
                <w:b/>
                <w:sz w:val="22"/>
              </w:rPr>
              <w:t xml:space="preserve"> benefit charged to the deficit on provision of services</w:t>
            </w:r>
          </w:p>
        </w:tc>
        <w:tc>
          <w:tcPr>
            <w:tcW w:w="1134" w:type="dxa"/>
          </w:tcPr>
          <w:p w:rsidR="00576064" w:rsidRDefault="00576064" w:rsidP="00327953">
            <w:pPr>
              <w:tabs>
                <w:tab w:val="decimal" w:pos="717"/>
              </w:tabs>
              <w:ind w:left="34"/>
              <w:rPr>
                <w:b/>
                <w:sz w:val="22"/>
              </w:rPr>
            </w:pPr>
          </w:p>
          <w:p w:rsidR="001542E8" w:rsidRPr="00870777" w:rsidRDefault="00537A1F" w:rsidP="00537A1F">
            <w:pPr>
              <w:tabs>
                <w:tab w:val="decimal" w:pos="717"/>
              </w:tabs>
              <w:ind w:left="34"/>
              <w:rPr>
                <w:b/>
                <w:sz w:val="22"/>
              </w:rPr>
            </w:pPr>
            <w:r>
              <w:rPr>
                <w:b/>
                <w:sz w:val="22"/>
              </w:rPr>
              <w:t>2,014</w:t>
            </w:r>
          </w:p>
        </w:tc>
        <w:tc>
          <w:tcPr>
            <w:tcW w:w="1276" w:type="dxa"/>
          </w:tcPr>
          <w:p w:rsidR="00576064" w:rsidRDefault="00576064" w:rsidP="005274B5">
            <w:pPr>
              <w:tabs>
                <w:tab w:val="decimal" w:pos="717"/>
              </w:tabs>
              <w:ind w:left="34"/>
              <w:rPr>
                <w:b/>
                <w:sz w:val="22"/>
              </w:rPr>
            </w:pPr>
          </w:p>
          <w:p w:rsidR="00576064" w:rsidRPr="00870777" w:rsidRDefault="00576064" w:rsidP="00537A1F">
            <w:pPr>
              <w:tabs>
                <w:tab w:val="decimal" w:pos="717"/>
              </w:tabs>
              <w:ind w:left="34"/>
              <w:rPr>
                <w:b/>
                <w:sz w:val="22"/>
              </w:rPr>
            </w:pPr>
            <w:r>
              <w:rPr>
                <w:b/>
                <w:sz w:val="22"/>
              </w:rPr>
              <w:t>1,</w:t>
            </w:r>
            <w:r w:rsidR="00537A1F">
              <w:rPr>
                <w:b/>
                <w:sz w:val="22"/>
              </w:rPr>
              <w:t>264</w:t>
            </w:r>
          </w:p>
        </w:tc>
        <w:tc>
          <w:tcPr>
            <w:tcW w:w="1276" w:type="dxa"/>
          </w:tcPr>
          <w:p w:rsidR="00576064" w:rsidRDefault="00576064" w:rsidP="0009002C">
            <w:pPr>
              <w:tabs>
                <w:tab w:val="decimal" w:pos="884"/>
              </w:tabs>
              <w:ind w:left="34"/>
              <w:rPr>
                <w:b/>
                <w:sz w:val="22"/>
              </w:rPr>
            </w:pPr>
          </w:p>
          <w:p w:rsidR="00CE604F" w:rsidRPr="006C28D2" w:rsidRDefault="00CE604F" w:rsidP="0009002C">
            <w:pPr>
              <w:tabs>
                <w:tab w:val="decimal" w:pos="884"/>
              </w:tabs>
              <w:ind w:left="34"/>
              <w:rPr>
                <w:b/>
                <w:sz w:val="22"/>
              </w:rPr>
            </w:pPr>
            <w:r>
              <w:rPr>
                <w:b/>
                <w:sz w:val="22"/>
              </w:rPr>
              <w:t>31,990</w:t>
            </w:r>
          </w:p>
        </w:tc>
        <w:tc>
          <w:tcPr>
            <w:tcW w:w="1276" w:type="dxa"/>
          </w:tcPr>
          <w:p w:rsidR="00576064" w:rsidRDefault="00576064" w:rsidP="005274B5">
            <w:pPr>
              <w:tabs>
                <w:tab w:val="decimal" w:pos="884"/>
              </w:tabs>
              <w:ind w:left="34"/>
              <w:rPr>
                <w:b/>
                <w:sz w:val="22"/>
              </w:rPr>
            </w:pPr>
          </w:p>
          <w:p w:rsidR="00576064" w:rsidRPr="006C28D2" w:rsidRDefault="00576064" w:rsidP="005274B5">
            <w:pPr>
              <w:tabs>
                <w:tab w:val="decimal" w:pos="884"/>
              </w:tabs>
              <w:ind w:left="34"/>
              <w:rPr>
                <w:b/>
                <w:sz w:val="22"/>
              </w:rPr>
            </w:pPr>
            <w:r>
              <w:rPr>
                <w:b/>
                <w:sz w:val="22"/>
              </w:rPr>
              <w:t>32,000</w:t>
            </w:r>
          </w:p>
        </w:tc>
      </w:tr>
      <w:tr w:rsidR="00576064" w:rsidRPr="00A60775" w:rsidTr="00EF4270">
        <w:trPr>
          <w:trHeight w:val="300"/>
        </w:trPr>
        <w:tc>
          <w:tcPr>
            <w:tcW w:w="4536" w:type="dxa"/>
          </w:tcPr>
          <w:p w:rsidR="00576064" w:rsidRPr="00A60775" w:rsidRDefault="00576064" w:rsidP="00CD62E6">
            <w:pPr>
              <w:ind w:left="34"/>
              <w:rPr>
                <w:b/>
                <w:sz w:val="22"/>
                <w:highlight w:val="cyan"/>
              </w:rPr>
            </w:pPr>
          </w:p>
        </w:tc>
        <w:tc>
          <w:tcPr>
            <w:tcW w:w="1134"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c>
          <w:tcPr>
            <w:tcW w:w="1276" w:type="dxa"/>
          </w:tcPr>
          <w:p w:rsidR="00576064" w:rsidRPr="006C28D2" w:rsidRDefault="00576064" w:rsidP="00CD62E6">
            <w:pPr>
              <w:tabs>
                <w:tab w:val="decimal" w:pos="717"/>
              </w:tabs>
              <w:ind w:left="34"/>
              <w:rPr>
                <w:sz w:val="22"/>
              </w:rPr>
            </w:pPr>
          </w:p>
        </w:tc>
        <w:tc>
          <w:tcPr>
            <w:tcW w:w="1276" w:type="dxa"/>
          </w:tcPr>
          <w:p w:rsidR="00576064" w:rsidRPr="00C33CBD" w:rsidRDefault="00576064" w:rsidP="00766A7A">
            <w:pPr>
              <w:tabs>
                <w:tab w:val="decimal" w:pos="717"/>
              </w:tabs>
              <w:ind w:left="34"/>
              <w:rPr>
                <w:sz w:val="22"/>
              </w:rPr>
            </w:pPr>
          </w:p>
        </w:tc>
      </w:tr>
      <w:tr w:rsidR="00576064" w:rsidRPr="00A60775" w:rsidTr="00EF4270">
        <w:trPr>
          <w:trHeight w:val="300"/>
        </w:trPr>
        <w:tc>
          <w:tcPr>
            <w:tcW w:w="4536" w:type="dxa"/>
          </w:tcPr>
          <w:p w:rsidR="00576064" w:rsidRPr="006455CA" w:rsidRDefault="00576064" w:rsidP="00CD62E6">
            <w:pPr>
              <w:ind w:left="34"/>
              <w:rPr>
                <w:b/>
                <w:sz w:val="22"/>
              </w:rPr>
            </w:pPr>
            <w:r w:rsidRPr="006455CA">
              <w:rPr>
                <w:b/>
                <w:sz w:val="22"/>
              </w:rPr>
              <w:t xml:space="preserve">Other </w:t>
            </w:r>
            <w:proofErr w:type="spellStart"/>
            <w:r w:rsidRPr="006455CA">
              <w:rPr>
                <w:b/>
                <w:sz w:val="22"/>
              </w:rPr>
              <w:t>post employment</w:t>
            </w:r>
            <w:proofErr w:type="spellEnd"/>
            <w:r w:rsidRPr="006455CA">
              <w:rPr>
                <w:b/>
                <w:sz w:val="22"/>
              </w:rPr>
              <w:t xml:space="preserve"> benefit charged to the Comprehensive Income and Expenditure Statement</w:t>
            </w:r>
          </w:p>
        </w:tc>
        <w:tc>
          <w:tcPr>
            <w:tcW w:w="1134"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c>
          <w:tcPr>
            <w:tcW w:w="1276" w:type="dxa"/>
          </w:tcPr>
          <w:p w:rsidR="00576064" w:rsidRPr="006C28D2" w:rsidRDefault="00576064" w:rsidP="00CD62E6">
            <w:pPr>
              <w:tabs>
                <w:tab w:val="decimal" w:pos="717"/>
              </w:tabs>
              <w:ind w:left="34"/>
              <w:rPr>
                <w:sz w:val="22"/>
              </w:rPr>
            </w:pPr>
          </w:p>
        </w:tc>
        <w:tc>
          <w:tcPr>
            <w:tcW w:w="1276" w:type="dxa"/>
          </w:tcPr>
          <w:p w:rsidR="00576064" w:rsidRPr="00C33CBD" w:rsidRDefault="00576064" w:rsidP="00766A7A">
            <w:pPr>
              <w:tabs>
                <w:tab w:val="decimal" w:pos="717"/>
              </w:tabs>
              <w:ind w:left="34"/>
              <w:rPr>
                <w:sz w:val="22"/>
              </w:rPr>
            </w:pPr>
          </w:p>
        </w:tc>
      </w:tr>
      <w:tr w:rsidR="00576064" w:rsidRPr="00A60775" w:rsidTr="00EF4270">
        <w:trPr>
          <w:trHeight w:val="300"/>
        </w:trPr>
        <w:tc>
          <w:tcPr>
            <w:tcW w:w="4536" w:type="dxa"/>
          </w:tcPr>
          <w:p w:rsidR="00576064" w:rsidRPr="006455CA" w:rsidRDefault="00576064" w:rsidP="00882E25">
            <w:pPr>
              <w:numPr>
                <w:ilvl w:val="0"/>
                <w:numId w:val="18"/>
              </w:numPr>
              <w:tabs>
                <w:tab w:val="clear" w:pos="754"/>
                <w:tab w:val="num" w:pos="459"/>
              </w:tabs>
              <w:ind w:hanging="720"/>
              <w:rPr>
                <w:sz w:val="22"/>
              </w:rPr>
            </w:pPr>
            <w:r w:rsidRPr="006455CA">
              <w:rPr>
                <w:sz w:val="22"/>
              </w:rPr>
              <w:t xml:space="preserve">Actuarial </w:t>
            </w:r>
            <w:r>
              <w:rPr>
                <w:sz w:val="22"/>
              </w:rPr>
              <w:t>(</w:t>
            </w:r>
            <w:r w:rsidRPr="006455CA">
              <w:rPr>
                <w:sz w:val="22"/>
              </w:rPr>
              <w:t>gains</w:t>
            </w:r>
            <w:r>
              <w:rPr>
                <w:sz w:val="22"/>
              </w:rPr>
              <w:t>)</w:t>
            </w:r>
            <w:r w:rsidRPr="006455CA">
              <w:rPr>
                <w:sz w:val="22"/>
              </w:rPr>
              <w:t xml:space="preserve"> and losses</w:t>
            </w:r>
          </w:p>
        </w:tc>
        <w:tc>
          <w:tcPr>
            <w:tcW w:w="1134" w:type="dxa"/>
            <w:tcBorders>
              <w:bottom w:val="single" w:sz="4" w:space="0" w:color="auto"/>
            </w:tcBorders>
          </w:tcPr>
          <w:p w:rsidR="00576064" w:rsidRPr="00870777" w:rsidRDefault="001542E8" w:rsidP="00537A1F">
            <w:pPr>
              <w:tabs>
                <w:tab w:val="decimal" w:pos="717"/>
              </w:tabs>
              <w:ind w:left="34"/>
              <w:rPr>
                <w:sz w:val="22"/>
              </w:rPr>
            </w:pPr>
            <w:r>
              <w:rPr>
                <w:sz w:val="22"/>
              </w:rPr>
              <w:t>(3,</w:t>
            </w:r>
            <w:r w:rsidR="00537A1F">
              <w:rPr>
                <w:sz w:val="22"/>
              </w:rPr>
              <w:t>200</w:t>
            </w:r>
            <w:r>
              <w:rPr>
                <w:sz w:val="22"/>
              </w:rPr>
              <w:t>)</w:t>
            </w:r>
          </w:p>
        </w:tc>
        <w:tc>
          <w:tcPr>
            <w:tcW w:w="1276" w:type="dxa"/>
            <w:tcBorders>
              <w:bottom w:val="single" w:sz="4" w:space="0" w:color="auto"/>
            </w:tcBorders>
          </w:tcPr>
          <w:p w:rsidR="00576064" w:rsidRPr="00870777" w:rsidRDefault="00537A1F" w:rsidP="005274B5">
            <w:pPr>
              <w:tabs>
                <w:tab w:val="decimal" w:pos="717"/>
              </w:tabs>
              <w:ind w:left="34"/>
              <w:rPr>
                <w:sz w:val="22"/>
              </w:rPr>
            </w:pPr>
            <w:r>
              <w:rPr>
                <w:sz w:val="22"/>
              </w:rPr>
              <w:t>3,011</w:t>
            </w:r>
          </w:p>
        </w:tc>
        <w:tc>
          <w:tcPr>
            <w:tcW w:w="1276" w:type="dxa"/>
            <w:tcBorders>
              <w:bottom w:val="single" w:sz="4" w:space="0" w:color="auto"/>
            </w:tcBorders>
          </w:tcPr>
          <w:p w:rsidR="00576064" w:rsidRPr="006C28D2" w:rsidRDefault="00CE604F" w:rsidP="0009002C">
            <w:pPr>
              <w:tabs>
                <w:tab w:val="decimal" w:pos="884"/>
              </w:tabs>
              <w:ind w:left="34"/>
              <w:rPr>
                <w:sz w:val="22"/>
              </w:rPr>
            </w:pPr>
            <w:r>
              <w:rPr>
                <w:sz w:val="22"/>
              </w:rPr>
              <w:t>(7,530)</w:t>
            </w:r>
          </w:p>
        </w:tc>
        <w:tc>
          <w:tcPr>
            <w:tcW w:w="1276" w:type="dxa"/>
            <w:tcBorders>
              <w:bottom w:val="single" w:sz="4" w:space="0" w:color="auto"/>
            </w:tcBorders>
          </w:tcPr>
          <w:p w:rsidR="00576064" w:rsidRPr="006C28D2" w:rsidRDefault="00576064" w:rsidP="005274B5">
            <w:pPr>
              <w:tabs>
                <w:tab w:val="decimal" w:pos="884"/>
              </w:tabs>
              <w:ind w:left="34"/>
              <w:rPr>
                <w:sz w:val="22"/>
              </w:rPr>
            </w:pPr>
            <w:r>
              <w:rPr>
                <w:sz w:val="22"/>
              </w:rPr>
              <w:t>111,930</w:t>
            </w:r>
          </w:p>
        </w:tc>
      </w:tr>
      <w:tr w:rsidR="00576064" w:rsidRPr="00A60775" w:rsidTr="00EF4270">
        <w:trPr>
          <w:trHeight w:val="300"/>
        </w:trPr>
        <w:tc>
          <w:tcPr>
            <w:tcW w:w="4536" w:type="dxa"/>
          </w:tcPr>
          <w:p w:rsidR="00576064" w:rsidRPr="006455CA" w:rsidRDefault="00576064" w:rsidP="00CD62E6">
            <w:pPr>
              <w:ind w:left="34"/>
              <w:rPr>
                <w:b/>
                <w:sz w:val="22"/>
              </w:rPr>
            </w:pPr>
            <w:r w:rsidRPr="008B1BF3">
              <w:rPr>
                <w:b/>
                <w:sz w:val="22"/>
              </w:rPr>
              <w:t xml:space="preserve">Total </w:t>
            </w:r>
            <w:proofErr w:type="spellStart"/>
            <w:r w:rsidRPr="008B1BF3">
              <w:rPr>
                <w:b/>
                <w:sz w:val="22"/>
              </w:rPr>
              <w:t>post employment</w:t>
            </w:r>
            <w:proofErr w:type="spellEnd"/>
            <w:r w:rsidRPr="008B1BF3">
              <w:rPr>
                <w:b/>
                <w:sz w:val="22"/>
              </w:rPr>
              <w:t xml:space="preserve"> benefit charged to the</w:t>
            </w:r>
            <w:r>
              <w:rPr>
                <w:b/>
                <w:sz w:val="22"/>
              </w:rPr>
              <w:t xml:space="preserve"> </w:t>
            </w:r>
            <w:r w:rsidRPr="006455CA">
              <w:rPr>
                <w:b/>
                <w:sz w:val="22"/>
              </w:rPr>
              <w:t>Comprehensive Income and Expenditure Statement</w:t>
            </w:r>
          </w:p>
        </w:tc>
        <w:tc>
          <w:tcPr>
            <w:tcW w:w="1134" w:type="dxa"/>
            <w:tcBorders>
              <w:top w:val="single" w:sz="4" w:space="0" w:color="auto"/>
            </w:tcBorders>
          </w:tcPr>
          <w:p w:rsidR="00576064" w:rsidRDefault="00576064" w:rsidP="00327953">
            <w:pPr>
              <w:tabs>
                <w:tab w:val="decimal" w:pos="717"/>
              </w:tabs>
              <w:ind w:left="34"/>
              <w:rPr>
                <w:b/>
                <w:sz w:val="22"/>
              </w:rPr>
            </w:pPr>
          </w:p>
          <w:p w:rsidR="001542E8" w:rsidRDefault="001542E8" w:rsidP="00327953">
            <w:pPr>
              <w:tabs>
                <w:tab w:val="decimal" w:pos="717"/>
              </w:tabs>
              <w:ind w:left="34"/>
              <w:rPr>
                <w:b/>
                <w:sz w:val="22"/>
              </w:rPr>
            </w:pPr>
          </w:p>
          <w:p w:rsidR="001542E8" w:rsidRPr="00870777" w:rsidRDefault="001542E8" w:rsidP="00537A1F">
            <w:pPr>
              <w:tabs>
                <w:tab w:val="decimal" w:pos="717"/>
              </w:tabs>
              <w:ind w:left="34"/>
              <w:rPr>
                <w:b/>
                <w:sz w:val="22"/>
              </w:rPr>
            </w:pPr>
            <w:r>
              <w:rPr>
                <w:b/>
                <w:sz w:val="22"/>
              </w:rPr>
              <w:t>(1,</w:t>
            </w:r>
            <w:r w:rsidR="00537A1F">
              <w:rPr>
                <w:b/>
                <w:sz w:val="22"/>
              </w:rPr>
              <w:t>186</w:t>
            </w:r>
            <w:r>
              <w:rPr>
                <w:b/>
                <w:sz w:val="22"/>
              </w:rPr>
              <w:t>)</w:t>
            </w:r>
          </w:p>
        </w:tc>
        <w:tc>
          <w:tcPr>
            <w:tcW w:w="1276" w:type="dxa"/>
            <w:tcBorders>
              <w:top w:val="single" w:sz="4" w:space="0" w:color="auto"/>
            </w:tcBorders>
          </w:tcPr>
          <w:p w:rsidR="00576064" w:rsidRDefault="00576064" w:rsidP="005274B5">
            <w:pPr>
              <w:tabs>
                <w:tab w:val="decimal" w:pos="717"/>
              </w:tabs>
              <w:ind w:left="34"/>
              <w:rPr>
                <w:b/>
                <w:sz w:val="22"/>
              </w:rPr>
            </w:pPr>
          </w:p>
          <w:p w:rsidR="00576064" w:rsidRDefault="00576064" w:rsidP="005274B5">
            <w:pPr>
              <w:tabs>
                <w:tab w:val="decimal" w:pos="717"/>
              </w:tabs>
              <w:ind w:left="34"/>
              <w:rPr>
                <w:b/>
                <w:sz w:val="22"/>
              </w:rPr>
            </w:pPr>
          </w:p>
          <w:p w:rsidR="00576064" w:rsidRPr="00870777" w:rsidRDefault="00537A1F" w:rsidP="005274B5">
            <w:pPr>
              <w:tabs>
                <w:tab w:val="decimal" w:pos="717"/>
              </w:tabs>
              <w:ind w:left="34"/>
              <w:rPr>
                <w:b/>
                <w:sz w:val="22"/>
              </w:rPr>
            </w:pPr>
            <w:r>
              <w:rPr>
                <w:b/>
                <w:sz w:val="22"/>
              </w:rPr>
              <w:t>4,275</w:t>
            </w:r>
          </w:p>
        </w:tc>
        <w:tc>
          <w:tcPr>
            <w:tcW w:w="1276" w:type="dxa"/>
            <w:tcBorders>
              <w:top w:val="single" w:sz="4" w:space="0" w:color="auto"/>
            </w:tcBorders>
          </w:tcPr>
          <w:p w:rsidR="00576064" w:rsidRDefault="00576064" w:rsidP="00870777">
            <w:pPr>
              <w:tabs>
                <w:tab w:val="decimal" w:pos="884"/>
              </w:tabs>
              <w:ind w:left="34"/>
              <w:rPr>
                <w:b/>
                <w:sz w:val="22"/>
              </w:rPr>
            </w:pPr>
          </w:p>
          <w:p w:rsidR="00CE604F" w:rsidRDefault="00CE604F" w:rsidP="00870777">
            <w:pPr>
              <w:tabs>
                <w:tab w:val="decimal" w:pos="884"/>
              </w:tabs>
              <w:ind w:left="34"/>
              <w:rPr>
                <w:b/>
                <w:sz w:val="22"/>
              </w:rPr>
            </w:pPr>
          </w:p>
          <w:p w:rsidR="00CE604F" w:rsidRPr="006C28D2" w:rsidRDefault="00CE604F" w:rsidP="00870777">
            <w:pPr>
              <w:tabs>
                <w:tab w:val="decimal" w:pos="884"/>
              </w:tabs>
              <w:ind w:left="34"/>
              <w:rPr>
                <w:b/>
                <w:sz w:val="22"/>
              </w:rPr>
            </w:pPr>
            <w:r>
              <w:rPr>
                <w:b/>
                <w:sz w:val="22"/>
              </w:rPr>
              <w:t>24,460</w:t>
            </w:r>
          </w:p>
        </w:tc>
        <w:tc>
          <w:tcPr>
            <w:tcW w:w="1276" w:type="dxa"/>
            <w:tcBorders>
              <w:top w:val="single" w:sz="4" w:space="0" w:color="auto"/>
            </w:tcBorders>
          </w:tcPr>
          <w:p w:rsidR="00576064" w:rsidRDefault="00576064" w:rsidP="005274B5">
            <w:pPr>
              <w:tabs>
                <w:tab w:val="decimal" w:pos="884"/>
              </w:tabs>
              <w:ind w:left="34"/>
              <w:rPr>
                <w:b/>
                <w:sz w:val="22"/>
              </w:rPr>
            </w:pPr>
          </w:p>
          <w:p w:rsidR="00576064" w:rsidRDefault="00576064" w:rsidP="005274B5">
            <w:pPr>
              <w:tabs>
                <w:tab w:val="decimal" w:pos="884"/>
              </w:tabs>
              <w:ind w:left="34"/>
              <w:rPr>
                <w:b/>
                <w:sz w:val="22"/>
              </w:rPr>
            </w:pPr>
          </w:p>
          <w:p w:rsidR="00576064" w:rsidRPr="006C28D2" w:rsidRDefault="00576064" w:rsidP="005274B5">
            <w:pPr>
              <w:tabs>
                <w:tab w:val="decimal" w:pos="884"/>
              </w:tabs>
              <w:ind w:left="34"/>
              <w:rPr>
                <w:b/>
                <w:sz w:val="22"/>
              </w:rPr>
            </w:pPr>
            <w:r>
              <w:rPr>
                <w:b/>
                <w:sz w:val="22"/>
              </w:rPr>
              <w:t>143,930</w:t>
            </w:r>
          </w:p>
        </w:tc>
      </w:tr>
      <w:tr w:rsidR="00576064" w:rsidRPr="00A60775" w:rsidTr="00EF4270">
        <w:trPr>
          <w:trHeight w:val="300"/>
        </w:trPr>
        <w:tc>
          <w:tcPr>
            <w:tcW w:w="4536" w:type="dxa"/>
          </w:tcPr>
          <w:p w:rsidR="00576064" w:rsidRPr="006455CA" w:rsidRDefault="00576064" w:rsidP="00CD62E6">
            <w:pPr>
              <w:ind w:left="34"/>
              <w:rPr>
                <w:b/>
                <w:sz w:val="22"/>
              </w:rPr>
            </w:pPr>
          </w:p>
        </w:tc>
        <w:tc>
          <w:tcPr>
            <w:tcW w:w="1134"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c>
          <w:tcPr>
            <w:tcW w:w="1276"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r>
      <w:tr w:rsidR="00576064" w:rsidRPr="00A60775" w:rsidTr="00EF4270">
        <w:trPr>
          <w:trHeight w:val="300"/>
        </w:trPr>
        <w:tc>
          <w:tcPr>
            <w:tcW w:w="4536" w:type="dxa"/>
          </w:tcPr>
          <w:p w:rsidR="00576064" w:rsidRPr="006455CA" w:rsidRDefault="00576064" w:rsidP="00CD62E6">
            <w:pPr>
              <w:ind w:left="34"/>
              <w:rPr>
                <w:b/>
                <w:sz w:val="22"/>
              </w:rPr>
            </w:pPr>
            <w:r>
              <w:rPr>
                <w:b/>
                <w:sz w:val="22"/>
              </w:rPr>
              <w:t>Movement in reserves statement</w:t>
            </w:r>
          </w:p>
        </w:tc>
        <w:tc>
          <w:tcPr>
            <w:tcW w:w="1134"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c>
          <w:tcPr>
            <w:tcW w:w="1276"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r>
      <w:tr w:rsidR="00576064" w:rsidRPr="00A60775" w:rsidTr="00EF4270">
        <w:trPr>
          <w:trHeight w:val="300"/>
        </w:trPr>
        <w:tc>
          <w:tcPr>
            <w:tcW w:w="4536" w:type="dxa"/>
          </w:tcPr>
          <w:p w:rsidR="00576064" w:rsidRPr="006455CA" w:rsidRDefault="00576064" w:rsidP="00882E25">
            <w:pPr>
              <w:numPr>
                <w:ilvl w:val="0"/>
                <w:numId w:val="18"/>
              </w:numPr>
              <w:tabs>
                <w:tab w:val="clear" w:pos="754"/>
                <w:tab w:val="num" w:pos="459"/>
              </w:tabs>
              <w:ind w:left="459" w:hanging="425"/>
              <w:rPr>
                <w:b/>
                <w:sz w:val="22"/>
              </w:rPr>
            </w:pPr>
            <w:r>
              <w:rPr>
                <w:sz w:val="22"/>
              </w:rPr>
              <w:t>Reversal of net charges made to the</w:t>
            </w:r>
            <w:r w:rsidRPr="008B1BF3">
              <w:rPr>
                <w:b/>
                <w:sz w:val="22"/>
              </w:rPr>
              <w:t xml:space="preserve"> </w:t>
            </w:r>
            <w:r w:rsidRPr="00A7412F">
              <w:rPr>
                <w:sz w:val="22"/>
              </w:rPr>
              <w:t>deficit on provision of services</w:t>
            </w:r>
            <w:r>
              <w:rPr>
                <w:sz w:val="22"/>
              </w:rPr>
              <w:t xml:space="preserve">  in accordance with the code</w:t>
            </w:r>
          </w:p>
        </w:tc>
        <w:tc>
          <w:tcPr>
            <w:tcW w:w="1134" w:type="dxa"/>
          </w:tcPr>
          <w:p w:rsidR="00576064" w:rsidRDefault="00576064" w:rsidP="00327953">
            <w:pPr>
              <w:tabs>
                <w:tab w:val="decimal" w:pos="717"/>
              </w:tabs>
              <w:ind w:left="34"/>
              <w:rPr>
                <w:sz w:val="22"/>
              </w:rPr>
            </w:pPr>
          </w:p>
          <w:p w:rsidR="001542E8" w:rsidRDefault="001542E8" w:rsidP="00327953">
            <w:pPr>
              <w:tabs>
                <w:tab w:val="decimal" w:pos="717"/>
              </w:tabs>
              <w:ind w:left="34"/>
              <w:rPr>
                <w:sz w:val="22"/>
              </w:rPr>
            </w:pPr>
          </w:p>
          <w:p w:rsidR="001542E8" w:rsidRPr="00870777" w:rsidRDefault="001542E8" w:rsidP="00537A1F">
            <w:pPr>
              <w:tabs>
                <w:tab w:val="decimal" w:pos="717"/>
              </w:tabs>
              <w:ind w:left="34"/>
              <w:rPr>
                <w:sz w:val="22"/>
              </w:rPr>
            </w:pPr>
            <w:r>
              <w:rPr>
                <w:sz w:val="22"/>
              </w:rPr>
              <w:t>1,</w:t>
            </w:r>
            <w:r w:rsidR="00537A1F">
              <w:rPr>
                <w:sz w:val="22"/>
              </w:rPr>
              <w:t>958</w:t>
            </w:r>
          </w:p>
        </w:tc>
        <w:tc>
          <w:tcPr>
            <w:tcW w:w="1276" w:type="dxa"/>
          </w:tcPr>
          <w:p w:rsidR="00576064" w:rsidRDefault="00576064" w:rsidP="005274B5">
            <w:pPr>
              <w:tabs>
                <w:tab w:val="decimal" w:pos="717"/>
              </w:tabs>
              <w:ind w:left="34"/>
              <w:rPr>
                <w:sz w:val="22"/>
              </w:rPr>
            </w:pPr>
          </w:p>
          <w:p w:rsidR="00576064" w:rsidRDefault="00576064" w:rsidP="005274B5">
            <w:pPr>
              <w:tabs>
                <w:tab w:val="decimal" w:pos="717"/>
              </w:tabs>
              <w:ind w:left="34"/>
              <w:rPr>
                <w:sz w:val="22"/>
              </w:rPr>
            </w:pPr>
          </w:p>
          <w:p w:rsidR="00576064" w:rsidRPr="00870777" w:rsidRDefault="00576064" w:rsidP="00537A1F">
            <w:pPr>
              <w:tabs>
                <w:tab w:val="decimal" w:pos="717"/>
              </w:tabs>
              <w:ind w:left="34"/>
              <w:rPr>
                <w:sz w:val="22"/>
              </w:rPr>
            </w:pPr>
            <w:r>
              <w:rPr>
                <w:sz w:val="22"/>
              </w:rPr>
              <w:t>(</w:t>
            </w:r>
            <w:r w:rsidR="00537A1F">
              <w:rPr>
                <w:sz w:val="22"/>
              </w:rPr>
              <w:t>3,381</w:t>
            </w:r>
            <w:r>
              <w:rPr>
                <w:sz w:val="22"/>
              </w:rPr>
              <w:t>)</w:t>
            </w:r>
          </w:p>
        </w:tc>
        <w:tc>
          <w:tcPr>
            <w:tcW w:w="1276" w:type="dxa"/>
          </w:tcPr>
          <w:p w:rsidR="00576064" w:rsidRDefault="00576064" w:rsidP="00327953">
            <w:pPr>
              <w:tabs>
                <w:tab w:val="decimal" w:pos="884"/>
              </w:tabs>
              <w:ind w:left="34"/>
              <w:rPr>
                <w:sz w:val="22"/>
              </w:rPr>
            </w:pPr>
          </w:p>
          <w:p w:rsidR="00CE604F" w:rsidRDefault="00CE604F" w:rsidP="00327953">
            <w:pPr>
              <w:tabs>
                <w:tab w:val="decimal" w:pos="884"/>
              </w:tabs>
              <w:ind w:left="34"/>
              <w:rPr>
                <w:sz w:val="22"/>
              </w:rPr>
            </w:pPr>
          </w:p>
          <w:p w:rsidR="00CE604F" w:rsidRPr="00327953" w:rsidRDefault="00CE604F" w:rsidP="00327953">
            <w:pPr>
              <w:tabs>
                <w:tab w:val="decimal" w:pos="884"/>
              </w:tabs>
              <w:ind w:left="34"/>
              <w:rPr>
                <w:sz w:val="22"/>
              </w:rPr>
            </w:pPr>
            <w:r>
              <w:rPr>
                <w:sz w:val="22"/>
              </w:rPr>
              <w:t>(4,480)</w:t>
            </w:r>
          </w:p>
        </w:tc>
        <w:tc>
          <w:tcPr>
            <w:tcW w:w="1276" w:type="dxa"/>
          </w:tcPr>
          <w:p w:rsidR="00576064" w:rsidRDefault="00576064" w:rsidP="005274B5">
            <w:pPr>
              <w:tabs>
                <w:tab w:val="decimal" w:pos="884"/>
              </w:tabs>
              <w:ind w:left="34"/>
              <w:rPr>
                <w:sz w:val="22"/>
              </w:rPr>
            </w:pPr>
          </w:p>
          <w:p w:rsidR="00576064" w:rsidRDefault="00576064" w:rsidP="005274B5">
            <w:pPr>
              <w:tabs>
                <w:tab w:val="decimal" w:pos="884"/>
              </w:tabs>
              <w:ind w:left="34"/>
              <w:rPr>
                <w:sz w:val="22"/>
              </w:rPr>
            </w:pPr>
          </w:p>
          <w:p w:rsidR="00576064" w:rsidRPr="00327953" w:rsidRDefault="00576064" w:rsidP="005274B5">
            <w:pPr>
              <w:tabs>
                <w:tab w:val="decimal" w:pos="884"/>
              </w:tabs>
              <w:ind w:left="34"/>
              <w:rPr>
                <w:sz w:val="22"/>
              </w:rPr>
            </w:pPr>
            <w:r>
              <w:rPr>
                <w:sz w:val="22"/>
              </w:rPr>
              <w:t>(122,500)</w:t>
            </w:r>
          </w:p>
        </w:tc>
      </w:tr>
      <w:tr w:rsidR="00576064" w:rsidRPr="00A60775" w:rsidTr="00EF4270">
        <w:trPr>
          <w:trHeight w:val="300"/>
        </w:trPr>
        <w:tc>
          <w:tcPr>
            <w:tcW w:w="4536" w:type="dxa"/>
          </w:tcPr>
          <w:p w:rsidR="00576064" w:rsidRPr="006455CA" w:rsidRDefault="00576064" w:rsidP="00CD62E6">
            <w:pPr>
              <w:ind w:left="34"/>
              <w:jc w:val="both"/>
              <w:rPr>
                <w:b/>
                <w:sz w:val="22"/>
              </w:rPr>
            </w:pPr>
            <w:r w:rsidRPr="006455CA">
              <w:rPr>
                <w:b/>
                <w:sz w:val="22"/>
              </w:rPr>
              <w:t xml:space="preserve">Actual amount charged against </w:t>
            </w:r>
            <w:r>
              <w:rPr>
                <w:b/>
                <w:sz w:val="22"/>
              </w:rPr>
              <w:t>the General Fund Balance</w:t>
            </w:r>
            <w:r w:rsidRPr="006455CA">
              <w:rPr>
                <w:b/>
                <w:sz w:val="22"/>
              </w:rPr>
              <w:t xml:space="preserve"> for pensions in the year:</w:t>
            </w:r>
          </w:p>
        </w:tc>
        <w:tc>
          <w:tcPr>
            <w:tcW w:w="1134" w:type="dxa"/>
          </w:tcPr>
          <w:p w:rsidR="00576064" w:rsidRPr="00870777" w:rsidRDefault="00576064" w:rsidP="00CD62E6">
            <w:pPr>
              <w:tabs>
                <w:tab w:val="decimal" w:pos="717"/>
              </w:tabs>
              <w:ind w:left="34"/>
              <w:rPr>
                <w:sz w:val="22"/>
              </w:rPr>
            </w:pPr>
          </w:p>
        </w:tc>
        <w:tc>
          <w:tcPr>
            <w:tcW w:w="1276" w:type="dxa"/>
          </w:tcPr>
          <w:p w:rsidR="00576064" w:rsidRPr="00870777" w:rsidRDefault="00576064" w:rsidP="005274B5">
            <w:pPr>
              <w:tabs>
                <w:tab w:val="decimal" w:pos="717"/>
              </w:tabs>
              <w:ind w:left="34"/>
              <w:rPr>
                <w:sz w:val="22"/>
              </w:rPr>
            </w:pPr>
          </w:p>
        </w:tc>
        <w:tc>
          <w:tcPr>
            <w:tcW w:w="1276" w:type="dxa"/>
          </w:tcPr>
          <w:p w:rsidR="00576064" w:rsidRPr="005B2EBF" w:rsidRDefault="00576064" w:rsidP="00CD62E6">
            <w:pPr>
              <w:tabs>
                <w:tab w:val="decimal" w:pos="717"/>
              </w:tabs>
              <w:ind w:left="34"/>
              <w:rPr>
                <w:sz w:val="22"/>
                <w:highlight w:val="yellow"/>
              </w:rPr>
            </w:pPr>
          </w:p>
        </w:tc>
        <w:tc>
          <w:tcPr>
            <w:tcW w:w="1276" w:type="dxa"/>
          </w:tcPr>
          <w:p w:rsidR="00576064" w:rsidRPr="005B2EBF" w:rsidRDefault="00576064" w:rsidP="005274B5">
            <w:pPr>
              <w:tabs>
                <w:tab w:val="decimal" w:pos="717"/>
              </w:tabs>
              <w:ind w:left="34"/>
              <w:rPr>
                <w:sz w:val="22"/>
                <w:highlight w:val="yellow"/>
              </w:rPr>
            </w:pPr>
          </w:p>
        </w:tc>
      </w:tr>
      <w:tr w:rsidR="00576064" w:rsidRPr="00A60775" w:rsidTr="00EF4270">
        <w:trPr>
          <w:trHeight w:val="300"/>
        </w:trPr>
        <w:tc>
          <w:tcPr>
            <w:tcW w:w="4536" w:type="dxa"/>
          </w:tcPr>
          <w:p w:rsidR="00576064" w:rsidRPr="006455CA" w:rsidRDefault="00576064" w:rsidP="00CD62E6">
            <w:pPr>
              <w:pStyle w:val="Footer"/>
              <w:tabs>
                <w:tab w:val="clear" w:pos="4153"/>
                <w:tab w:val="clear" w:pos="8306"/>
              </w:tabs>
              <w:ind w:left="34"/>
              <w:rPr>
                <w:sz w:val="22"/>
              </w:rPr>
            </w:pPr>
            <w:r w:rsidRPr="006455CA">
              <w:rPr>
                <w:sz w:val="22"/>
              </w:rPr>
              <w:t>Employers’ contributions payable to the scheme</w:t>
            </w:r>
          </w:p>
        </w:tc>
        <w:tc>
          <w:tcPr>
            <w:tcW w:w="1134" w:type="dxa"/>
            <w:tcBorders>
              <w:bottom w:val="nil"/>
            </w:tcBorders>
          </w:tcPr>
          <w:p w:rsidR="00576064" w:rsidRPr="00870777" w:rsidRDefault="001542E8" w:rsidP="00537A1F">
            <w:pPr>
              <w:tabs>
                <w:tab w:val="decimal" w:pos="717"/>
              </w:tabs>
              <w:ind w:left="34"/>
              <w:rPr>
                <w:sz w:val="22"/>
              </w:rPr>
            </w:pPr>
            <w:r>
              <w:rPr>
                <w:sz w:val="22"/>
              </w:rPr>
              <w:t>(</w:t>
            </w:r>
            <w:r w:rsidR="00537A1F">
              <w:rPr>
                <w:sz w:val="22"/>
              </w:rPr>
              <w:t>772</w:t>
            </w:r>
            <w:r>
              <w:rPr>
                <w:sz w:val="22"/>
              </w:rPr>
              <w:t>)</w:t>
            </w:r>
          </w:p>
        </w:tc>
        <w:tc>
          <w:tcPr>
            <w:tcW w:w="1276" w:type="dxa"/>
            <w:tcBorders>
              <w:bottom w:val="nil"/>
            </w:tcBorders>
          </w:tcPr>
          <w:p w:rsidR="00576064" w:rsidRPr="00870777" w:rsidRDefault="00576064" w:rsidP="00BA5902">
            <w:pPr>
              <w:tabs>
                <w:tab w:val="decimal" w:pos="717"/>
              </w:tabs>
              <w:ind w:left="34"/>
              <w:rPr>
                <w:sz w:val="22"/>
              </w:rPr>
            </w:pPr>
            <w:r>
              <w:rPr>
                <w:sz w:val="22"/>
              </w:rPr>
              <w:t>(</w:t>
            </w:r>
            <w:r w:rsidR="00537A1F">
              <w:rPr>
                <w:sz w:val="22"/>
              </w:rPr>
              <w:t>894</w:t>
            </w:r>
            <w:r>
              <w:rPr>
                <w:sz w:val="22"/>
              </w:rPr>
              <w:t>)</w:t>
            </w:r>
          </w:p>
        </w:tc>
        <w:tc>
          <w:tcPr>
            <w:tcW w:w="1276" w:type="dxa"/>
            <w:tcBorders>
              <w:bottom w:val="nil"/>
            </w:tcBorders>
          </w:tcPr>
          <w:p w:rsidR="00576064" w:rsidRPr="00327953" w:rsidRDefault="00CE604F" w:rsidP="00CD62E6">
            <w:pPr>
              <w:tabs>
                <w:tab w:val="decimal" w:pos="717"/>
              </w:tabs>
              <w:ind w:left="34"/>
              <w:rPr>
                <w:sz w:val="22"/>
              </w:rPr>
            </w:pPr>
            <w:r>
              <w:rPr>
                <w:sz w:val="22"/>
              </w:rPr>
              <w:t>-</w:t>
            </w:r>
          </w:p>
        </w:tc>
        <w:tc>
          <w:tcPr>
            <w:tcW w:w="1276" w:type="dxa"/>
            <w:tcBorders>
              <w:bottom w:val="nil"/>
            </w:tcBorders>
          </w:tcPr>
          <w:p w:rsidR="00576064" w:rsidRPr="00327953" w:rsidRDefault="00CE604F" w:rsidP="005274B5">
            <w:pPr>
              <w:tabs>
                <w:tab w:val="decimal" w:pos="717"/>
              </w:tabs>
              <w:ind w:left="34"/>
              <w:rPr>
                <w:sz w:val="22"/>
              </w:rPr>
            </w:pPr>
            <w:r>
              <w:rPr>
                <w:sz w:val="22"/>
              </w:rPr>
              <w:t>-</w:t>
            </w:r>
          </w:p>
        </w:tc>
      </w:tr>
      <w:tr w:rsidR="00576064" w:rsidRPr="00A60775" w:rsidTr="00EF4270">
        <w:trPr>
          <w:trHeight w:val="300"/>
        </w:trPr>
        <w:tc>
          <w:tcPr>
            <w:tcW w:w="4536" w:type="dxa"/>
            <w:tcBorders>
              <w:bottom w:val="nil"/>
              <w:right w:val="nil"/>
            </w:tcBorders>
          </w:tcPr>
          <w:p w:rsidR="00576064" w:rsidRPr="006455CA" w:rsidRDefault="00576064" w:rsidP="00CD62E6">
            <w:pPr>
              <w:pStyle w:val="Footer"/>
              <w:tabs>
                <w:tab w:val="clear" w:pos="4153"/>
                <w:tab w:val="clear" w:pos="8306"/>
              </w:tabs>
              <w:ind w:left="34"/>
              <w:rPr>
                <w:sz w:val="22"/>
              </w:rPr>
            </w:pPr>
            <w:r w:rsidRPr="006455CA">
              <w:rPr>
                <w:sz w:val="22"/>
              </w:rPr>
              <w:t>Retirement benefits payable to pensioners</w:t>
            </w:r>
          </w:p>
        </w:tc>
        <w:tc>
          <w:tcPr>
            <w:tcW w:w="1134" w:type="dxa"/>
            <w:tcBorders>
              <w:top w:val="nil"/>
              <w:left w:val="nil"/>
              <w:bottom w:val="nil"/>
              <w:right w:val="nil"/>
            </w:tcBorders>
          </w:tcPr>
          <w:p w:rsidR="00576064" w:rsidRPr="00870777" w:rsidRDefault="00576064" w:rsidP="00CD62E6">
            <w:pPr>
              <w:tabs>
                <w:tab w:val="decimal" w:pos="717"/>
              </w:tabs>
              <w:ind w:left="34"/>
              <w:rPr>
                <w:sz w:val="22"/>
              </w:rPr>
            </w:pPr>
            <w:r w:rsidRPr="00870777">
              <w:rPr>
                <w:sz w:val="22"/>
              </w:rPr>
              <w:t>-</w:t>
            </w:r>
          </w:p>
        </w:tc>
        <w:tc>
          <w:tcPr>
            <w:tcW w:w="1276" w:type="dxa"/>
            <w:tcBorders>
              <w:top w:val="nil"/>
              <w:left w:val="nil"/>
              <w:bottom w:val="nil"/>
              <w:right w:val="nil"/>
            </w:tcBorders>
          </w:tcPr>
          <w:p w:rsidR="00576064" w:rsidRPr="00CB5F77" w:rsidRDefault="00576064" w:rsidP="00433ABB">
            <w:pPr>
              <w:tabs>
                <w:tab w:val="decimal" w:pos="717"/>
              </w:tabs>
              <w:ind w:left="34"/>
              <w:rPr>
                <w:sz w:val="22"/>
              </w:rPr>
            </w:pPr>
            <w:r w:rsidRPr="00CB5F77">
              <w:rPr>
                <w:sz w:val="22"/>
              </w:rPr>
              <w:t>-</w:t>
            </w:r>
          </w:p>
        </w:tc>
        <w:tc>
          <w:tcPr>
            <w:tcW w:w="1276" w:type="dxa"/>
            <w:tcBorders>
              <w:top w:val="nil"/>
              <w:left w:val="nil"/>
              <w:bottom w:val="nil"/>
              <w:right w:val="nil"/>
            </w:tcBorders>
          </w:tcPr>
          <w:p w:rsidR="00576064" w:rsidRPr="00327953" w:rsidRDefault="00CE604F" w:rsidP="00327953">
            <w:pPr>
              <w:tabs>
                <w:tab w:val="decimal" w:pos="884"/>
              </w:tabs>
              <w:ind w:left="34"/>
              <w:rPr>
                <w:sz w:val="22"/>
              </w:rPr>
            </w:pPr>
            <w:r>
              <w:rPr>
                <w:sz w:val="22"/>
              </w:rPr>
              <w:t>(19,980)</w:t>
            </w:r>
          </w:p>
        </w:tc>
        <w:tc>
          <w:tcPr>
            <w:tcW w:w="1276" w:type="dxa"/>
            <w:tcBorders>
              <w:top w:val="nil"/>
              <w:left w:val="nil"/>
              <w:bottom w:val="nil"/>
              <w:right w:val="nil"/>
            </w:tcBorders>
          </w:tcPr>
          <w:p w:rsidR="00576064" w:rsidRPr="00327953" w:rsidRDefault="00576064" w:rsidP="005274B5">
            <w:pPr>
              <w:tabs>
                <w:tab w:val="decimal" w:pos="884"/>
              </w:tabs>
              <w:ind w:left="34"/>
              <w:rPr>
                <w:sz w:val="22"/>
              </w:rPr>
            </w:pPr>
            <w:r>
              <w:rPr>
                <w:sz w:val="22"/>
              </w:rPr>
              <w:t>(21,430)</w:t>
            </w:r>
          </w:p>
        </w:tc>
      </w:tr>
      <w:tr w:rsidR="000669A4" w:rsidRPr="00A60775" w:rsidTr="00EF4270">
        <w:trPr>
          <w:trHeight w:val="300"/>
        </w:trPr>
        <w:tc>
          <w:tcPr>
            <w:tcW w:w="4536" w:type="dxa"/>
            <w:tcBorders>
              <w:top w:val="nil"/>
              <w:left w:val="nil"/>
              <w:bottom w:val="nil"/>
              <w:right w:val="nil"/>
            </w:tcBorders>
          </w:tcPr>
          <w:p w:rsidR="000669A4" w:rsidRPr="00A60775" w:rsidRDefault="000669A4" w:rsidP="00CD62E6">
            <w:pPr>
              <w:pStyle w:val="Footer"/>
              <w:tabs>
                <w:tab w:val="clear" w:pos="4153"/>
                <w:tab w:val="clear" w:pos="8306"/>
              </w:tabs>
              <w:ind w:left="34"/>
              <w:rPr>
                <w:sz w:val="22"/>
                <w:highlight w:val="cyan"/>
              </w:rPr>
            </w:pPr>
          </w:p>
        </w:tc>
        <w:tc>
          <w:tcPr>
            <w:tcW w:w="1134" w:type="dxa"/>
            <w:tcBorders>
              <w:top w:val="single" w:sz="4" w:space="0" w:color="auto"/>
              <w:left w:val="nil"/>
              <w:bottom w:val="double" w:sz="4" w:space="0" w:color="auto"/>
              <w:right w:val="nil"/>
            </w:tcBorders>
          </w:tcPr>
          <w:p w:rsidR="000669A4" w:rsidRPr="00D745C6" w:rsidRDefault="000669A4" w:rsidP="00CD62E6">
            <w:pPr>
              <w:tabs>
                <w:tab w:val="decimal" w:pos="717"/>
              </w:tabs>
              <w:ind w:left="34"/>
              <w:rPr>
                <w:sz w:val="22"/>
              </w:rPr>
            </w:pPr>
            <w:r w:rsidRPr="00D745C6">
              <w:rPr>
                <w:sz w:val="22"/>
              </w:rPr>
              <w:t>-</w:t>
            </w:r>
          </w:p>
        </w:tc>
        <w:tc>
          <w:tcPr>
            <w:tcW w:w="1276" w:type="dxa"/>
            <w:tcBorders>
              <w:top w:val="single" w:sz="4" w:space="0" w:color="auto"/>
              <w:left w:val="nil"/>
              <w:bottom w:val="double" w:sz="4" w:space="0" w:color="auto"/>
              <w:right w:val="nil"/>
            </w:tcBorders>
          </w:tcPr>
          <w:p w:rsidR="000669A4" w:rsidRPr="00CB5F77" w:rsidRDefault="000669A4" w:rsidP="00433ABB">
            <w:pPr>
              <w:tabs>
                <w:tab w:val="decimal" w:pos="717"/>
              </w:tabs>
              <w:ind w:left="34"/>
              <w:rPr>
                <w:sz w:val="22"/>
              </w:rPr>
            </w:pPr>
            <w:r w:rsidRPr="00CB5F77">
              <w:rPr>
                <w:sz w:val="22"/>
              </w:rPr>
              <w:t>-</w:t>
            </w:r>
          </w:p>
        </w:tc>
        <w:tc>
          <w:tcPr>
            <w:tcW w:w="1276" w:type="dxa"/>
            <w:tcBorders>
              <w:top w:val="single" w:sz="4" w:space="0" w:color="auto"/>
              <w:left w:val="nil"/>
              <w:bottom w:val="double" w:sz="4" w:space="0" w:color="auto"/>
              <w:right w:val="nil"/>
            </w:tcBorders>
          </w:tcPr>
          <w:p w:rsidR="000669A4" w:rsidRPr="00327953" w:rsidRDefault="000669A4" w:rsidP="00CD62E6">
            <w:pPr>
              <w:tabs>
                <w:tab w:val="decimal" w:pos="717"/>
              </w:tabs>
              <w:ind w:left="34"/>
              <w:rPr>
                <w:sz w:val="22"/>
              </w:rPr>
            </w:pPr>
            <w:r w:rsidRPr="00327953">
              <w:rPr>
                <w:sz w:val="22"/>
              </w:rPr>
              <w:t>-</w:t>
            </w:r>
          </w:p>
        </w:tc>
        <w:tc>
          <w:tcPr>
            <w:tcW w:w="1276" w:type="dxa"/>
            <w:tcBorders>
              <w:top w:val="single" w:sz="4" w:space="0" w:color="auto"/>
              <w:left w:val="nil"/>
              <w:bottom w:val="double" w:sz="4" w:space="0" w:color="auto"/>
              <w:right w:val="nil"/>
            </w:tcBorders>
          </w:tcPr>
          <w:p w:rsidR="000669A4" w:rsidRPr="003861D4" w:rsidRDefault="000669A4" w:rsidP="00433ABB">
            <w:pPr>
              <w:tabs>
                <w:tab w:val="decimal" w:pos="717"/>
              </w:tabs>
              <w:ind w:left="34"/>
              <w:rPr>
                <w:sz w:val="22"/>
              </w:rPr>
            </w:pPr>
            <w:r w:rsidRPr="003861D4">
              <w:rPr>
                <w:sz w:val="22"/>
              </w:rPr>
              <w:t>-</w:t>
            </w:r>
          </w:p>
        </w:tc>
      </w:tr>
    </w:tbl>
    <w:p w:rsidR="003A508E" w:rsidRDefault="003A508E" w:rsidP="00D90216">
      <w:pPr>
        <w:jc w:val="both"/>
        <w:rPr>
          <w:sz w:val="22"/>
          <w:highlight w:val="cyan"/>
        </w:rPr>
      </w:pPr>
    </w:p>
    <w:p w:rsidR="000B3F95" w:rsidRPr="00EF4270" w:rsidRDefault="000B3F95" w:rsidP="00EF4270">
      <w:pPr>
        <w:pStyle w:val="ListParagraph"/>
        <w:numPr>
          <w:ilvl w:val="0"/>
          <w:numId w:val="46"/>
        </w:numPr>
        <w:jc w:val="both"/>
        <w:rPr>
          <w:sz w:val="22"/>
        </w:rPr>
      </w:pPr>
      <w:r>
        <w:rPr>
          <w:sz w:val="22"/>
        </w:rPr>
        <w:t xml:space="preserve">The LGPS scheme includes the </w:t>
      </w:r>
      <w:r w:rsidR="0091265A">
        <w:rPr>
          <w:sz w:val="22"/>
        </w:rPr>
        <w:t>Authority’s</w:t>
      </w:r>
      <w:r>
        <w:rPr>
          <w:sz w:val="22"/>
        </w:rPr>
        <w:t xml:space="preserve"> 25% share in North West </w:t>
      </w:r>
      <w:proofErr w:type="spellStart"/>
      <w:r>
        <w:rPr>
          <w:sz w:val="22"/>
        </w:rPr>
        <w:t>FireControl</w:t>
      </w:r>
      <w:proofErr w:type="spellEnd"/>
      <w:r>
        <w:rPr>
          <w:sz w:val="22"/>
        </w:rPr>
        <w:t xml:space="preserve"> Limited </w:t>
      </w:r>
    </w:p>
    <w:p w:rsidR="000B3F95" w:rsidRDefault="000B3F95" w:rsidP="00D90216">
      <w:pPr>
        <w:ind w:left="706"/>
        <w:jc w:val="both"/>
        <w:rPr>
          <w:sz w:val="22"/>
        </w:rPr>
      </w:pPr>
    </w:p>
    <w:p w:rsidR="00D90216" w:rsidRPr="00A84A8E" w:rsidRDefault="00D90216" w:rsidP="00D90216">
      <w:pPr>
        <w:ind w:left="706"/>
        <w:jc w:val="both"/>
        <w:rPr>
          <w:sz w:val="22"/>
        </w:rPr>
      </w:pPr>
      <w:r w:rsidRPr="00A84A8E">
        <w:rPr>
          <w:sz w:val="22"/>
        </w:rPr>
        <w:t xml:space="preserve">The change in the net </w:t>
      </w:r>
      <w:proofErr w:type="gramStart"/>
      <w:r w:rsidRPr="00A84A8E">
        <w:rPr>
          <w:sz w:val="22"/>
        </w:rPr>
        <w:t>pensions</w:t>
      </w:r>
      <w:proofErr w:type="gramEnd"/>
      <w:r w:rsidRPr="00A84A8E">
        <w:rPr>
          <w:sz w:val="22"/>
        </w:rPr>
        <w:t xml:space="preserve"> liability is analysed into </w:t>
      </w:r>
      <w:r>
        <w:rPr>
          <w:sz w:val="22"/>
        </w:rPr>
        <w:t xml:space="preserve">seven </w:t>
      </w:r>
      <w:r w:rsidRPr="00A84A8E">
        <w:rPr>
          <w:sz w:val="22"/>
        </w:rPr>
        <w:t>components:</w:t>
      </w:r>
    </w:p>
    <w:p w:rsidR="00D90216" w:rsidRPr="00A84A8E" w:rsidRDefault="00D90216" w:rsidP="00D90216">
      <w:pPr>
        <w:ind w:left="706"/>
        <w:jc w:val="both"/>
        <w:rPr>
          <w:b/>
          <w:sz w:val="22"/>
        </w:rPr>
      </w:pPr>
    </w:p>
    <w:p w:rsidR="00D90216" w:rsidRPr="00A60775" w:rsidRDefault="00D90216" w:rsidP="00D90216">
      <w:pPr>
        <w:ind w:left="706"/>
        <w:jc w:val="both"/>
        <w:rPr>
          <w:sz w:val="22"/>
          <w:highlight w:val="cyan"/>
        </w:rPr>
      </w:pPr>
      <w:r w:rsidRPr="00A84A8E">
        <w:rPr>
          <w:b/>
          <w:sz w:val="22"/>
        </w:rPr>
        <w:t>Current service cost</w:t>
      </w:r>
      <w:r w:rsidRPr="00A84A8E">
        <w:rPr>
          <w:sz w:val="22"/>
        </w:rPr>
        <w:t xml:space="preserve"> – the increase in liabilities as a result of years of service earned this year – allocated in the Comprehensive Income and Expenditure Statement to the services for which the employees worked. </w:t>
      </w:r>
    </w:p>
    <w:p w:rsidR="00D90216" w:rsidRPr="00A84A8E" w:rsidRDefault="00D90216" w:rsidP="00D90216">
      <w:pPr>
        <w:ind w:left="706"/>
        <w:jc w:val="both"/>
        <w:rPr>
          <w:b/>
          <w:sz w:val="22"/>
        </w:rPr>
      </w:pPr>
    </w:p>
    <w:p w:rsidR="00D90216" w:rsidRPr="00A84A8E" w:rsidRDefault="00D90216" w:rsidP="00D90216">
      <w:pPr>
        <w:ind w:left="706"/>
        <w:jc w:val="both"/>
        <w:rPr>
          <w:sz w:val="22"/>
        </w:rPr>
      </w:pPr>
      <w:r w:rsidRPr="00A84A8E">
        <w:rPr>
          <w:b/>
          <w:sz w:val="22"/>
        </w:rPr>
        <w:t>Past service cost</w:t>
      </w:r>
      <w:r w:rsidR="00075D09">
        <w:rPr>
          <w:b/>
          <w:sz w:val="22"/>
        </w:rPr>
        <w:t>/(gain)</w:t>
      </w:r>
      <w:r w:rsidRPr="00A84A8E">
        <w:rPr>
          <w:sz w:val="22"/>
        </w:rPr>
        <w:t xml:space="preserve"> – the increase</w:t>
      </w:r>
      <w:r w:rsidR="00075D09">
        <w:rPr>
          <w:sz w:val="22"/>
        </w:rPr>
        <w:t>/(decrease)</w:t>
      </w:r>
      <w:r w:rsidRPr="00A84A8E">
        <w:rPr>
          <w:sz w:val="22"/>
        </w:rPr>
        <w:t xml:space="preserve"> in liabilities arising from current year decisions whose effect relates to years of service earned in earlier years – debited</w:t>
      </w:r>
      <w:r w:rsidR="00075D09">
        <w:rPr>
          <w:sz w:val="22"/>
        </w:rPr>
        <w:t>/(credited)</w:t>
      </w:r>
      <w:r w:rsidRPr="00A84A8E">
        <w:rPr>
          <w:sz w:val="22"/>
        </w:rPr>
        <w:t xml:space="preserve"> to the deficit on the provision of services in the Comprehensive Income and Expenditure Statement</w:t>
      </w:r>
      <w:r w:rsidR="006454EE">
        <w:rPr>
          <w:sz w:val="22"/>
        </w:rPr>
        <w:t xml:space="preserve">.  </w:t>
      </w:r>
    </w:p>
    <w:p w:rsidR="00D90216" w:rsidRPr="00A84A8E" w:rsidRDefault="00D90216" w:rsidP="00D90216">
      <w:pPr>
        <w:ind w:left="706"/>
        <w:jc w:val="both"/>
        <w:rPr>
          <w:sz w:val="22"/>
        </w:rPr>
      </w:pPr>
    </w:p>
    <w:p w:rsidR="00D90216" w:rsidRPr="00A84A8E" w:rsidRDefault="00D90216" w:rsidP="00D90216">
      <w:pPr>
        <w:ind w:left="706"/>
        <w:jc w:val="both"/>
        <w:rPr>
          <w:sz w:val="22"/>
        </w:rPr>
      </w:pPr>
      <w:proofErr w:type="gramStart"/>
      <w:r w:rsidRPr="00A84A8E">
        <w:rPr>
          <w:b/>
          <w:sz w:val="22"/>
        </w:rPr>
        <w:lastRenderedPageBreak/>
        <w:t xml:space="preserve">Interest </w:t>
      </w:r>
      <w:r w:rsidR="0078056C">
        <w:rPr>
          <w:b/>
          <w:sz w:val="22"/>
        </w:rPr>
        <w:t>on liabilities</w:t>
      </w:r>
      <w:r w:rsidRPr="00A84A8E">
        <w:rPr>
          <w:sz w:val="22"/>
        </w:rPr>
        <w:t xml:space="preserve"> – the expected increase in the present value of liabilities during the year as they move one year closer to being paid.</w:t>
      </w:r>
      <w:proofErr w:type="gramEnd"/>
    </w:p>
    <w:p w:rsidR="00D90216" w:rsidRPr="00A84A8E" w:rsidRDefault="00D90216" w:rsidP="00D90216">
      <w:pPr>
        <w:ind w:left="706"/>
        <w:jc w:val="both"/>
        <w:rPr>
          <w:sz w:val="22"/>
        </w:rPr>
      </w:pPr>
    </w:p>
    <w:p w:rsidR="00D90216" w:rsidRPr="00A84A8E" w:rsidRDefault="0078056C" w:rsidP="00D90216">
      <w:pPr>
        <w:ind w:left="706"/>
        <w:jc w:val="both"/>
        <w:rPr>
          <w:sz w:val="22"/>
        </w:rPr>
      </w:pPr>
      <w:proofErr w:type="gramStart"/>
      <w:r>
        <w:rPr>
          <w:b/>
          <w:sz w:val="22"/>
        </w:rPr>
        <w:t>Interest</w:t>
      </w:r>
      <w:r w:rsidR="00D90216" w:rsidRPr="00A84A8E">
        <w:rPr>
          <w:b/>
          <w:sz w:val="22"/>
        </w:rPr>
        <w:t xml:space="preserve"> on </w:t>
      </w:r>
      <w:r>
        <w:rPr>
          <w:b/>
          <w:sz w:val="22"/>
        </w:rPr>
        <w:t>a</w:t>
      </w:r>
      <w:r w:rsidR="00D90216" w:rsidRPr="00A84A8E">
        <w:rPr>
          <w:b/>
          <w:sz w:val="22"/>
        </w:rPr>
        <w:t>ssets</w:t>
      </w:r>
      <w:r w:rsidR="00D90216" w:rsidRPr="00A84A8E">
        <w:rPr>
          <w:sz w:val="22"/>
        </w:rPr>
        <w:t xml:space="preserve"> – the average rate of return expected on the investment assets held by the pension scheme.</w:t>
      </w:r>
      <w:proofErr w:type="gramEnd"/>
    </w:p>
    <w:p w:rsidR="00D90216" w:rsidRPr="00A84A8E" w:rsidRDefault="00D90216" w:rsidP="00D90216">
      <w:pPr>
        <w:ind w:left="706"/>
        <w:jc w:val="both"/>
        <w:rPr>
          <w:sz w:val="22"/>
        </w:rPr>
      </w:pPr>
    </w:p>
    <w:p w:rsidR="00D90216" w:rsidRPr="00A84A8E" w:rsidRDefault="00D90216" w:rsidP="00D90216">
      <w:pPr>
        <w:ind w:left="706"/>
        <w:jc w:val="both"/>
        <w:rPr>
          <w:sz w:val="22"/>
        </w:rPr>
      </w:pPr>
      <w:r w:rsidRPr="00A84A8E">
        <w:rPr>
          <w:b/>
          <w:sz w:val="22"/>
        </w:rPr>
        <w:t xml:space="preserve">Actuarial (gains) and losses </w:t>
      </w:r>
      <w:r w:rsidRPr="00A84A8E">
        <w:rPr>
          <w:sz w:val="22"/>
        </w:rPr>
        <w:t xml:space="preserve">– changes in the net pension liability that arise because events have not coincided with assumptions made at the last actuarial valuation or because the actuaries have updated their assumptions – </w:t>
      </w:r>
      <w:r w:rsidR="00DF3E5F">
        <w:rPr>
          <w:sz w:val="22"/>
        </w:rPr>
        <w:t>(credited)/</w:t>
      </w:r>
      <w:r w:rsidRPr="00A84A8E">
        <w:rPr>
          <w:sz w:val="22"/>
        </w:rPr>
        <w:t>debited to the pensions reserve.</w:t>
      </w:r>
    </w:p>
    <w:p w:rsidR="00D90216" w:rsidRPr="00A84A8E" w:rsidRDefault="00D90216" w:rsidP="00D90216">
      <w:pPr>
        <w:ind w:left="706"/>
        <w:jc w:val="both"/>
        <w:rPr>
          <w:sz w:val="22"/>
          <w:highlight w:val="cyan"/>
        </w:rPr>
      </w:pPr>
    </w:p>
    <w:p w:rsidR="00D90216" w:rsidRPr="00B81E8B" w:rsidRDefault="00D90216" w:rsidP="00D90216">
      <w:pPr>
        <w:ind w:left="706"/>
        <w:jc w:val="both"/>
        <w:rPr>
          <w:sz w:val="22"/>
        </w:rPr>
      </w:pPr>
      <w:r w:rsidRPr="00B81E8B">
        <w:rPr>
          <w:b/>
          <w:sz w:val="22"/>
        </w:rPr>
        <w:t>Employers’ contributions</w:t>
      </w:r>
      <w:r w:rsidRPr="00B81E8B">
        <w:rPr>
          <w:sz w:val="22"/>
        </w:rPr>
        <w:t xml:space="preserve"> – the payments made into the pension scheme by the Authority during the year in respect of current employees. </w:t>
      </w:r>
    </w:p>
    <w:p w:rsidR="00D90216" w:rsidRPr="00B81E8B" w:rsidRDefault="00D90216" w:rsidP="00D90216">
      <w:pPr>
        <w:ind w:left="706"/>
        <w:jc w:val="both"/>
        <w:rPr>
          <w:b/>
          <w:sz w:val="22"/>
        </w:rPr>
      </w:pPr>
    </w:p>
    <w:p w:rsidR="00D90216" w:rsidRPr="00B81E8B" w:rsidRDefault="00D90216" w:rsidP="00D90216">
      <w:pPr>
        <w:ind w:left="706"/>
        <w:jc w:val="both"/>
        <w:rPr>
          <w:sz w:val="22"/>
        </w:rPr>
      </w:pPr>
      <w:r w:rsidRPr="00B81E8B">
        <w:rPr>
          <w:b/>
          <w:sz w:val="22"/>
        </w:rPr>
        <w:t xml:space="preserve">Retirement benefits payable to pensioners – </w:t>
      </w:r>
      <w:r w:rsidRPr="00B81E8B">
        <w:rPr>
          <w:sz w:val="22"/>
        </w:rPr>
        <w:t>the net payments made in respect of the Firefighter pension scheme.  Note</w:t>
      </w:r>
      <w:proofErr w:type="gramStart"/>
      <w:r w:rsidRPr="00B81E8B">
        <w:rPr>
          <w:sz w:val="22"/>
        </w:rPr>
        <w:t>,</w:t>
      </w:r>
      <w:proofErr w:type="gramEnd"/>
      <w:r w:rsidRPr="00B81E8B">
        <w:rPr>
          <w:sz w:val="22"/>
        </w:rPr>
        <w:t xml:space="preserve"> the fund also received a top up grant </w:t>
      </w:r>
      <w:r w:rsidRPr="00891D8B">
        <w:rPr>
          <w:sz w:val="22"/>
        </w:rPr>
        <w:t xml:space="preserve">of </w:t>
      </w:r>
      <w:r w:rsidR="0004720E" w:rsidRPr="00E4334F">
        <w:rPr>
          <w:sz w:val="22"/>
        </w:rPr>
        <w:t>£</w:t>
      </w:r>
      <w:r w:rsidR="00E4334F">
        <w:rPr>
          <w:sz w:val="22"/>
        </w:rPr>
        <w:t>15.195m</w:t>
      </w:r>
      <w:r w:rsidRPr="00891D8B">
        <w:rPr>
          <w:sz w:val="22"/>
        </w:rPr>
        <w:t xml:space="preserve"> (201</w:t>
      </w:r>
      <w:r w:rsidR="00E4334F">
        <w:rPr>
          <w:sz w:val="22"/>
        </w:rPr>
        <w:t>6</w:t>
      </w:r>
      <w:r w:rsidR="005B2EBF">
        <w:rPr>
          <w:sz w:val="22"/>
        </w:rPr>
        <w:t>/1</w:t>
      </w:r>
      <w:r w:rsidR="00E4334F">
        <w:rPr>
          <w:sz w:val="22"/>
        </w:rPr>
        <w:t>7</w:t>
      </w:r>
      <w:r w:rsidRPr="00C0064A">
        <w:rPr>
          <w:sz w:val="22"/>
        </w:rPr>
        <w:t>: £</w:t>
      </w:r>
      <w:r w:rsidR="00190B25">
        <w:rPr>
          <w:sz w:val="22"/>
        </w:rPr>
        <w:t>1</w:t>
      </w:r>
      <w:r w:rsidR="0004720E">
        <w:rPr>
          <w:sz w:val="22"/>
        </w:rPr>
        <w:t>5</w:t>
      </w:r>
      <w:r w:rsidR="00894B07">
        <w:rPr>
          <w:sz w:val="22"/>
        </w:rPr>
        <w:t>.</w:t>
      </w:r>
      <w:r w:rsidR="0004720E">
        <w:rPr>
          <w:sz w:val="22"/>
        </w:rPr>
        <w:t>827</w:t>
      </w:r>
      <w:r w:rsidRPr="00C0064A">
        <w:rPr>
          <w:sz w:val="22"/>
        </w:rPr>
        <w:t>m) in addition to these, which can be seen in the Firefighters Pension Fund Account</w:t>
      </w:r>
      <w:r w:rsidRPr="00B81E8B">
        <w:rPr>
          <w:sz w:val="22"/>
        </w:rPr>
        <w:t xml:space="preserve"> </w:t>
      </w:r>
      <w:r w:rsidRPr="0078314D">
        <w:rPr>
          <w:sz w:val="22"/>
        </w:rPr>
        <w:t xml:space="preserve">on </w:t>
      </w:r>
      <w:r w:rsidR="003D483B" w:rsidRPr="00E24DB1">
        <w:rPr>
          <w:sz w:val="22"/>
        </w:rPr>
        <w:t xml:space="preserve">page </w:t>
      </w:r>
      <w:r w:rsidR="00853343" w:rsidRPr="00E24DB1">
        <w:rPr>
          <w:sz w:val="22"/>
        </w:rPr>
        <w:t>6</w:t>
      </w:r>
      <w:r w:rsidR="00853343">
        <w:rPr>
          <w:sz w:val="22"/>
        </w:rPr>
        <w:t>2</w:t>
      </w:r>
      <w:r w:rsidRPr="00E24DB1">
        <w:rPr>
          <w:sz w:val="22"/>
        </w:rPr>
        <w:t>.</w:t>
      </w:r>
    </w:p>
    <w:p w:rsidR="00D90216" w:rsidRPr="00A60775" w:rsidRDefault="00D90216" w:rsidP="00D90216">
      <w:pPr>
        <w:ind w:left="706"/>
        <w:jc w:val="both"/>
        <w:rPr>
          <w:sz w:val="22"/>
          <w:highlight w:val="cyan"/>
        </w:rPr>
      </w:pPr>
    </w:p>
    <w:p w:rsidR="00D90216" w:rsidRPr="00B81E8B" w:rsidRDefault="00D90216" w:rsidP="00D90216">
      <w:pPr>
        <w:ind w:left="709"/>
        <w:jc w:val="both"/>
        <w:rPr>
          <w:sz w:val="22"/>
        </w:rPr>
      </w:pPr>
      <w:r w:rsidRPr="00B81E8B">
        <w:rPr>
          <w:sz w:val="22"/>
        </w:rPr>
        <w:t>A full set of audited accounts for the Lancashire County Pension Fund, together with information relating to membership, actuarial and investment policy and investment performance, are published in the ‘Lancashire County Pension Fund Annual Report’, available from the administering authority, Lancashire County Council, on request.</w:t>
      </w:r>
    </w:p>
    <w:p w:rsidR="00D90216" w:rsidRPr="00A60775" w:rsidRDefault="00D90216" w:rsidP="00D90216">
      <w:pPr>
        <w:jc w:val="both"/>
        <w:rPr>
          <w:sz w:val="22"/>
          <w:highlight w:val="cyan"/>
        </w:rPr>
      </w:pPr>
    </w:p>
    <w:p w:rsidR="00D90216" w:rsidRPr="00B81E8B" w:rsidRDefault="00D90216" w:rsidP="00D90216">
      <w:pPr>
        <w:ind w:left="709"/>
        <w:jc w:val="both"/>
        <w:rPr>
          <w:b/>
          <w:sz w:val="22"/>
        </w:rPr>
      </w:pPr>
      <w:r w:rsidRPr="00B81E8B">
        <w:rPr>
          <w:b/>
          <w:sz w:val="22"/>
        </w:rPr>
        <w:t>Assets and Liabilities in Relation to Post-employment Benefits</w:t>
      </w:r>
    </w:p>
    <w:p w:rsidR="00D90216" w:rsidRPr="00B81E8B" w:rsidRDefault="00D90216" w:rsidP="00D90216">
      <w:pPr>
        <w:ind w:left="709"/>
        <w:jc w:val="both"/>
        <w:rPr>
          <w:sz w:val="22"/>
        </w:rPr>
      </w:pPr>
    </w:p>
    <w:p w:rsidR="00D90216" w:rsidRPr="00B81E8B" w:rsidRDefault="00D90216" w:rsidP="00D90216">
      <w:pPr>
        <w:ind w:left="709"/>
        <w:jc w:val="both"/>
        <w:rPr>
          <w:sz w:val="22"/>
        </w:rPr>
      </w:pPr>
      <w:r w:rsidRPr="00B81E8B">
        <w:rPr>
          <w:sz w:val="22"/>
        </w:rPr>
        <w:t>Reconciliation of present value of the scheme liabilities (defined benefit obligation):</w:t>
      </w:r>
    </w:p>
    <w:p w:rsidR="00D90216" w:rsidRPr="00A60775" w:rsidRDefault="00D90216" w:rsidP="00D90216">
      <w:pPr>
        <w:ind w:left="709"/>
        <w:jc w:val="both"/>
        <w:rPr>
          <w:sz w:val="22"/>
          <w:highlight w:val="cyan"/>
        </w:rPr>
      </w:pPr>
    </w:p>
    <w:tbl>
      <w:tblPr>
        <w:tblW w:w="9355" w:type="dxa"/>
        <w:tblInd w:w="817" w:type="dxa"/>
        <w:tblLayout w:type="fixed"/>
        <w:tblLook w:val="0000" w:firstRow="0" w:lastRow="0" w:firstColumn="0" w:lastColumn="0" w:noHBand="0" w:noVBand="0"/>
      </w:tblPr>
      <w:tblGrid>
        <w:gridCol w:w="3969"/>
        <w:gridCol w:w="1417"/>
        <w:gridCol w:w="1276"/>
        <w:gridCol w:w="1417"/>
        <w:gridCol w:w="1276"/>
      </w:tblGrid>
      <w:tr w:rsidR="00B805A9" w:rsidRPr="00A60775" w:rsidTr="008632F4">
        <w:trPr>
          <w:cantSplit/>
          <w:trHeight w:hRule="exact" w:val="792"/>
        </w:trPr>
        <w:tc>
          <w:tcPr>
            <w:tcW w:w="3969" w:type="dxa"/>
          </w:tcPr>
          <w:p w:rsidR="00B805A9" w:rsidRPr="00A86489" w:rsidRDefault="00B805A9" w:rsidP="00CD62E6">
            <w:pPr>
              <w:jc w:val="both"/>
              <w:rPr>
                <w:sz w:val="22"/>
              </w:rPr>
            </w:pPr>
          </w:p>
        </w:tc>
        <w:tc>
          <w:tcPr>
            <w:tcW w:w="2693" w:type="dxa"/>
            <w:gridSpan w:val="2"/>
          </w:tcPr>
          <w:p w:rsidR="00B805A9" w:rsidRPr="00A86489" w:rsidRDefault="00B805A9" w:rsidP="00CD62E6">
            <w:pPr>
              <w:jc w:val="center"/>
              <w:rPr>
                <w:sz w:val="22"/>
              </w:rPr>
            </w:pPr>
            <w:r w:rsidRPr="00A86489">
              <w:rPr>
                <w:sz w:val="22"/>
              </w:rPr>
              <w:t>Funded Liabilities: Local Government Pension Scheme</w:t>
            </w:r>
          </w:p>
        </w:tc>
        <w:tc>
          <w:tcPr>
            <w:tcW w:w="2693" w:type="dxa"/>
            <w:gridSpan w:val="2"/>
          </w:tcPr>
          <w:p w:rsidR="00B805A9" w:rsidRPr="00A86489" w:rsidRDefault="00B805A9" w:rsidP="00D804F4">
            <w:pPr>
              <w:jc w:val="center"/>
              <w:rPr>
                <w:sz w:val="22"/>
              </w:rPr>
            </w:pPr>
            <w:r w:rsidRPr="00A86489">
              <w:rPr>
                <w:sz w:val="22"/>
              </w:rPr>
              <w:t>Unfunded Liabilities: Uniformed Firefighters’ Pension Scheme</w:t>
            </w:r>
          </w:p>
        </w:tc>
      </w:tr>
      <w:tr w:rsidR="008E77CF" w:rsidRPr="00A60775" w:rsidTr="00EF4270">
        <w:trPr>
          <w:trHeight w:hRule="exact" w:val="907"/>
        </w:trPr>
        <w:tc>
          <w:tcPr>
            <w:tcW w:w="3969" w:type="dxa"/>
          </w:tcPr>
          <w:p w:rsidR="008E77CF" w:rsidRPr="00A86489" w:rsidRDefault="008E77CF" w:rsidP="00CD62E6">
            <w:pPr>
              <w:jc w:val="both"/>
              <w:rPr>
                <w:sz w:val="22"/>
              </w:rPr>
            </w:pPr>
          </w:p>
        </w:tc>
        <w:tc>
          <w:tcPr>
            <w:tcW w:w="1417" w:type="dxa"/>
          </w:tcPr>
          <w:p w:rsidR="008E77CF" w:rsidRPr="00A86489" w:rsidRDefault="008E77CF" w:rsidP="008E77CF">
            <w:pPr>
              <w:jc w:val="center"/>
              <w:rPr>
                <w:sz w:val="22"/>
              </w:rPr>
            </w:pPr>
            <w:r w:rsidRPr="00A86489">
              <w:rPr>
                <w:sz w:val="22"/>
              </w:rPr>
              <w:t>31 March 201</w:t>
            </w:r>
            <w:r>
              <w:rPr>
                <w:sz w:val="22"/>
              </w:rPr>
              <w:t>8</w:t>
            </w:r>
          </w:p>
        </w:tc>
        <w:tc>
          <w:tcPr>
            <w:tcW w:w="1276" w:type="dxa"/>
          </w:tcPr>
          <w:p w:rsidR="008E77CF" w:rsidRDefault="008E77CF" w:rsidP="005274B5">
            <w:pPr>
              <w:jc w:val="center"/>
              <w:rPr>
                <w:sz w:val="22"/>
              </w:rPr>
            </w:pPr>
            <w:r w:rsidRPr="00A86489">
              <w:rPr>
                <w:sz w:val="22"/>
              </w:rPr>
              <w:t>31 March 201</w:t>
            </w:r>
            <w:r>
              <w:rPr>
                <w:sz w:val="22"/>
              </w:rPr>
              <w:t>7</w:t>
            </w:r>
          </w:p>
          <w:p w:rsidR="00BA5902" w:rsidRPr="00A86489" w:rsidRDefault="00BA5902" w:rsidP="005274B5">
            <w:pPr>
              <w:jc w:val="center"/>
              <w:rPr>
                <w:sz w:val="22"/>
              </w:rPr>
            </w:pPr>
            <w:r>
              <w:rPr>
                <w:sz w:val="22"/>
              </w:rPr>
              <w:t>Restated</w:t>
            </w:r>
          </w:p>
        </w:tc>
        <w:tc>
          <w:tcPr>
            <w:tcW w:w="1417" w:type="dxa"/>
          </w:tcPr>
          <w:p w:rsidR="008E77CF" w:rsidRPr="00A86489" w:rsidRDefault="008E77CF" w:rsidP="008E77CF">
            <w:pPr>
              <w:jc w:val="center"/>
              <w:rPr>
                <w:sz w:val="22"/>
              </w:rPr>
            </w:pPr>
            <w:r w:rsidRPr="00A86489">
              <w:rPr>
                <w:sz w:val="22"/>
              </w:rPr>
              <w:t>31 March 201</w:t>
            </w:r>
            <w:r>
              <w:rPr>
                <w:sz w:val="22"/>
              </w:rPr>
              <w:t>8</w:t>
            </w:r>
          </w:p>
        </w:tc>
        <w:tc>
          <w:tcPr>
            <w:tcW w:w="1276" w:type="dxa"/>
          </w:tcPr>
          <w:p w:rsidR="008E77CF" w:rsidRPr="00A86489" w:rsidRDefault="008E77CF" w:rsidP="005274B5">
            <w:pPr>
              <w:jc w:val="center"/>
              <w:rPr>
                <w:sz w:val="22"/>
              </w:rPr>
            </w:pPr>
            <w:r w:rsidRPr="00A86489">
              <w:rPr>
                <w:sz w:val="22"/>
              </w:rPr>
              <w:t>31 March 201</w:t>
            </w:r>
            <w:r>
              <w:rPr>
                <w:sz w:val="22"/>
              </w:rPr>
              <w:t>7</w:t>
            </w:r>
          </w:p>
        </w:tc>
      </w:tr>
      <w:tr w:rsidR="005F1300" w:rsidRPr="00A60775" w:rsidTr="008632F4">
        <w:trPr>
          <w:trHeight w:hRule="exact" w:val="300"/>
        </w:trPr>
        <w:tc>
          <w:tcPr>
            <w:tcW w:w="3969" w:type="dxa"/>
          </w:tcPr>
          <w:p w:rsidR="005F1300" w:rsidRPr="00A86489" w:rsidRDefault="005F1300" w:rsidP="00CD62E6">
            <w:pPr>
              <w:jc w:val="both"/>
              <w:rPr>
                <w:sz w:val="22"/>
              </w:rPr>
            </w:pPr>
          </w:p>
        </w:tc>
        <w:tc>
          <w:tcPr>
            <w:tcW w:w="1417" w:type="dxa"/>
          </w:tcPr>
          <w:p w:rsidR="005F1300" w:rsidRPr="00A86489" w:rsidRDefault="005F1300" w:rsidP="00CD62E6">
            <w:pPr>
              <w:tabs>
                <w:tab w:val="decimal" w:pos="742"/>
              </w:tabs>
              <w:jc w:val="both"/>
              <w:rPr>
                <w:sz w:val="22"/>
              </w:rPr>
            </w:pPr>
            <w:r w:rsidRPr="00A86489">
              <w:rPr>
                <w:sz w:val="22"/>
              </w:rPr>
              <w:t>£000</w:t>
            </w:r>
          </w:p>
        </w:tc>
        <w:tc>
          <w:tcPr>
            <w:tcW w:w="1276" w:type="dxa"/>
          </w:tcPr>
          <w:p w:rsidR="005F1300" w:rsidRPr="00A86489" w:rsidRDefault="005F1300" w:rsidP="00D804F4">
            <w:pPr>
              <w:tabs>
                <w:tab w:val="decimal" w:pos="742"/>
              </w:tabs>
              <w:jc w:val="both"/>
              <w:rPr>
                <w:sz w:val="22"/>
              </w:rPr>
            </w:pPr>
            <w:r w:rsidRPr="00A86489">
              <w:rPr>
                <w:sz w:val="22"/>
              </w:rPr>
              <w:t>£000</w:t>
            </w:r>
          </w:p>
        </w:tc>
        <w:tc>
          <w:tcPr>
            <w:tcW w:w="1417" w:type="dxa"/>
          </w:tcPr>
          <w:p w:rsidR="005F1300" w:rsidRPr="00A86489" w:rsidRDefault="005F1300" w:rsidP="00D804F4">
            <w:pPr>
              <w:tabs>
                <w:tab w:val="decimal" w:pos="742"/>
              </w:tabs>
              <w:jc w:val="both"/>
              <w:rPr>
                <w:sz w:val="22"/>
              </w:rPr>
            </w:pPr>
            <w:r w:rsidRPr="00A86489">
              <w:rPr>
                <w:sz w:val="22"/>
              </w:rPr>
              <w:t>£000</w:t>
            </w:r>
          </w:p>
        </w:tc>
        <w:tc>
          <w:tcPr>
            <w:tcW w:w="1276" w:type="dxa"/>
          </w:tcPr>
          <w:p w:rsidR="005F1300" w:rsidRPr="00A86489" w:rsidRDefault="005F1300" w:rsidP="00CD62E6">
            <w:pPr>
              <w:tabs>
                <w:tab w:val="decimal" w:pos="742"/>
              </w:tabs>
              <w:jc w:val="both"/>
              <w:rPr>
                <w:sz w:val="22"/>
              </w:rPr>
            </w:pPr>
            <w:r w:rsidRPr="00A86489">
              <w:rPr>
                <w:sz w:val="22"/>
              </w:rPr>
              <w:t>£000</w:t>
            </w:r>
          </w:p>
        </w:tc>
      </w:tr>
      <w:tr w:rsidR="005F1300" w:rsidRPr="00A60775" w:rsidTr="008632F4">
        <w:tc>
          <w:tcPr>
            <w:tcW w:w="3969" w:type="dxa"/>
          </w:tcPr>
          <w:p w:rsidR="005F1300" w:rsidRPr="00A86489" w:rsidRDefault="005F1300" w:rsidP="00CD62E6">
            <w:pPr>
              <w:rPr>
                <w:sz w:val="22"/>
              </w:rPr>
            </w:pPr>
          </w:p>
        </w:tc>
        <w:tc>
          <w:tcPr>
            <w:tcW w:w="1417" w:type="dxa"/>
          </w:tcPr>
          <w:p w:rsidR="005F1300" w:rsidRPr="00A86489" w:rsidRDefault="005F1300" w:rsidP="00CD62E6">
            <w:pPr>
              <w:tabs>
                <w:tab w:val="decimal" w:pos="888"/>
              </w:tabs>
              <w:rPr>
                <w:sz w:val="22"/>
              </w:rPr>
            </w:pPr>
          </w:p>
        </w:tc>
        <w:tc>
          <w:tcPr>
            <w:tcW w:w="1276" w:type="dxa"/>
          </w:tcPr>
          <w:p w:rsidR="005F1300" w:rsidRPr="00A86489" w:rsidRDefault="005F1300" w:rsidP="00D804F4">
            <w:pPr>
              <w:tabs>
                <w:tab w:val="decimal" w:pos="888"/>
              </w:tabs>
              <w:rPr>
                <w:sz w:val="22"/>
              </w:rPr>
            </w:pPr>
          </w:p>
        </w:tc>
        <w:tc>
          <w:tcPr>
            <w:tcW w:w="1417" w:type="dxa"/>
          </w:tcPr>
          <w:p w:rsidR="005F1300" w:rsidRPr="00A86489" w:rsidRDefault="005F1300" w:rsidP="00D804F4">
            <w:pPr>
              <w:tabs>
                <w:tab w:val="decimal" w:pos="888"/>
              </w:tabs>
              <w:rPr>
                <w:sz w:val="22"/>
              </w:rPr>
            </w:pPr>
          </w:p>
        </w:tc>
        <w:tc>
          <w:tcPr>
            <w:tcW w:w="1276" w:type="dxa"/>
          </w:tcPr>
          <w:p w:rsidR="005F1300" w:rsidRPr="00A86489" w:rsidRDefault="005F1300" w:rsidP="00CD62E6">
            <w:pPr>
              <w:tabs>
                <w:tab w:val="decimal" w:pos="888"/>
              </w:tabs>
              <w:rPr>
                <w:sz w:val="22"/>
              </w:rPr>
            </w:pPr>
          </w:p>
        </w:tc>
      </w:tr>
      <w:tr w:rsidR="008E77CF" w:rsidRPr="00A60775" w:rsidTr="008632F4">
        <w:trPr>
          <w:trHeight w:val="289"/>
        </w:trPr>
        <w:tc>
          <w:tcPr>
            <w:tcW w:w="3969" w:type="dxa"/>
          </w:tcPr>
          <w:p w:rsidR="008E77CF" w:rsidRPr="00A86489" w:rsidRDefault="008E77CF" w:rsidP="00CD62E6">
            <w:pPr>
              <w:jc w:val="both"/>
              <w:rPr>
                <w:sz w:val="22"/>
              </w:rPr>
            </w:pPr>
            <w:r w:rsidRPr="00A86489">
              <w:rPr>
                <w:sz w:val="22"/>
              </w:rPr>
              <w:t>Opening balance at 1 April</w:t>
            </w:r>
          </w:p>
        </w:tc>
        <w:tc>
          <w:tcPr>
            <w:tcW w:w="1417" w:type="dxa"/>
          </w:tcPr>
          <w:p w:rsidR="008E77CF" w:rsidRPr="002C2F1F" w:rsidRDefault="008E77CF" w:rsidP="00B63CF1">
            <w:pPr>
              <w:tabs>
                <w:tab w:val="decimal" w:pos="888"/>
              </w:tabs>
              <w:rPr>
                <w:sz w:val="22"/>
              </w:rPr>
            </w:pPr>
            <w:r>
              <w:rPr>
                <w:sz w:val="22"/>
              </w:rPr>
              <w:t>(</w:t>
            </w:r>
            <w:r w:rsidR="00B63CF1">
              <w:rPr>
                <w:sz w:val="22"/>
              </w:rPr>
              <w:t>70</w:t>
            </w:r>
            <w:r>
              <w:rPr>
                <w:sz w:val="22"/>
              </w:rPr>
              <w:t>,</w:t>
            </w:r>
            <w:r w:rsidR="00B63CF1">
              <w:rPr>
                <w:sz w:val="22"/>
              </w:rPr>
              <w:t>99</w:t>
            </w:r>
            <w:r>
              <w:rPr>
                <w:sz w:val="22"/>
              </w:rPr>
              <w:t>)</w:t>
            </w:r>
          </w:p>
        </w:tc>
        <w:tc>
          <w:tcPr>
            <w:tcW w:w="1276" w:type="dxa"/>
          </w:tcPr>
          <w:p w:rsidR="008E77CF" w:rsidRPr="002C2F1F" w:rsidRDefault="008E77CF" w:rsidP="00BA5902">
            <w:pPr>
              <w:tabs>
                <w:tab w:val="decimal" w:pos="888"/>
              </w:tabs>
              <w:rPr>
                <w:sz w:val="22"/>
              </w:rPr>
            </w:pPr>
            <w:r>
              <w:rPr>
                <w:sz w:val="22"/>
              </w:rPr>
              <w:t>(</w:t>
            </w:r>
            <w:r w:rsidR="00BA5902">
              <w:rPr>
                <w:sz w:val="22"/>
              </w:rPr>
              <w:t>56</w:t>
            </w:r>
            <w:r>
              <w:rPr>
                <w:sz w:val="22"/>
              </w:rPr>
              <w:t>,</w:t>
            </w:r>
            <w:r w:rsidR="00BA5902">
              <w:rPr>
                <w:sz w:val="22"/>
              </w:rPr>
              <w:t>415</w:t>
            </w:r>
            <w:r>
              <w:rPr>
                <w:sz w:val="22"/>
              </w:rPr>
              <w:t>)</w:t>
            </w:r>
          </w:p>
        </w:tc>
        <w:tc>
          <w:tcPr>
            <w:tcW w:w="1417" w:type="dxa"/>
          </w:tcPr>
          <w:p w:rsidR="008E77CF" w:rsidRPr="002C2F1F" w:rsidRDefault="008E77CF" w:rsidP="008E77CF">
            <w:pPr>
              <w:tabs>
                <w:tab w:val="decimal" w:pos="1026"/>
              </w:tabs>
              <w:rPr>
                <w:sz w:val="22"/>
              </w:rPr>
            </w:pPr>
            <w:r>
              <w:rPr>
                <w:sz w:val="22"/>
              </w:rPr>
              <w:t>(788,856)</w:t>
            </w:r>
          </w:p>
        </w:tc>
        <w:tc>
          <w:tcPr>
            <w:tcW w:w="1276" w:type="dxa"/>
          </w:tcPr>
          <w:p w:rsidR="008E77CF" w:rsidRPr="002C2F1F" w:rsidRDefault="008E77CF" w:rsidP="005274B5">
            <w:pPr>
              <w:tabs>
                <w:tab w:val="decimal" w:pos="1026"/>
              </w:tabs>
              <w:rPr>
                <w:sz w:val="22"/>
              </w:rPr>
            </w:pPr>
            <w:r>
              <w:rPr>
                <w:sz w:val="22"/>
              </w:rPr>
              <w:t>(666,356)</w:t>
            </w:r>
          </w:p>
        </w:tc>
      </w:tr>
      <w:tr w:rsidR="008E77CF" w:rsidRPr="00A60775" w:rsidTr="008632F4">
        <w:tc>
          <w:tcPr>
            <w:tcW w:w="3969" w:type="dxa"/>
          </w:tcPr>
          <w:p w:rsidR="008E77CF" w:rsidRPr="00A86489" w:rsidRDefault="008E77CF" w:rsidP="00CD62E6">
            <w:pPr>
              <w:jc w:val="both"/>
              <w:rPr>
                <w:sz w:val="22"/>
              </w:rPr>
            </w:pPr>
            <w:r w:rsidRPr="00A86489">
              <w:rPr>
                <w:sz w:val="22"/>
              </w:rPr>
              <w:t>Current service cost</w:t>
            </w:r>
          </w:p>
        </w:tc>
        <w:tc>
          <w:tcPr>
            <w:tcW w:w="1417" w:type="dxa"/>
          </w:tcPr>
          <w:p w:rsidR="008E77CF" w:rsidRPr="002C2F1F" w:rsidRDefault="00681299" w:rsidP="00B63CF1">
            <w:pPr>
              <w:tabs>
                <w:tab w:val="decimal" w:pos="888"/>
              </w:tabs>
              <w:rPr>
                <w:sz w:val="22"/>
              </w:rPr>
            </w:pPr>
            <w:r>
              <w:rPr>
                <w:sz w:val="22"/>
              </w:rPr>
              <w:t>(</w:t>
            </w:r>
            <w:r w:rsidR="00B63CF1">
              <w:rPr>
                <w:sz w:val="22"/>
              </w:rPr>
              <w:t>2,351</w:t>
            </w:r>
            <w:r>
              <w:rPr>
                <w:sz w:val="22"/>
              </w:rPr>
              <w:t>)</w:t>
            </w:r>
          </w:p>
        </w:tc>
        <w:tc>
          <w:tcPr>
            <w:tcW w:w="1276" w:type="dxa"/>
          </w:tcPr>
          <w:p w:rsidR="008E77CF" w:rsidRPr="002C2F1F" w:rsidRDefault="008E77CF" w:rsidP="00BA5902">
            <w:pPr>
              <w:tabs>
                <w:tab w:val="decimal" w:pos="888"/>
              </w:tabs>
              <w:rPr>
                <w:sz w:val="22"/>
              </w:rPr>
            </w:pPr>
            <w:r>
              <w:rPr>
                <w:sz w:val="22"/>
              </w:rPr>
              <w:t>(</w:t>
            </w:r>
            <w:r w:rsidR="00BA5902">
              <w:rPr>
                <w:sz w:val="22"/>
              </w:rPr>
              <w:t>1,373</w:t>
            </w:r>
            <w:r>
              <w:rPr>
                <w:sz w:val="22"/>
              </w:rPr>
              <w:t>)</w:t>
            </w:r>
          </w:p>
        </w:tc>
        <w:tc>
          <w:tcPr>
            <w:tcW w:w="1417" w:type="dxa"/>
          </w:tcPr>
          <w:p w:rsidR="008E77CF" w:rsidRPr="002C2F1F" w:rsidRDefault="00DE4508" w:rsidP="00210E84">
            <w:pPr>
              <w:tabs>
                <w:tab w:val="decimal" w:pos="1026"/>
              </w:tabs>
              <w:rPr>
                <w:sz w:val="22"/>
              </w:rPr>
            </w:pPr>
            <w:r>
              <w:rPr>
                <w:sz w:val="22"/>
              </w:rPr>
              <w:t>(10,649)</w:t>
            </w:r>
          </w:p>
        </w:tc>
        <w:tc>
          <w:tcPr>
            <w:tcW w:w="1276" w:type="dxa"/>
          </w:tcPr>
          <w:p w:rsidR="008E77CF" w:rsidRPr="002C2F1F" w:rsidRDefault="008E77CF" w:rsidP="005274B5">
            <w:pPr>
              <w:tabs>
                <w:tab w:val="decimal" w:pos="1026"/>
              </w:tabs>
              <w:rPr>
                <w:sz w:val="22"/>
              </w:rPr>
            </w:pPr>
            <w:r>
              <w:rPr>
                <w:sz w:val="22"/>
              </w:rPr>
              <w:t>(8,450)</w:t>
            </w:r>
          </w:p>
        </w:tc>
      </w:tr>
      <w:tr w:rsidR="008E77CF" w:rsidRPr="00A60775" w:rsidTr="008632F4">
        <w:tc>
          <w:tcPr>
            <w:tcW w:w="3969" w:type="dxa"/>
          </w:tcPr>
          <w:p w:rsidR="008E77CF" w:rsidRPr="00A86489" w:rsidRDefault="008E77CF" w:rsidP="00CD62E6">
            <w:pPr>
              <w:jc w:val="both"/>
              <w:rPr>
                <w:sz w:val="22"/>
              </w:rPr>
            </w:pPr>
            <w:r w:rsidRPr="00A86489">
              <w:rPr>
                <w:sz w:val="22"/>
              </w:rPr>
              <w:t xml:space="preserve">Interest </w:t>
            </w:r>
            <w:r>
              <w:rPr>
                <w:sz w:val="22"/>
              </w:rPr>
              <w:t>on liabilities</w:t>
            </w:r>
          </w:p>
        </w:tc>
        <w:tc>
          <w:tcPr>
            <w:tcW w:w="1417" w:type="dxa"/>
          </w:tcPr>
          <w:p w:rsidR="008E77CF" w:rsidRPr="002C2F1F" w:rsidRDefault="00DE4508" w:rsidP="00B63CF1">
            <w:pPr>
              <w:tabs>
                <w:tab w:val="decimal" w:pos="888"/>
              </w:tabs>
              <w:rPr>
                <w:sz w:val="22"/>
              </w:rPr>
            </w:pPr>
            <w:r>
              <w:rPr>
                <w:sz w:val="22"/>
              </w:rPr>
              <w:t>(1,</w:t>
            </w:r>
            <w:r w:rsidR="00B63CF1">
              <w:rPr>
                <w:sz w:val="22"/>
              </w:rPr>
              <w:t>797</w:t>
            </w:r>
            <w:r>
              <w:rPr>
                <w:sz w:val="22"/>
              </w:rPr>
              <w:t>)</w:t>
            </w:r>
          </w:p>
        </w:tc>
        <w:tc>
          <w:tcPr>
            <w:tcW w:w="1276" w:type="dxa"/>
          </w:tcPr>
          <w:p w:rsidR="008E77CF" w:rsidRPr="002C2F1F" w:rsidRDefault="008E77CF" w:rsidP="00BA5902">
            <w:pPr>
              <w:tabs>
                <w:tab w:val="decimal" w:pos="888"/>
              </w:tabs>
              <w:rPr>
                <w:sz w:val="22"/>
              </w:rPr>
            </w:pPr>
            <w:r>
              <w:rPr>
                <w:sz w:val="22"/>
              </w:rPr>
              <w:t>(</w:t>
            </w:r>
            <w:r w:rsidR="00BA5902">
              <w:rPr>
                <w:sz w:val="22"/>
              </w:rPr>
              <w:t>2,028</w:t>
            </w:r>
            <w:r>
              <w:rPr>
                <w:sz w:val="22"/>
              </w:rPr>
              <w:t>)</w:t>
            </w:r>
          </w:p>
        </w:tc>
        <w:tc>
          <w:tcPr>
            <w:tcW w:w="1417" w:type="dxa"/>
          </w:tcPr>
          <w:p w:rsidR="008E77CF" w:rsidRPr="002C2F1F" w:rsidRDefault="00DE4508" w:rsidP="003E3E1B">
            <w:pPr>
              <w:tabs>
                <w:tab w:val="decimal" w:pos="1026"/>
              </w:tabs>
              <w:rPr>
                <w:sz w:val="22"/>
              </w:rPr>
            </w:pPr>
            <w:r>
              <w:rPr>
                <w:sz w:val="22"/>
              </w:rPr>
              <w:t>(20,789)</w:t>
            </w:r>
          </w:p>
        </w:tc>
        <w:tc>
          <w:tcPr>
            <w:tcW w:w="1276" w:type="dxa"/>
          </w:tcPr>
          <w:p w:rsidR="008E77CF" w:rsidRPr="002C2F1F" w:rsidRDefault="008E77CF" w:rsidP="005274B5">
            <w:pPr>
              <w:tabs>
                <w:tab w:val="decimal" w:pos="1026"/>
              </w:tabs>
              <w:rPr>
                <w:sz w:val="22"/>
              </w:rPr>
            </w:pPr>
            <w:r>
              <w:rPr>
                <w:sz w:val="22"/>
              </w:rPr>
              <w:t>(23,100)</w:t>
            </w:r>
          </w:p>
        </w:tc>
      </w:tr>
      <w:tr w:rsidR="008E77CF" w:rsidRPr="00A60775" w:rsidTr="008632F4">
        <w:tc>
          <w:tcPr>
            <w:tcW w:w="3969" w:type="dxa"/>
          </w:tcPr>
          <w:p w:rsidR="008E77CF" w:rsidRPr="00A86489" w:rsidRDefault="008E77CF" w:rsidP="00CD62E6">
            <w:pPr>
              <w:jc w:val="both"/>
              <w:rPr>
                <w:sz w:val="22"/>
              </w:rPr>
            </w:pPr>
            <w:r w:rsidRPr="00A86489">
              <w:rPr>
                <w:sz w:val="22"/>
              </w:rPr>
              <w:t xml:space="preserve">Contributions by scheme participants </w:t>
            </w:r>
          </w:p>
        </w:tc>
        <w:tc>
          <w:tcPr>
            <w:tcW w:w="1417" w:type="dxa"/>
          </w:tcPr>
          <w:p w:rsidR="008E77CF" w:rsidRPr="002C2F1F" w:rsidRDefault="00DE4508" w:rsidP="00B63CF1">
            <w:pPr>
              <w:tabs>
                <w:tab w:val="decimal" w:pos="888"/>
              </w:tabs>
              <w:rPr>
                <w:sz w:val="22"/>
              </w:rPr>
            </w:pPr>
            <w:r>
              <w:rPr>
                <w:sz w:val="22"/>
              </w:rPr>
              <w:t>(</w:t>
            </w:r>
            <w:r w:rsidR="00B63CF1">
              <w:rPr>
                <w:sz w:val="22"/>
              </w:rPr>
              <w:t>478</w:t>
            </w:r>
            <w:r>
              <w:rPr>
                <w:sz w:val="22"/>
              </w:rPr>
              <w:t>)</w:t>
            </w:r>
          </w:p>
        </w:tc>
        <w:tc>
          <w:tcPr>
            <w:tcW w:w="1276" w:type="dxa"/>
          </w:tcPr>
          <w:p w:rsidR="008E77CF" w:rsidRPr="002C2F1F" w:rsidRDefault="008E77CF" w:rsidP="00BA5902">
            <w:pPr>
              <w:tabs>
                <w:tab w:val="decimal" w:pos="888"/>
              </w:tabs>
              <w:rPr>
                <w:sz w:val="22"/>
              </w:rPr>
            </w:pPr>
            <w:r>
              <w:rPr>
                <w:sz w:val="22"/>
              </w:rPr>
              <w:t>(</w:t>
            </w:r>
            <w:r w:rsidR="00BA5902">
              <w:rPr>
                <w:sz w:val="22"/>
              </w:rPr>
              <w:t>416</w:t>
            </w:r>
            <w:r>
              <w:rPr>
                <w:sz w:val="22"/>
              </w:rPr>
              <w:t>)</w:t>
            </w:r>
          </w:p>
        </w:tc>
        <w:tc>
          <w:tcPr>
            <w:tcW w:w="1417" w:type="dxa"/>
          </w:tcPr>
          <w:p w:rsidR="008E77CF" w:rsidRPr="002C2F1F" w:rsidRDefault="00DE4508" w:rsidP="003E3E1B">
            <w:pPr>
              <w:tabs>
                <w:tab w:val="decimal" w:pos="1026"/>
              </w:tabs>
              <w:rPr>
                <w:sz w:val="22"/>
              </w:rPr>
            </w:pPr>
            <w:r>
              <w:rPr>
                <w:sz w:val="22"/>
              </w:rPr>
              <w:t>(2,964)</w:t>
            </w:r>
          </w:p>
        </w:tc>
        <w:tc>
          <w:tcPr>
            <w:tcW w:w="1276" w:type="dxa"/>
          </w:tcPr>
          <w:p w:rsidR="008E77CF" w:rsidRPr="002C2F1F" w:rsidRDefault="008E77CF" w:rsidP="005274B5">
            <w:pPr>
              <w:tabs>
                <w:tab w:val="decimal" w:pos="1026"/>
              </w:tabs>
              <w:rPr>
                <w:sz w:val="22"/>
              </w:rPr>
            </w:pPr>
            <w:r>
              <w:rPr>
                <w:sz w:val="22"/>
              </w:rPr>
              <w:t>(2,880)</w:t>
            </w:r>
          </w:p>
        </w:tc>
      </w:tr>
      <w:tr w:rsidR="008E77CF" w:rsidRPr="00A60775" w:rsidTr="008632F4">
        <w:tc>
          <w:tcPr>
            <w:tcW w:w="3969" w:type="dxa"/>
          </w:tcPr>
          <w:p w:rsidR="008E77CF" w:rsidRPr="00A86489" w:rsidRDefault="008E77CF" w:rsidP="00CD62E6">
            <w:pPr>
              <w:jc w:val="both"/>
              <w:rPr>
                <w:sz w:val="22"/>
              </w:rPr>
            </w:pPr>
            <w:proofErr w:type="spellStart"/>
            <w:r>
              <w:rPr>
                <w:sz w:val="22"/>
              </w:rPr>
              <w:t>Remeasurements</w:t>
            </w:r>
            <w:proofErr w:type="spellEnd"/>
            <w:r>
              <w:rPr>
                <w:sz w:val="22"/>
              </w:rPr>
              <w:t xml:space="preserve"> (liabilities):</w:t>
            </w:r>
          </w:p>
        </w:tc>
        <w:tc>
          <w:tcPr>
            <w:tcW w:w="1417" w:type="dxa"/>
          </w:tcPr>
          <w:p w:rsidR="008E77CF" w:rsidRPr="005B2EBF" w:rsidRDefault="008E77CF" w:rsidP="00CD62E6">
            <w:pPr>
              <w:tabs>
                <w:tab w:val="decimal" w:pos="888"/>
              </w:tabs>
              <w:rPr>
                <w:sz w:val="22"/>
                <w:highlight w:val="yellow"/>
              </w:rPr>
            </w:pPr>
          </w:p>
        </w:tc>
        <w:tc>
          <w:tcPr>
            <w:tcW w:w="1276" w:type="dxa"/>
          </w:tcPr>
          <w:p w:rsidR="008E77CF" w:rsidRPr="005B2EBF" w:rsidRDefault="008E77CF" w:rsidP="005274B5">
            <w:pPr>
              <w:tabs>
                <w:tab w:val="decimal" w:pos="888"/>
              </w:tabs>
              <w:rPr>
                <w:sz w:val="22"/>
                <w:highlight w:val="yellow"/>
              </w:rPr>
            </w:pPr>
          </w:p>
        </w:tc>
        <w:tc>
          <w:tcPr>
            <w:tcW w:w="1417" w:type="dxa"/>
          </w:tcPr>
          <w:p w:rsidR="008E77CF" w:rsidRPr="005B2EBF" w:rsidRDefault="008E77CF" w:rsidP="003E3E1B">
            <w:pPr>
              <w:tabs>
                <w:tab w:val="decimal" w:pos="1026"/>
              </w:tabs>
              <w:rPr>
                <w:sz w:val="22"/>
                <w:highlight w:val="yellow"/>
              </w:rPr>
            </w:pPr>
          </w:p>
        </w:tc>
        <w:tc>
          <w:tcPr>
            <w:tcW w:w="1276" w:type="dxa"/>
          </w:tcPr>
          <w:p w:rsidR="008E77CF" w:rsidRPr="005B2EBF" w:rsidRDefault="008E77CF" w:rsidP="005274B5">
            <w:pPr>
              <w:tabs>
                <w:tab w:val="decimal" w:pos="1026"/>
              </w:tabs>
              <w:rPr>
                <w:sz w:val="22"/>
                <w:highlight w:val="yellow"/>
              </w:rPr>
            </w:pPr>
          </w:p>
        </w:tc>
      </w:tr>
      <w:tr w:rsidR="008E77CF" w:rsidRPr="00A60775" w:rsidTr="008632F4">
        <w:tc>
          <w:tcPr>
            <w:tcW w:w="3969" w:type="dxa"/>
          </w:tcPr>
          <w:p w:rsidR="008E77CF" w:rsidRDefault="008E77CF" w:rsidP="004C5CC4">
            <w:pPr>
              <w:ind w:left="459"/>
              <w:jc w:val="both"/>
              <w:rPr>
                <w:sz w:val="22"/>
              </w:rPr>
            </w:pPr>
            <w:r>
              <w:rPr>
                <w:sz w:val="22"/>
              </w:rPr>
              <w:t>Experience (gain)/loss</w:t>
            </w:r>
          </w:p>
        </w:tc>
        <w:tc>
          <w:tcPr>
            <w:tcW w:w="1417" w:type="dxa"/>
          </w:tcPr>
          <w:p w:rsidR="008E77CF" w:rsidRPr="002C2F1F" w:rsidRDefault="00DE4508" w:rsidP="00CD62E6">
            <w:pPr>
              <w:tabs>
                <w:tab w:val="decimal" w:pos="888"/>
              </w:tabs>
              <w:rPr>
                <w:sz w:val="22"/>
              </w:rPr>
            </w:pPr>
            <w:r>
              <w:rPr>
                <w:sz w:val="22"/>
              </w:rPr>
              <w:t>-</w:t>
            </w:r>
          </w:p>
        </w:tc>
        <w:tc>
          <w:tcPr>
            <w:tcW w:w="1276" w:type="dxa"/>
          </w:tcPr>
          <w:p w:rsidR="008E77CF" w:rsidRPr="002C2F1F" w:rsidRDefault="008E77CF" w:rsidP="00BA5902">
            <w:pPr>
              <w:tabs>
                <w:tab w:val="decimal" w:pos="888"/>
              </w:tabs>
              <w:rPr>
                <w:sz w:val="22"/>
              </w:rPr>
            </w:pPr>
            <w:r>
              <w:rPr>
                <w:sz w:val="22"/>
              </w:rPr>
              <w:t>3,</w:t>
            </w:r>
            <w:r w:rsidR="00BA5902">
              <w:rPr>
                <w:sz w:val="22"/>
              </w:rPr>
              <w:t>534</w:t>
            </w:r>
          </w:p>
        </w:tc>
        <w:tc>
          <w:tcPr>
            <w:tcW w:w="1417" w:type="dxa"/>
          </w:tcPr>
          <w:p w:rsidR="008E77CF" w:rsidRPr="002C2F1F" w:rsidRDefault="00DE4508" w:rsidP="003E3E1B">
            <w:pPr>
              <w:tabs>
                <w:tab w:val="decimal" w:pos="1026"/>
              </w:tabs>
              <w:rPr>
                <w:sz w:val="22"/>
              </w:rPr>
            </w:pPr>
            <w:r>
              <w:rPr>
                <w:sz w:val="22"/>
              </w:rPr>
              <w:t>9,258</w:t>
            </w:r>
          </w:p>
        </w:tc>
        <w:tc>
          <w:tcPr>
            <w:tcW w:w="1276" w:type="dxa"/>
          </w:tcPr>
          <w:p w:rsidR="008E77CF" w:rsidRPr="002C2F1F" w:rsidRDefault="008E77CF" w:rsidP="005274B5">
            <w:pPr>
              <w:tabs>
                <w:tab w:val="decimal" w:pos="1026"/>
              </w:tabs>
              <w:rPr>
                <w:sz w:val="22"/>
              </w:rPr>
            </w:pPr>
            <w:r>
              <w:rPr>
                <w:sz w:val="22"/>
              </w:rPr>
              <w:t>22,650</w:t>
            </w:r>
          </w:p>
        </w:tc>
      </w:tr>
      <w:tr w:rsidR="008E77CF" w:rsidRPr="00A60775" w:rsidTr="008632F4">
        <w:tc>
          <w:tcPr>
            <w:tcW w:w="3969" w:type="dxa"/>
          </w:tcPr>
          <w:p w:rsidR="008E77CF" w:rsidRDefault="008E77CF" w:rsidP="004C5CC4">
            <w:pPr>
              <w:ind w:left="459"/>
              <w:jc w:val="both"/>
              <w:rPr>
                <w:sz w:val="22"/>
              </w:rPr>
            </w:pPr>
            <w:r>
              <w:rPr>
                <w:sz w:val="22"/>
              </w:rPr>
              <w:t>Gain/(Loss) on financial assumptions</w:t>
            </w:r>
          </w:p>
        </w:tc>
        <w:tc>
          <w:tcPr>
            <w:tcW w:w="1417" w:type="dxa"/>
          </w:tcPr>
          <w:p w:rsidR="008E77CF" w:rsidRDefault="008E77CF" w:rsidP="002C2F1F">
            <w:pPr>
              <w:tabs>
                <w:tab w:val="decimal" w:pos="888"/>
              </w:tabs>
              <w:rPr>
                <w:sz w:val="22"/>
              </w:rPr>
            </w:pPr>
          </w:p>
          <w:p w:rsidR="00DE4508" w:rsidRPr="002C2F1F" w:rsidRDefault="00DE4508" w:rsidP="00B63CF1">
            <w:pPr>
              <w:tabs>
                <w:tab w:val="decimal" w:pos="888"/>
              </w:tabs>
              <w:rPr>
                <w:sz w:val="22"/>
              </w:rPr>
            </w:pPr>
            <w:r>
              <w:rPr>
                <w:sz w:val="22"/>
              </w:rPr>
              <w:t>2,</w:t>
            </w:r>
            <w:r w:rsidR="00B63CF1">
              <w:rPr>
                <w:sz w:val="22"/>
              </w:rPr>
              <w:t>863</w:t>
            </w:r>
          </w:p>
        </w:tc>
        <w:tc>
          <w:tcPr>
            <w:tcW w:w="1276" w:type="dxa"/>
          </w:tcPr>
          <w:p w:rsidR="008E77CF" w:rsidRDefault="008E77CF" w:rsidP="005274B5">
            <w:pPr>
              <w:tabs>
                <w:tab w:val="decimal" w:pos="888"/>
              </w:tabs>
              <w:rPr>
                <w:sz w:val="22"/>
              </w:rPr>
            </w:pPr>
          </w:p>
          <w:p w:rsidR="008E77CF" w:rsidRPr="002C2F1F" w:rsidRDefault="008E77CF" w:rsidP="00BA5902">
            <w:pPr>
              <w:tabs>
                <w:tab w:val="decimal" w:pos="888"/>
              </w:tabs>
              <w:rPr>
                <w:sz w:val="22"/>
              </w:rPr>
            </w:pPr>
            <w:r>
              <w:rPr>
                <w:sz w:val="22"/>
              </w:rPr>
              <w:t>(</w:t>
            </w:r>
            <w:r w:rsidR="00BA5902">
              <w:rPr>
                <w:sz w:val="22"/>
              </w:rPr>
              <w:t>15</w:t>
            </w:r>
            <w:r>
              <w:rPr>
                <w:sz w:val="22"/>
              </w:rPr>
              <w:t>,</w:t>
            </w:r>
            <w:r w:rsidR="00BA5902">
              <w:rPr>
                <w:sz w:val="22"/>
              </w:rPr>
              <w:t>562</w:t>
            </w:r>
            <w:r>
              <w:rPr>
                <w:sz w:val="22"/>
              </w:rPr>
              <w:t>)</w:t>
            </w:r>
          </w:p>
        </w:tc>
        <w:tc>
          <w:tcPr>
            <w:tcW w:w="1417" w:type="dxa"/>
          </w:tcPr>
          <w:p w:rsidR="008E77CF" w:rsidRDefault="008E77CF" w:rsidP="003E3E1B">
            <w:pPr>
              <w:tabs>
                <w:tab w:val="decimal" w:pos="1026"/>
              </w:tabs>
              <w:rPr>
                <w:sz w:val="22"/>
              </w:rPr>
            </w:pPr>
          </w:p>
          <w:p w:rsidR="00DE4508" w:rsidRPr="006C28D2" w:rsidRDefault="00DE4508" w:rsidP="003E3E1B">
            <w:pPr>
              <w:tabs>
                <w:tab w:val="decimal" w:pos="1026"/>
              </w:tabs>
              <w:rPr>
                <w:sz w:val="22"/>
              </w:rPr>
            </w:pPr>
            <w:r>
              <w:rPr>
                <w:sz w:val="22"/>
              </w:rPr>
              <w:t>(21,922)</w:t>
            </w:r>
          </w:p>
        </w:tc>
        <w:tc>
          <w:tcPr>
            <w:tcW w:w="1276" w:type="dxa"/>
          </w:tcPr>
          <w:p w:rsidR="008E77CF" w:rsidRDefault="008E77CF" w:rsidP="005274B5">
            <w:pPr>
              <w:tabs>
                <w:tab w:val="decimal" w:pos="1026"/>
              </w:tabs>
              <w:rPr>
                <w:sz w:val="22"/>
              </w:rPr>
            </w:pPr>
          </w:p>
          <w:p w:rsidR="008E77CF" w:rsidRPr="006C28D2" w:rsidRDefault="008E77CF" w:rsidP="005274B5">
            <w:pPr>
              <w:tabs>
                <w:tab w:val="decimal" w:pos="1026"/>
              </w:tabs>
              <w:rPr>
                <w:sz w:val="22"/>
              </w:rPr>
            </w:pPr>
            <w:r>
              <w:rPr>
                <w:sz w:val="22"/>
              </w:rPr>
              <w:t>(144,600)</w:t>
            </w:r>
          </w:p>
        </w:tc>
      </w:tr>
      <w:tr w:rsidR="008E77CF" w:rsidRPr="00A60775" w:rsidTr="008632F4">
        <w:tc>
          <w:tcPr>
            <w:tcW w:w="3969" w:type="dxa"/>
          </w:tcPr>
          <w:p w:rsidR="008E77CF" w:rsidRDefault="008E77CF" w:rsidP="004C5CC4">
            <w:pPr>
              <w:ind w:left="459"/>
              <w:jc w:val="both"/>
              <w:rPr>
                <w:sz w:val="22"/>
              </w:rPr>
            </w:pPr>
            <w:r>
              <w:rPr>
                <w:sz w:val="22"/>
              </w:rPr>
              <w:t>Gain/(Loss) on demographic assumptions</w:t>
            </w:r>
          </w:p>
        </w:tc>
        <w:tc>
          <w:tcPr>
            <w:tcW w:w="1417" w:type="dxa"/>
          </w:tcPr>
          <w:p w:rsidR="008E77CF" w:rsidRDefault="008E77CF" w:rsidP="00CD62E6">
            <w:pPr>
              <w:tabs>
                <w:tab w:val="decimal" w:pos="888"/>
              </w:tabs>
              <w:rPr>
                <w:sz w:val="22"/>
              </w:rPr>
            </w:pPr>
          </w:p>
          <w:p w:rsidR="00DE4508" w:rsidRPr="002C2F1F" w:rsidRDefault="00DE4508" w:rsidP="00CD62E6">
            <w:pPr>
              <w:tabs>
                <w:tab w:val="decimal" w:pos="888"/>
              </w:tabs>
              <w:rPr>
                <w:sz w:val="22"/>
              </w:rPr>
            </w:pPr>
            <w:r>
              <w:rPr>
                <w:sz w:val="22"/>
              </w:rPr>
              <w:t>-</w:t>
            </w:r>
          </w:p>
        </w:tc>
        <w:tc>
          <w:tcPr>
            <w:tcW w:w="1276" w:type="dxa"/>
          </w:tcPr>
          <w:p w:rsidR="008E77CF" w:rsidRDefault="008E77CF" w:rsidP="005274B5">
            <w:pPr>
              <w:tabs>
                <w:tab w:val="decimal" w:pos="888"/>
              </w:tabs>
              <w:rPr>
                <w:sz w:val="22"/>
              </w:rPr>
            </w:pPr>
          </w:p>
          <w:p w:rsidR="008E77CF" w:rsidRPr="002C2F1F" w:rsidRDefault="00BA5902" w:rsidP="005274B5">
            <w:pPr>
              <w:tabs>
                <w:tab w:val="decimal" w:pos="888"/>
              </w:tabs>
              <w:rPr>
                <w:sz w:val="22"/>
              </w:rPr>
            </w:pPr>
            <w:r>
              <w:rPr>
                <w:sz w:val="22"/>
              </w:rPr>
              <w:t>229</w:t>
            </w:r>
          </w:p>
        </w:tc>
        <w:tc>
          <w:tcPr>
            <w:tcW w:w="1417" w:type="dxa"/>
          </w:tcPr>
          <w:p w:rsidR="008E77CF" w:rsidRDefault="008E77CF" w:rsidP="003E3E1B">
            <w:pPr>
              <w:tabs>
                <w:tab w:val="decimal" w:pos="1026"/>
              </w:tabs>
              <w:rPr>
                <w:sz w:val="22"/>
              </w:rPr>
            </w:pPr>
          </w:p>
          <w:p w:rsidR="00DE4508" w:rsidRPr="006C28D2" w:rsidRDefault="00DE4508" w:rsidP="003E3E1B">
            <w:pPr>
              <w:tabs>
                <w:tab w:val="decimal" w:pos="1026"/>
              </w:tabs>
              <w:rPr>
                <w:sz w:val="22"/>
              </w:rPr>
            </w:pPr>
            <w:r>
              <w:rPr>
                <w:sz w:val="22"/>
              </w:rPr>
              <w:t>20,190</w:t>
            </w:r>
          </w:p>
        </w:tc>
        <w:tc>
          <w:tcPr>
            <w:tcW w:w="1276" w:type="dxa"/>
          </w:tcPr>
          <w:p w:rsidR="008E77CF" w:rsidRDefault="008E77CF" w:rsidP="005274B5">
            <w:pPr>
              <w:tabs>
                <w:tab w:val="decimal" w:pos="1026"/>
              </w:tabs>
              <w:rPr>
                <w:sz w:val="22"/>
              </w:rPr>
            </w:pPr>
          </w:p>
          <w:p w:rsidR="008E77CF" w:rsidRPr="006C28D2" w:rsidRDefault="008E77CF" w:rsidP="005274B5">
            <w:pPr>
              <w:tabs>
                <w:tab w:val="decimal" w:pos="1026"/>
              </w:tabs>
              <w:rPr>
                <w:sz w:val="22"/>
              </w:rPr>
            </w:pPr>
            <w:r>
              <w:rPr>
                <w:sz w:val="22"/>
              </w:rPr>
              <w:t>10,020</w:t>
            </w:r>
          </w:p>
        </w:tc>
      </w:tr>
      <w:tr w:rsidR="008E77CF" w:rsidRPr="00A60775" w:rsidTr="008632F4">
        <w:tc>
          <w:tcPr>
            <w:tcW w:w="3969" w:type="dxa"/>
          </w:tcPr>
          <w:p w:rsidR="008E77CF" w:rsidRPr="00A86489" w:rsidRDefault="008E77CF" w:rsidP="00CD62E6">
            <w:pPr>
              <w:jc w:val="both"/>
              <w:rPr>
                <w:sz w:val="22"/>
              </w:rPr>
            </w:pPr>
            <w:r w:rsidRPr="00A86489">
              <w:rPr>
                <w:sz w:val="22"/>
              </w:rPr>
              <w:t>Benefits</w:t>
            </w:r>
            <w:r>
              <w:rPr>
                <w:sz w:val="22"/>
              </w:rPr>
              <w:t>/transfers</w:t>
            </w:r>
            <w:r w:rsidRPr="00A86489">
              <w:rPr>
                <w:sz w:val="22"/>
              </w:rPr>
              <w:t xml:space="preserve"> paid</w:t>
            </w:r>
          </w:p>
        </w:tc>
        <w:tc>
          <w:tcPr>
            <w:tcW w:w="1417" w:type="dxa"/>
          </w:tcPr>
          <w:p w:rsidR="008E77CF" w:rsidRPr="002C2F1F" w:rsidRDefault="00DE4508" w:rsidP="00B63CF1">
            <w:pPr>
              <w:tabs>
                <w:tab w:val="decimal" w:pos="888"/>
              </w:tabs>
              <w:rPr>
                <w:sz w:val="22"/>
              </w:rPr>
            </w:pPr>
            <w:r>
              <w:rPr>
                <w:sz w:val="22"/>
              </w:rPr>
              <w:t>1,</w:t>
            </w:r>
            <w:r w:rsidR="00B63CF1">
              <w:rPr>
                <w:sz w:val="22"/>
              </w:rPr>
              <w:t>191</w:t>
            </w:r>
          </w:p>
        </w:tc>
        <w:tc>
          <w:tcPr>
            <w:tcW w:w="1276" w:type="dxa"/>
          </w:tcPr>
          <w:p w:rsidR="008E77CF" w:rsidRPr="002C2F1F" w:rsidRDefault="008E77CF" w:rsidP="00BA5902">
            <w:pPr>
              <w:tabs>
                <w:tab w:val="decimal" w:pos="888"/>
              </w:tabs>
              <w:rPr>
                <w:sz w:val="22"/>
              </w:rPr>
            </w:pPr>
            <w:r>
              <w:rPr>
                <w:sz w:val="22"/>
              </w:rPr>
              <w:t>1,</w:t>
            </w:r>
            <w:r w:rsidR="00BA5902">
              <w:rPr>
                <w:sz w:val="22"/>
              </w:rPr>
              <w:t>032</w:t>
            </w:r>
          </w:p>
        </w:tc>
        <w:tc>
          <w:tcPr>
            <w:tcW w:w="1417" w:type="dxa"/>
          </w:tcPr>
          <w:p w:rsidR="008E77CF" w:rsidRPr="006C28D2" w:rsidRDefault="00DE4508" w:rsidP="003E3E1B">
            <w:pPr>
              <w:tabs>
                <w:tab w:val="decimal" w:pos="1026"/>
              </w:tabs>
              <w:rPr>
                <w:sz w:val="22"/>
              </w:rPr>
            </w:pPr>
            <w:r>
              <w:rPr>
                <w:sz w:val="22"/>
              </w:rPr>
              <w:t>22,904</w:t>
            </w:r>
          </w:p>
        </w:tc>
        <w:tc>
          <w:tcPr>
            <w:tcW w:w="1276" w:type="dxa"/>
          </w:tcPr>
          <w:p w:rsidR="008E77CF" w:rsidRPr="006C28D2" w:rsidRDefault="008E77CF" w:rsidP="005274B5">
            <w:pPr>
              <w:tabs>
                <w:tab w:val="decimal" w:pos="1026"/>
              </w:tabs>
              <w:rPr>
                <w:sz w:val="22"/>
              </w:rPr>
            </w:pPr>
            <w:r>
              <w:rPr>
                <w:sz w:val="22"/>
              </w:rPr>
              <w:t>24,310</w:t>
            </w:r>
          </w:p>
        </w:tc>
      </w:tr>
      <w:tr w:rsidR="008E77CF" w:rsidRPr="00A60775" w:rsidTr="008632F4">
        <w:tc>
          <w:tcPr>
            <w:tcW w:w="3969" w:type="dxa"/>
          </w:tcPr>
          <w:p w:rsidR="008E77CF" w:rsidRPr="00A86489" w:rsidRDefault="008E77CF" w:rsidP="00CD62E6">
            <w:pPr>
              <w:jc w:val="both"/>
              <w:rPr>
                <w:sz w:val="22"/>
              </w:rPr>
            </w:pPr>
            <w:r>
              <w:rPr>
                <w:sz w:val="22"/>
              </w:rPr>
              <w:t>Past service cost</w:t>
            </w:r>
          </w:p>
        </w:tc>
        <w:tc>
          <w:tcPr>
            <w:tcW w:w="1417" w:type="dxa"/>
          </w:tcPr>
          <w:p w:rsidR="008E77CF" w:rsidRPr="002C2F1F" w:rsidRDefault="00DE4508" w:rsidP="002C2F1F">
            <w:pPr>
              <w:tabs>
                <w:tab w:val="decimal" w:pos="888"/>
              </w:tabs>
              <w:rPr>
                <w:sz w:val="22"/>
              </w:rPr>
            </w:pPr>
            <w:r>
              <w:rPr>
                <w:sz w:val="22"/>
              </w:rPr>
              <w:t>-</w:t>
            </w:r>
          </w:p>
        </w:tc>
        <w:tc>
          <w:tcPr>
            <w:tcW w:w="1276" w:type="dxa"/>
          </w:tcPr>
          <w:p w:rsidR="008E77CF" w:rsidRPr="002C2F1F" w:rsidRDefault="008E77CF" w:rsidP="005274B5">
            <w:pPr>
              <w:tabs>
                <w:tab w:val="decimal" w:pos="888"/>
              </w:tabs>
              <w:rPr>
                <w:sz w:val="22"/>
              </w:rPr>
            </w:pPr>
            <w:r>
              <w:rPr>
                <w:sz w:val="22"/>
              </w:rPr>
              <w:t>-</w:t>
            </w:r>
          </w:p>
        </w:tc>
        <w:tc>
          <w:tcPr>
            <w:tcW w:w="1417" w:type="dxa"/>
          </w:tcPr>
          <w:p w:rsidR="008E77CF" w:rsidRPr="006C28D2" w:rsidRDefault="00DE4508" w:rsidP="00210E84">
            <w:pPr>
              <w:tabs>
                <w:tab w:val="decimal" w:pos="1026"/>
              </w:tabs>
              <w:rPr>
                <w:sz w:val="22"/>
              </w:rPr>
            </w:pPr>
            <w:r>
              <w:rPr>
                <w:sz w:val="22"/>
              </w:rPr>
              <w:t>(508)</w:t>
            </w:r>
          </w:p>
        </w:tc>
        <w:tc>
          <w:tcPr>
            <w:tcW w:w="1276" w:type="dxa"/>
          </w:tcPr>
          <w:p w:rsidR="008E77CF" w:rsidRPr="006C28D2" w:rsidRDefault="008E77CF" w:rsidP="005274B5">
            <w:pPr>
              <w:tabs>
                <w:tab w:val="decimal" w:pos="1026"/>
              </w:tabs>
              <w:rPr>
                <w:sz w:val="22"/>
              </w:rPr>
            </w:pPr>
            <w:r>
              <w:rPr>
                <w:sz w:val="22"/>
              </w:rPr>
              <w:t>(450)</w:t>
            </w:r>
          </w:p>
        </w:tc>
      </w:tr>
      <w:tr w:rsidR="008E77CF" w:rsidRPr="00A60775" w:rsidTr="008632F4">
        <w:tc>
          <w:tcPr>
            <w:tcW w:w="3969" w:type="dxa"/>
          </w:tcPr>
          <w:p w:rsidR="008E77CF" w:rsidRPr="00A86489" w:rsidRDefault="008E77CF" w:rsidP="00CD62E6">
            <w:pPr>
              <w:jc w:val="both"/>
              <w:rPr>
                <w:sz w:val="22"/>
              </w:rPr>
            </w:pPr>
            <w:r>
              <w:rPr>
                <w:sz w:val="22"/>
              </w:rPr>
              <w:t xml:space="preserve">Closing balance at </w:t>
            </w:r>
            <w:r w:rsidRPr="00A86489">
              <w:rPr>
                <w:sz w:val="22"/>
              </w:rPr>
              <w:t>31 March</w:t>
            </w:r>
          </w:p>
        </w:tc>
        <w:tc>
          <w:tcPr>
            <w:tcW w:w="1417" w:type="dxa"/>
          </w:tcPr>
          <w:p w:rsidR="008E77CF" w:rsidRPr="002C2F1F" w:rsidRDefault="00DE4508" w:rsidP="00B63CF1">
            <w:pPr>
              <w:tabs>
                <w:tab w:val="decimal" w:pos="888"/>
              </w:tabs>
              <w:rPr>
                <w:sz w:val="22"/>
              </w:rPr>
            </w:pPr>
            <w:r>
              <w:rPr>
                <w:sz w:val="22"/>
              </w:rPr>
              <w:t>(</w:t>
            </w:r>
            <w:r w:rsidR="00B63CF1">
              <w:rPr>
                <w:sz w:val="22"/>
              </w:rPr>
              <w:t>71</w:t>
            </w:r>
            <w:r>
              <w:rPr>
                <w:sz w:val="22"/>
              </w:rPr>
              <w:t>,</w:t>
            </w:r>
            <w:r w:rsidR="00B63CF1">
              <w:rPr>
                <w:sz w:val="22"/>
              </w:rPr>
              <w:t>571</w:t>
            </w:r>
            <w:r>
              <w:rPr>
                <w:sz w:val="22"/>
              </w:rPr>
              <w:t>)</w:t>
            </w:r>
          </w:p>
        </w:tc>
        <w:tc>
          <w:tcPr>
            <w:tcW w:w="1276" w:type="dxa"/>
          </w:tcPr>
          <w:p w:rsidR="008E77CF" w:rsidRPr="002C2F1F" w:rsidRDefault="008E77CF" w:rsidP="00B63CF1">
            <w:pPr>
              <w:tabs>
                <w:tab w:val="decimal" w:pos="888"/>
              </w:tabs>
              <w:rPr>
                <w:sz w:val="22"/>
              </w:rPr>
            </w:pPr>
            <w:r>
              <w:rPr>
                <w:sz w:val="22"/>
              </w:rPr>
              <w:t>(</w:t>
            </w:r>
            <w:r w:rsidR="00BA5902">
              <w:rPr>
                <w:sz w:val="22"/>
              </w:rPr>
              <w:t>70</w:t>
            </w:r>
            <w:r>
              <w:rPr>
                <w:sz w:val="22"/>
              </w:rPr>
              <w:t>,</w:t>
            </w:r>
            <w:r w:rsidR="00B63CF1">
              <w:rPr>
                <w:sz w:val="22"/>
              </w:rPr>
              <w:t>999</w:t>
            </w:r>
            <w:r>
              <w:rPr>
                <w:sz w:val="22"/>
              </w:rPr>
              <w:t>)</w:t>
            </w:r>
          </w:p>
        </w:tc>
        <w:tc>
          <w:tcPr>
            <w:tcW w:w="1417" w:type="dxa"/>
          </w:tcPr>
          <w:p w:rsidR="008E77CF" w:rsidRPr="002C2F1F" w:rsidRDefault="00DE4508" w:rsidP="003E3E1B">
            <w:pPr>
              <w:tabs>
                <w:tab w:val="decimal" w:pos="1026"/>
              </w:tabs>
              <w:rPr>
                <w:sz w:val="22"/>
              </w:rPr>
            </w:pPr>
            <w:r>
              <w:rPr>
                <w:sz w:val="22"/>
              </w:rPr>
              <w:t>(793,336)</w:t>
            </w:r>
          </w:p>
        </w:tc>
        <w:tc>
          <w:tcPr>
            <w:tcW w:w="1276" w:type="dxa"/>
          </w:tcPr>
          <w:p w:rsidR="008E77CF" w:rsidRPr="002C2F1F" w:rsidRDefault="008E77CF" w:rsidP="005274B5">
            <w:pPr>
              <w:tabs>
                <w:tab w:val="decimal" w:pos="1026"/>
              </w:tabs>
              <w:rPr>
                <w:sz w:val="22"/>
              </w:rPr>
            </w:pPr>
            <w:r>
              <w:rPr>
                <w:sz w:val="22"/>
              </w:rPr>
              <w:t>(788,856)</w:t>
            </w:r>
          </w:p>
        </w:tc>
      </w:tr>
    </w:tbl>
    <w:p w:rsidR="00B145DB" w:rsidRDefault="00B145DB" w:rsidP="00D90216">
      <w:pPr>
        <w:jc w:val="both"/>
        <w:rPr>
          <w:sz w:val="22"/>
          <w:highlight w:val="cyan"/>
        </w:rPr>
      </w:pPr>
    </w:p>
    <w:p w:rsidR="00D90216" w:rsidRPr="00A86489" w:rsidRDefault="00A11DFB" w:rsidP="00D90216">
      <w:pPr>
        <w:ind w:left="709"/>
        <w:jc w:val="both"/>
        <w:rPr>
          <w:sz w:val="22"/>
        </w:rPr>
      </w:pPr>
      <w:r>
        <w:rPr>
          <w:sz w:val="22"/>
        </w:rPr>
        <w:br w:type="page"/>
      </w:r>
      <w:r w:rsidR="00D90216" w:rsidRPr="00A86489">
        <w:rPr>
          <w:sz w:val="22"/>
        </w:rPr>
        <w:lastRenderedPageBreak/>
        <w:t>Reconciliation of the fair value of the scheme assets:</w:t>
      </w:r>
    </w:p>
    <w:p w:rsidR="00D90216" w:rsidRPr="00A60775" w:rsidRDefault="00D90216" w:rsidP="00D90216">
      <w:pPr>
        <w:ind w:left="709"/>
        <w:jc w:val="both"/>
        <w:rPr>
          <w:sz w:val="22"/>
          <w:highlight w:val="cyan"/>
        </w:rPr>
      </w:pPr>
    </w:p>
    <w:tbl>
      <w:tblPr>
        <w:tblW w:w="9497" w:type="dxa"/>
        <w:tblInd w:w="817" w:type="dxa"/>
        <w:tblLayout w:type="fixed"/>
        <w:tblLook w:val="0000" w:firstRow="0" w:lastRow="0" w:firstColumn="0" w:lastColumn="0" w:noHBand="0" w:noVBand="0"/>
      </w:tblPr>
      <w:tblGrid>
        <w:gridCol w:w="4111"/>
        <w:gridCol w:w="1275"/>
        <w:gridCol w:w="1418"/>
        <w:gridCol w:w="1276"/>
        <w:gridCol w:w="1417"/>
      </w:tblGrid>
      <w:tr w:rsidR="00B145DB" w:rsidRPr="00A60775" w:rsidTr="008632F4">
        <w:trPr>
          <w:cantSplit/>
          <w:trHeight w:hRule="exact" w:val="792"/>
        </w:trPr>
        <w:tc>
          <w:tcPr>
            <w:tcW w:w="4111" w:type="dxa"/>
          </w:tcPr>
          <w:p w:rsidR="00B145DB" w:rsidRPr="00A60775" w:rsidRDefault="00B145DB" w:rsidP="00CD62E6">
            <w:pPr>
              <w:jc w:val="both"/>
              <w:rPr>
                <w:sz w:val="22"/>
                <w:highlight w:val="cyan"/>
              </w:rPr>
            </w:pPr>
          </w:p>
        </w:tc>
        <w:tc>
          <w:tcPr>
            <w:tcW w:w="2693" w:type="dxa"/>
            <w:gridSpan w:val="2"/>
          </w:tcPr>
          <w:p w:rsidR="00B145DB" w:rsidRPr="00A86489" w:rsidRDefault="00B145DB" w:rsidP="00CD62E6">
            <w:pPr>
              <w:jc w:val="center"/>
              <w:rPr>
                <w:sz w:val="22"/>
              </w:rPr>
            </w:pPr>
            <w:r w:rsidRPr="00A86489">
              <w:rPr>
                <w:sz w:val="22"/>
              </w:rPr>
              <w:t>Funded Liabilities: Local Government Pension Scheme</w:t>
            </w:r>
          </w:p>
        </w:tc>
        <w:tc>
          <w:tcPr>
            <w:tcW w:w="2693" w:type="dxa"/>
            <w:gridSpan w:val="2"/>
          </w:tcPr>
          <w:p w:rsidR="00B145DB" w:rsidRPr="00A86489" w:rsidRDefault="00B145DB" w:rsidP="00D804F4">
            <w:pPr>
              <w:jc w:val="center"/>
              <w:rPr>
                <w:sz w:val="22"/>
              </w:rPr>
            </w:pPr>
            <w:r w:rsidRPr="00A86489">
              <w:rPr>
                <w:sz w:val="22"/>
              </w:rPr>
              <w:t>Unfunded Liabilities: Uniformed Firefighters’ Pension Scheme</w:t>
            </w:r>
          </w:p>
        </w:tc>
      </w:tr>
      <w:tr w:rsidR="008E77CF" w:rsidRPr="00A60775" w:rsidTr="00EF4270">
        <w:trPr>
          <w:trHeight w:hRule="exact" w:val="871"/>
        </w:trPr>
        <w:tc>
          <w:tcPr>
            <w:tcW w:w="4111" w:type="dxa"/>
          </w:tcPr>
          <w:p w:rsidR="008E77CF" w:rsidRPr="00A60775" w:rsidRDefault="008E77CF" w:rsidP="00CD62E6">
            <w:pPr>
              <w:jc w:val="both"/>
              <w:rPr>
                <w:sz w:val="22"/>
                <w:highlight w:val="cyan"/>
              </w:rPr>
            </w:pPr>
          </w:p>
        </w:tc>
        <w:tc>
          <w:tcPr>
            <w:tcW w:w="1275" w:type="dxa"/>
          </w:tcPr>
          <w:p w:rsidR="008E77CF" w:rsidRPr="00A86489" w:rsidRDefault="008E77CF" w:rsidP="005274B5">
            <w:pPr>
              <w:jc w:val="center"/>
              <w:rPr>
                <w:sz w:val="22"/>
              </w:rPr>
            </w:pPr>
            <w:r w:rsidRPr="00A86489">
              <w:rPr>
                <w:sz w:val="22"/>
              </w:rPr>
              <w:t>31 March 201</w:t>
            </w:r>
            <w:r>
              <w:rPr>
                <w:sz w:val="22"/>
              </w:rPr>
              <w:t>8</w:t>
            </w:r>
          </w:p>
        </w:tc>
        <w:tc>
          <w:tcPr>
            <w:tcW w:w="1418" w:type="dxa"/>
          </w:tcPr>
          <w:p w:rsidR="008E77CF" w:rsidRDefault="008E77CF" w:rsidP="005274B5">
            <w:pPr>
              <w:jc w:val="center"/>
              <w:rPr>
                <w:sz w:val="22"/>
              </w:rPr>
            </w:pPr>
            <w:r w:rsidRPr="00A86489">
              <w:rPr>
                <w:sz w:val="22"/>
              </w:rPr>
              <w:t>31 March 201</w:t>
            </w:r>
            <w:r>
              <w:rPr>
                <w:sz w:val="22"/>
              </w:rPr>
              <w:t>7</w:t>
            </w:r>
          </w:p>
          <w:p w:rsidR="00B63CF1" w:rsidRPr="00A86489" w:rsidRDefault="00B63CF1" w:rsidP="005274B5">
            <w:pPr>
              <w:jc w:val="center"/>
              <w:rPr>
                <w:sz w:val="22"/>
              </w:rPr>
            </w:pPr>
            <w:r>
              <w:rPr>
                <w:sz w:val="22"/>
              </w:rPr>
              <w:t>Restated</w:t>
            </w:r>
          </w:p>
        </w:tc>
        <w:tc>
          <w:tcPr>
            <w:tcW w:w="1276" w:type="dxa"/>
            <w:shd w:val="clear" w:color="auto" w:fill="auto"/>
          </w:tcPr>
          <w:p w:rsidR="008E77CF" w:rsidRPr="00A86489" w:rsidRDefault="008E77CF" w:rsidP="005274B5">
            <w:pPr>
              <w:jc w:val="center"/>
              <w:rPr>
                <w:sz w:val="22"/>
              </w:rPr>
            </w:pPr>
            <w:r w:rsidRPr="00A86489">
              <w:rPr>
                <w:sz w:val="22"/>
              </w:rPr>
              <w:t>31 March 201</w:t>
            </w:r>
            <w:r>
              <w:rPr>
                <w:sz w:val="22"/>
              </w:rPr>
              <w:t>8</w:t>
            </w:r>
          </w:p>
        </w:tc>
        <w:tc>
          <w:tcPr>
            <w:tcW w:w="1417" w:type="dxa"/>
          </w:tcPr>
          <w:p w:rsidR="008E77CF" w:rsidRPr="00A86489" w:rsidRDefault="008E77CF" w:rsidP="005274B5">
            <w:pPr>
              <w:jc w:val="center"/>
              <w:rPr>
                <w:sz w:val="22"/>
              </w:rPr>
            </w:pPr>
            <w:r w:rsidRPr="00A86489">
              <w:rPr>
                <w:sz w:val="22"/>
              </w:rPr>
              <w:t>31 March 201</w:t>
            </w:r>
            <w:r>
              <w:rPr>
                <w:sz w:val="22"/>
              </w:rPr>
              <w:t>7</w:t>
            </w:r>
          </w:p>
        </w:tc>
      </w:tr>
      <w:tr w:rsidR="00DE0ABE" w:rsidRPr="00A60775" w:rsidTr="008632F4">
        <w:trPr>
          <w:trHeight w:hRule="exact" w:val="300"/>
        </w:trPr>
        <w:tc>
          <w:tcPr>
            <w:tcW w:w="4111" w:type="dxa"/>
          </w:tcPr>
          <w:p w:rsidR="00DE0ABE" w:rsidRPr="00A60775" w:rsidRDefault="00DE0ABE" w:rsidP="00CD62E6">
            <w:pPr>
              <w:jc w:val="both"/>
              <w:rPr>
                <w:sz w:val="22"/>
                <w:highlight w:val="cyan"/>
              </w:rPr>
            </w:pPr>
          </w:p>
        </w:tc>
        <w:tc>
          <w:tcPr>
            <w:tcW w:w="1275" w:type="dxa"/>
          </w:tcPr>
          <w:p w:rsidR="00DE0ABE" w:rsidRPr="00A86489" w:rsidRDefault="00DE0ABE" w:rsidP="00CD62E6">
            <w:pPr>
              <w:tabs>
                <w:tab w:val="decimal" w:pos="742"/>
              </w:tabs>
              <w:jc w:val="both"/>
              <w:rPr>
                <w:sz w:val="22"/>
              </w:rPr>
            </w:pPr>
            <w:r w:rsidRPr="00A86489">
              <w:rPr>
                <w:sz w:val="22"/>
              </w:rPr>
              <w:t>£000</w:t>
            </w:r>
          </w:p>
        </w:tc>
        <w:tc>
          <w:tcPr>
            <w:tcW w:w="1418" w:type="dxa"/>
          </w:tcPr>
          <w:p w:rsidR="00DE0ABE" w:rsidRPr="00A86489" w:rsidRDefault="00DE0ABE" w:rsidP="00CD62E6">
            <w:pPr>
              <w:tabs>
                <w:tab w:val="decimal" w:pos="742"/>
              </w:tabs>
              <w:jc w:val="both"/>
              <w:rPr>
                <w:sz w:val="22"/>
              </w:rPr>
            </w:pPr>
            <w:r w:rsidRPr="00A86489">
              <w:rPr>
                <w:sz w:val="22"/>
              </w:rPr>
              <w:t>£000</w:t>
            </w:r>
          </w:p>
        </w:tc>
        <w:tc>
          <w:tcPr>
            <w:tcW w:w="1276" w:type="dxa"/>
            <w:shd w:val="clear" w:color="auto" w:fill="auto"/>
          </w:tcPr>
          <w:p w:rsidR="00DE0ABE" w:rsidRPr="00A86489" w:rsidRDefault="00DE0ABE" w:rsidP="00D804F4">
            <w:pPr>
              <w:tabs>
                <w:tab w:val="decimal" w:pos="742"/>
              </w:tabs>
              <w:jc w:val="both"/>
              <w:rPr>
                <w:sz w:val="22"/>
              </w:rPr>
            </w:pPr>
            <w:r w:rsidRPr="00A86489">
              <w:rPr>
                <w:sz w:val="22"/>
              </w:rPr>
              <w:t>£000</w:t>
            </w:r>
          </w:p>
        </w:tc>
        <w:tc>
          <w:tcPr>
            <w:tcW w:w="1417" w:type="dxa"/>
          </w:tcPr>
          <w:p w:rsidR="00DE0ABE" w:rsidRPr="00A86489" w:rsidRDefault="00DE0ABE" w:rsidP="00D804F4">
            <w:pPr>
              <w:tabs>
                <w:tab w:val="decimal" w:pos="742"/>
              </w:tabs>
              <w:jc w:val="both"/>
              <w:rPr>
                <w:sz w:val="22"/>
              </w:rPr>
            </w:pPr>
            <w:r w:rsidRPr="00A86489">
              <w:rPr>
                <w:sz w:val="22"/>
              </w:rPr>
              <w:t>£000</w:t>
            </w:r>
          </w:p>
        </w:tc>
      </w:tr>
      <w:tr w:rsidR="00DE0ABE" w:rsidRPr="00A60775" w:rsidTr="008632F4">
        <w:tc>
          <w:tcPr>
            <w:tcW w:w="4111" w:type="dxa"/>
          </w:tcPr>
          <w:p w:rsidR="00DE0ABE" w:rsidRPr="00A60775" w:rsidRDefault="00DE0ABE" w:rsidP="00CD62E6">
            <w:pPr>
              <w:rPr>
                <w:sz w:val="22"/>
                <w:highlight w:val="cyan"/>
              </w:rPr>
            </w:pPr>
          </w:p>
        </w:tc>
        <w:tc>
          <w:tcPr>
            <w:tcW w:w="1275" w:type="dxa"/>
          </w:tcPr>
          <w:p w:rsidR="00DE0ABE" w:rsidRPr="00A60775" w:rsidRDefault="00DE0ABE" w:rsidP="00CD62E6">
            <w:pPr>
              <w:tabs>
                <w:tab w:val="decimal" w:pos="888"/>
              </w:tabs>
              <w:rPr>
                <w:sz w:val="22"/>
                <w:highlight w:val="cyan"/>
              </w:rPr>
            </w:pPr>
          </w:p>
        </w:tc>
        <w:tc>
          <w:tcPr>
            <w:tcW w:w="1418" w:type="dxa"/>
          </w:tcPr>
          <w:p w:rsidR="00DE0ABE" w:rsidRPr="00A60775" w:rsidRDefault="00DE0ABE" w:rsidP="00CD62E6">
            <w:pPr>
              <w:tabs>
                <w:tab w:val="decimal" w:pos="888"/>
              </w:tabs>
              <w:rPr>
                <w:sz w:val="22"/>
                <w:highlight w:val="cyan"/>
              </w:rPr>
            </w:pPr>
          </w:p>
        </w:tc>
        <w:tc>
          <w:tcPr>
            <w:tcW w:w="1276" w:type="dxa"/>
            <w:shd w:val="clear" w:color="auto" w:fill="auto"/>
          </w:tcPr>
          <w:p w:rsidR="00DE0ABE" w:rsidRPr="00A60775" w:rsidRDefault="00DE0ABE" w:rsidP="00D804F4">
            <w:pPr>
              <w:tabs>
                <w:tab w:val="decimal" w:pos="888"/>
              </w:tabs>
              <w:rPr>
                <w:sz w:val="22"/>
                <w:highlight w:val="cyan"/>
              </w:rPr>
            </w:pPr>
          </w:p>
        </w:tc>
        <w:tc>
          <w:tcPr>
            <w:tcW w:w="1417" w:type="dxa"/>
          </w:tcPr>
          <w:p w:rsidR="00DE0ABE" w:rsidRPr="00A60775" w:rsidRDefault="00DE0ABE" w:rsidP="00D804F4">
            <w:pPr>
              <w:tabs>
                <w:tab w:val="decimal" w:pos="888"/>
              </w:tabs>
              <w:rPr>
                <w:sz w:val="22"/>
                <w:highlight w:val="cyan"/>
              </w:rPr>
            </w:pPr>
          </w:p>
        </w:tc>
      </w:tr>
      <w:tr w:rsidR="008E77CF" w:rsidRPr="00A60775" w:rsidTr="008632F4">
        <w:trPr>
          <w:trHeight w:val="289"/>
        </w:trPr>
        <w:tc>
          <w:tcPr>
            <w:tcW w:w="4111" w:type="dxa"/>
          </w:tcPr>
          <w:p w:rsidR="008E77CF" w:rsidRPr="00A86489" w:rsidRDefault="008E77CF" w:rsidP="00CD62E6">
            <w:pPr>
              <w:jc w:val="both"/>
              <w:rPr>
                <w:sz w:val="22"/>
              </w:rPr>
            </w:pPr>
            <w:r w:rsidRPr="00A86489">
              <w:rPr>
                <w:sz w:val="22"/>
              </w:rPr>
              <w:t>Opening balance at 1 April</w:t>
            </w:r>
          </w:p>
        </w:tc>
        <w:tc>
          <w:tcPr>
            <w:tcW w:w="1275" w:type="dxa"/>
          </w:tcPr>
          <w:p w:rsidR="008E77CF" w:rsidRPr="002C2F1F" w:rsidRDefault="00B63CF1" w:rsidP="00B63CF1">
            <w:pPr>
              <w:tabs>
                <w:tab w:val="decimal" w:pos="888"/>
              </w:tabs>
              <w:rPr>
                <w:sz w:val="22"/>
              </w:rPr>
            </w:pPr>
            <w:r>
              <w:rPr>
                <w:sz w:val="22"/>
              </w:rPr>
              <w:t>59</w:t>
            </w:r>
            <w:r w:rsidR="008E77CF">
              <w:rPr>
                <w:sz w:val="22"/>
              </w:rPr>
              <w:t>,</w:t>
            </w:r>
            <w:r>
              <w:rPr>
                <w:sz w:val="22"/>
              </w:rPr>
              <w:t>792</w:t>
            </w:r>
          </w:p>
        </w:tc>
        <w:tc>
          <w:tcPr>
            <w:tcW w:w="1418" w:type="dxa"/>
          </w:tcPr>
          <w:p w:rsidR="008E77CF" w:rsidRPr="002C2F1F" w:rsidRDefault="00B63CF1" w:rsidP="00B63CF1">
            <w:pPr>
              <w:tabs>
                <w:tab w:val="decimal" w:pos="888"/>
              </w:tabs>
              <w:rPr>
                <w:sz w:val="22"/>
              </w:rPr>
            </w:pPr>
            <w:r>
              <w:rPr>
                <w:sz w:val="22"/>
              </w:rPr>
              <w:t>50</w:t>
            </w:r>
            <w:r w:rsidR="008E77CF">
              <w:rPr>
                <w:sz w:val="22"/>
              </w:rPr>
              <w:t>,</w:t>
            </w:r>
            <w:r>
              <w:rPr>
                <w:sz w:val="22"/>
              </w:rPr>
              <w:t>114</w:t>
            </w:r>
          </w:p>
        </w:tc>
        <w:tc>
          <w:tcPr>
            <w:tcW w:w="1276" w:type="dxa"/>
            <w:shd w:val="clear" w:color="auto" w:fill="auto"/>
          </w:tcPr>
          <w:p w:rsidR="008E77CF" w:rsidRPr="00A86489" w:rsidRDefault="008E77CF" w:rsidP="00D804F4">
            <w:pPr>
              <w:tabs>
                <w:tab w:val="decimal" w:pos="888"/>
              </w:tabs>
              <w:rPr>
                <w:sz w:val="22"/>
              </w:rPr>
            </w:pPr>
            <w:r>
              <w:rPr>
                <w:sz w:val="22"/>
              </w:rPr>
              <w:t>-</w:t>
            </w:r>
          </w:p>
        </w:tc>
        <w:tc>
          <w:tcPr>
            <w:tcW w:w="1417" w:type="dxa"/>
          </w:tcPr>
          <w:p w:rsidR="008E77CF" w:rsidRPr="00A86489" w:rsidRDefault="008E77CF" w:rsidP="00D804F4">
            <w:pPr>
              <w:tabs>
                <w:tab w:val="decimal" w:pos="888"/>
              </w:tabs>
              <w:rPr>
                <w:sz w:val="22"/>
              </w:rPr>
            </w:pPr>
            <w:r w:rsidRPr="00A86489">
              <w:rPr>
                <w:sz w:val="22"/>
              </w:rPr>
              <w:t>-</w:t>
            </w:r>
          </w:p>
        </w:tc>
      </w:tr>
      <w:tr w:rsidR="008E77CF" w:rsidRPr="00A60775" w:rsidTr="008632F4">
        <w:tc>
          <w:tcPr>
            <w:tcW w:w="4111" w:type="dxa"/>
          </w:tcPr>
          <w:p w:rsidR="008E77CF" w:rsidRPr="00A86489" w:rsidRDefault="008E77CF" w:rsidP="00CD62E6">
            <w:pPr>
              <w:jc w:val="both"/>
              <w:rPr>
                <w:sz w:val="22"/>
              </w:rPr>
            </w:pPr>
            <w:r>
              <w:rPr>
                <w:sz w:val="22"/>
              </w:rPr>
              <w:t>Interest on scheme assets</w:t>
            </w:r>
          </w:p>
        </w:tc>
        <w:tc>
          <w:tcPr>
            <w:tcW w:w="1275" w:type="dxa"/>
          </w:tcPr>
          <w:p w:rsidR="008E77CF" w:rsidRPr="002C2F1F" w:rsidRDefault="00E34B83" w:rsidP="00B63CF1">
            <w:pPr>
              <w:tabs>
                <w:tab w:val="decimal" w:pos="888"/>
              </w:tabs>
              <w:rPr>
                <w:sz w:val="22"/>
              </w:rPr>
            </w:pPr>
            <w:r>
              <w:rPr>
                <w:sz w:val="22"/>
              </w:rPr>
              <w:t>1,</w:t>
            </w:r>
            <w:r w:rsidR="00B63CF1">
              <w:rPr>
                <w:sz w:val="22"/>
              </w:rPr>
              <w:t>515</w:t>
            </w:r>
          </w:p>
        </w:tc>
        <w:tc>
          <w:tcPr>
            <w:tcW w:w="1418" w:type="dxa"/>
          </w:tcPr>
          <w:p w:rsidR="008E77CF" w:rsidRPr="002C2F1F" w:rsidRDefault="008E77CF" w:rsidP="00B63CF1">
            <w:pPr>
              <w:tabs>
                <w:tab w:val="decimal" w:pos="888"/>
              </w:tabs>
              <w:rPr>
                <w:sz w:val="22"/>
              </w:rPr>
            </w:pPr>
            <w:r>
              <w:rPr>
                <w:sz w:val="22"/>
              </w:rPr>
              <w:t>1,</w:t>
            </w:r>
            <w:r w:rsidR="00B63CF1">
              <w:rPr>
                <w:sz w:val="22"/>
              </w:rPr>
              <w:t>813</w:t>
            </w:r>
          </w:p>
        </w:tc>
        <w:tc>
          <w:tcPr>
            <w:tcW w:w="1276" w:type="dxa"/>
            <w:shd w:val="clear" w:color="auto" w:fill="auto"/>
          </w:tcPr>
          <w:p w:rsidR="008E77CF" w:rsidRPr="00A86489" w:rsidRDefault="008E77CF" w:rsidP="00D804F4">
            <w:pPr>
              <w:tabs>
                <w:tab w:val="decimal" w:pos="888"/>
              </w:tabs>
              <w:rPr>
                <w:sz w:val="22"/>
              </w:rPr>
            </w:pPr>
            <w:r>
              <w:rPr>
                <w:sz w:val="22"/>
              </w:rPr>
              <w:t>-</w:t>
            </w:r>
          </w:p>
        </w:tc>
        <w:tc>
          <w:tcPr>
            <w:tcW w:w="1417" w:type="dxa"/>
          </w:tcPr>
          <w:p w:rsidR="008E77CF" w:rsidRPr="00A86489" w:rsidRDefault="008E77CF" w:rsidP="00D804F4">
            <w:pPr>
              <w:tabs>
                <w:tab w:val="decimal" w:pos="888"/>
              </w:tabs>
              <w:rPr>
                <w:sz w:val="22"/>
              </w:rPr>
            </w:pPr>
            <w:r w:rsidRPr="00A86489">
              <w:rPr>
                <w:sz w:val="22"/>
              </w:rPr>
              <w:t>-</w:t>
            </w:r>
          </w:p>
        </w:tc>
      </w:tr>
      <w:tr w:rsidR="008E77CF" w:rsidRPr="00A60775" w:rsidTr="008632F4">
        <w:tc>
          <w:tcPr>
            <w:tcW w:w="4111" w:type="dxa"/>
          </w:tcPr>
          <w:p w:rsidR="008E77CF" w:rsidRPr="00A86489" w:rsidRDefault="008E77CF" w:rsidP="00CD62E6">
            <w:pPr>
              <w:jc w:val="both"/>
              <w:rPr>
                <w:sz w:val="22"/>
              </w:rPr>
            </w:pPr>
            <w:proofErr w:type="spellStart"/>
            <w:r>
              <w:rPr>
                <w:sz w:val="22"/>
              </w:rPr>
              <w:t>Remeasurements</w:t>
            </w:r>
            <w:proofErr w:type="spellEnd"/>
            <w:r w:rsidRPr="00A86489">
              <w:rPr>
                <w:sz w:val="22"/>
              </w:rPr>
              <w:t xml:space="preserve"> (</w:t>
            </w:r>
            <w:r>
              <w:rPr>
                <w:sz w:val="22"/>
              </w:rPr>
              <w:t>assets</w:t>
            </w:r>
            <w:r w:rsidRPr="00A86489">
              <w:rPr>
                <w:sz w:val="22"/>
              </w:rPr>
              <w:t>)</w:t>
            </w:r>
          </w:p>
        </w:tc>
        <w:tc>
          <w:tcPr>
            <w:tcW w:w="1275" w:type="dxa"/>
          </w:tcPr>
          <w:p w:rsidR="008E77CF" w:rsidRPr="002C2F1F" w:rsidRDefault="00B63CF1" w:rsidP="00CD62E6">
            <w:pPr>
              <w:tabs>
                <w:tab w:val="decimal" w:pos="888"/>
              </w:tabs>
              <w:rPr>
                <w:sz w:val="22"/>
              </w:rPr>
            </w:pPr>
            <w:r>
              <w:rPr>
                <w:sz w:val="22"/>
              </w:rPr>
              <w:t>641</w:t>
            </w:r>
          </w:p>
        </w:tc>
        <w:tc>
          <w:tcPr>
            <w:tcW w:w="1418" w:type="dxa"/>
          </w:tcPr>
          <w:p w:rsidR="008E77CF" w:rsidRPr="002C2F1F" w:rsidRDefault="00B63CF1" w:rsidP="005274B5">
            <w:pPr>
              <w:tabs>
                <w:tab w:val="decimal" w:pos="888"/>
              </w:tabs>
              <w:rPr>
                <w:sz w:val="22"/>
              </w:rPr>
            </w:pPr>
            <w:r>
              <w:rPr>
                <w:sz w:val="22"/>
              </w:rPr>
              <w:t>7,360</w:t>
            </w:r>
          </w:p>
        </w:tc>
        <w:tc>
          <w:tcPr>
            <w:tcW w:w="1276" w:type="dxa"/>
            <w:shd w:val="clear" w:color="auto" w:fill="auto"/>
          </w:tcPr>
          <w:p w:rsidR="008E77CF" w:rsidRPr="00A86489" w:rsidRDefault="008E77CF" w:rsidP="00D804F4">
            <w:pPr>
              <w:tabs>
                <w:tab w:val="decimal" w:pos="888"/>
              </w:tabs>
              <w:rPr>
                <w:sz w:val="22"/>
              </w:rPr>
            </w:pPr>
            <w:r>
              <w:rPr>
                <w:sz w:val="22"/>
              </w:rPr>
              <w:t>-</w:t>
            </w:r>
          </w:p>
        </w:tc>
        <w:tc>
          <w:tcPr>
            <w:tcW w:w="1417" w:type="dxa"/>
          </w:tcPr>
          <w:p w:rsidR="008E77CF" w:rsidRPr="00A86489" w:rsidRDefault="008E77CF" w:rsidP="00D804F4">
            <w:pPr>
              <w:tabs>
                <w:tab w:val="decimal" w:pos="888"/>
              </w:tabs>
              <w:rPr>
                <w:sz w:val="22"/>
              </w:rPr>
            </w:pPr>
            <w:r w:rsidRPr="00A86489">
              <w:rPr>
                <w:sz w:val="22"/>
              </w:rPr>
              <w:t>-</w:t>
            </w:r>
          </w:p>
        </w:tc>
      </w:tr>
      <w:tr w:rsidR="008E77CF" w:rsidRPr="00A60775" w:rsidTr="008632F4">
        <w:tc>
          <w:tcPr>
            <w:tcW w:w="4111" w:type="dxa"/>
          </w:tcPr>
          <w:p w:rsidR="008E77CF" w:rsidRPr="00A86489" w:rsidRDefault="008E77CF" w:rsidP="00CD62E6">
            <w:pPr>
              <w:jc w:val="both"/>
              <w:rPr>
                <w:sz w:val="22"/>
              </w:rPr>
            </w:pPr>
            <w:r>
              <w:rPr>
                <w:sz w:val="22"/>
              </w:rPr>
              <w:t>Administrative expenses</w:t>
            </w:r>
          </w:p>
        </w:tc>
        <w:tc>
          <w:tcPr>
            <w:tcW w:w="1275" w:type="dxa"/>
          </w:tcPr>
          <w:p w:rsidR="008E77CF" w:rsidRPr="002C2F1F" w:rsidRDefault="00E34B83" w:rsidP="002C2F1F">
            <w:pPr>
              <w:tabs>
                <w:tab w:val="decimal" w:pos="888"/>
              </w:tabs>
              <w:rPr>
                <w:sz w:val="22"/>
              </w:rPr>
            </w:pPr>
            <w:r>
              <w:rPr>
                <w:sz w:val="22"/>
              </w:rPr>
              <w:t>(24)</w:t>
            </w:r>
          </w:p>
        </w:tc>
        <w:tc>
          <w:tcPr>
            <w:tcW w:w="1418" w:type="dxa"/>
          </w:tcPr>
          <w:p w:rsidR="008E77CF" w:rsidRPr="002C2F1F" w:rsidRDefault="008E77CF" w:rsidP="005274B5">
            <w:pPr>
              <w:tabs>
                <w:tab w:val="decimal" w:pos="888"/>
              </w:tabs>
              <w:rPr>
                <w:sz w:val="22"/>
              </w:rPr>
            </w:pPr>
            <w:r>
              <w:rPr>
                <w:sz w:val="22"/>
              </w:rPr>
              <w:t>(22)</w:t>
            </w:r>
          </w:p>
        </w:tc>
        <w:tc>
          <w:tcPr>
            <w:tcW w:w="1276" w:type="dxa"/>
            <w:shd w:val="clear" w:color="auto" w:fill="auto"/>
          </w:tcPr>
          <w:p w:rsidR="008E77CF" w:rsidRPr="00A86489" w:rsidRDefault="008E77CF" w:rsidP="0065180D">
            <w:pPr>
              <w:tabs>
                <w:tab w:val="decimal" w:pos="888"/>
              </w:tabs>
              <w:rPr>
                <w:sz w:val="22"/>
              </w:rPr>
            </w:pPr>
            <w:r>
              <w:rPr>
                <w:sz w:val="22"/>
              </w:rPr>
              <w:t>-</w:t>
            </w:r>
          </w:p>
        </w:tc>
        <w:tc>
          <w:tcPr>
            <w:tcW w:w="1417" w:type="dxa"/>
          </w:tcPr>
          <w:p w:rsidR="008E77CF" w:rsidRPr="00A86489" w:rsidRDefault="008E77CF" w:rsidP="0065180D">
            <w:pPr>
              <w:tabs>
                <w:tab w:val="decimal" w:pos="888"/>
              </w:tabs>
              <w:rPr>
                <w:sz w:val="22"/>
              </w:rPr>
            </w:pPr>
            <w:r w:rsidRPr="00A86489">
              <w:rPr>
                <w:sz w:val="22"/>
              </w:rPr>
              <w:t>-</w:t>
            </w:r>
          </w:p>
        </w:tc>
      </w:tr>
      <w:tr w:rsidR="008E77CF" w:rsidRPr="00A60775" w:rsidTr="008632F4">
        <w:tc>
          <w:tcPr>
            <w:tcW w:w="4111" w:type="dxa"/>
          </w:tcPr>
          <w:p w:rsidR="008E77CF" w:rsidRPr="00A86489" w:rsidRDefault="008E77CF" w:rsidP="00CD62E6">
            <w:pPr>
              <w:jc w:val="both"/>
              <w:rPr>
                <w:sz w:val="22"/>
              </w:rPr>
            </w:pPr>
            <w:r w:rsidRPr="00A86489">
              <w:rPr>
                <w:sz w:val="22"/>
              </w:rPr>
              <w:t>Employer contributions</w:t>
            </w:r>
          </w:p>
        </w:tc>
        <w:tc>
          <w:tcPr>
            <w:tcW w:w="1275" w:type="dxa"/>
          </w:tcPr>
          <w:p w:rsidR="008E77CF" w:rsidRPr="002C2F1F" w:rsidRDefault="00B63CF1" w:rsidP="00CD62E6">
            <w:pPr>
              <w:tabs>
                <w:tab w:val="decimal" w:pos="888"/>
              </w:tabs>
              <w:rPr>
                <w:sz w:val="22"/>
              </w:rPr>
            </w:pPr>
            <w:r>
              <w:rPr>
                <w:sz w:val="22"/>
              </w:rPr>
              <w:t>1,075</w:t>
            </w:r>
          </w:p>
        </w:tc>
        <w:tc>
          <w:tcPr>
            <w:tcW w:w="1418" w:type="dxa"/>
          </w:tcPr>
          <w:p w:rsidR="008E77CF" w:rsidRPr="002C2F1F" w:rsidRDefault="00B63CF1" w:rsidP="005274B5">
            <w:pPr>
              <w:tabs>
                <w:tab w:val="decimal" w:pos="888"/>
              </w:tabs>
              <w:rPr>
                <w:sz w:val="22"/>
              </w:rPr>
            </w:pPr>
            <w:r>
              <w:rPr>
                <w:sz w:val="22"/>
              </w:rPr>
              <w:t>1,143</w:t>
            </w:r>
          </w:p>
        </w:tc>
        <w:tc>
          <w:tcPr>
            <w:tcW w:w="1276" w:type="dxa"/>
            <w:shd w:val="clear" w:color="auto" w:fill="auto"/>
          </w:tcPr>
          <w:p w:rsidR="008E77CF" w:rsidRPr="002C2F1F" w:rsidRDefault="00E34B83" w:rsidP="0009348D">
            <w:pPr>
              <w:tabs>
                <w:tab w:val="decimal" w:pos="888"/>
              </w:tabs>
              <w:rPr>
                <w:sz w:val="22"/>
              </w:rPr>
            </w:pPr>
            <w:r>
              <w:rPr>
                <w:sz w:val="22"/>
              </w:rPr>
              <w:t>19,940</w:t>
            </w:r>
          </w:p>
        </w:tc>
        <w:tc>
          <w:tcPr>
            <w:tcW w:w="1417" w:type="dxa"/>
          </w:tcPr>
          <w:p w:rsidR="008E77CF" w:rsidRPr="002C2F1F" w:rsidRDefault="008E77CF" w:rsidP="005274B5">
            <w:pPr>
              <w:tabs>
                <w:tab w:val="decimal" w:pos="888"/>
              </w:tabs>
              <w:rPr>
                <w:sz w:val="22"/>
              </w:rPr>
            </w:pPr>
            <w:r>
              <w:rPr>
                <w:sz w:val="22"/>
              </w:rPr>
              <w:t>21,430</w:t>
            </w:r>
          </w:p>
        </w:tc>
      </w:tr>
      <w:tr w:rsidR="008E77CF" w:rsidRPr="00A60775" w:rsidTr="008632F4">
        <w:tc>
          <w:tcPr>
            <w:tcW w:w="4111" w:type="dxa"/>
          </w:tcPr>
          <w:p w:rsidR="008E77CF" w:rsidRPr="00A86489" w:rsidRDefault="008E77CF" w:rsidP="00CD62E6">
            <w:pPr>
              <w:jc w:val="both"/>
              <w:rPr>
                <w:sz w:val="22"/>
              </w:rPr>
            </w:pPr>
            <w:r w:rsidRPr="00A86489">
              <w:rPr>
                <w:sz w:val="22"/>
              </w:rPr>
              <w:t>Contributions by scheme participants</w:t>
            </w:r>
          </w:p>
        </w:tc>
        <w:tc>
          <w:tcPr>
            <w:tcW w:w="1275" w:type="dxa"/>
          </w:tcPr>
          <w:p w:rsidR="008E77CF" w:rsidRPr="002C2F1F" w:rsidRDefault="00B63CF1" w:rsidP="00CD62E6">
            <w:pPr>
              <w:tabs>
                <w:tab w:val="decimal" w:pos="888"/>
              </w:tabs>
              <w:rPr>
                <w:sz w:val="22"/>
              </w:rPr>
            </w:pPr>
            <w:r>
              <w:rPr>
                <w:sz w:val="22"/>
              </w:rPr>
              <w:t>478</w:t>
            </w:r>
          </w:p>
        </w:tc>
        <w:tc>
          <w:tcPr>
            <w:tcW w:w="1418" w:type="dxa"/>
          </w:tcPr>
          <w:p w:rsidR="008E77CF" w:rsidRPr="002C2F1F" w:rsidRDefault="00B63CF1" w:rsidP="005274B5">
            <w:pPr>
              <w:tabs>
                <w:tab w:val="decimal" w:pos="888"/>
              </w:tabs>
              <w:rPr>
                <w:sz w:val="22"/>
              </w:rPr>
            </w:pPr>
            <w:r>
              <w:rPr>
                <w:sz w:val="22"/>
              </w:rPr>
              <w:t>416</w:t>
            </w:r>
          </w:p>
        </w:tc>
        <w:tc>
          <w:tcPr>
            <w:tcW w:w="1276" w:type="dxa"/>
            <w:shd w:val="clear" w:color="auto" w:fill="auto"/>
          </w:tcPr>
          <w:p w:rsidR="008E77CF" w:rsidRPr="002C2F1F" w:rsidRDefault="00E34B83" w:rsidP="002C2F1F">
            <w:pPr>
              <w:tabs>
                <w:tab w:val="decimal" w:pos="888"/>
              </w:tabs>
              <w:rPr>
                <w:sz w:val="22"/>
              </w:rPr>
            </w:pPr>
            <w:r>
              <w:rPr>
                <w:sz w:val="22"/>
              </w:rPr>
              <w:t>2,964</w:t>
            </w:r>
          </w:p>
        </w:tc>
        <w:tc>
          <w:tcPr>
            <w:tcW w:w="1417" w:type="dxa"/>
          </w:tcPr>
          <w:p w:rsidR="008E77CF" w:rsidRPr="002C2F1F" w:rsidRDefault="008E77CF" w:rsidP="005274B5">
            <w:pPr>
              <w:tabs>
                <w:tab w:val="decimal" w:pos="888"/>
              </w:tabs>
              <w:rPr>
                <w:sz w:val="22"/>
              </w:rPr>
            </w:pPr>
            <w:r>
              <w:rPr>
                <w:sz w:val="22"/>
              </w:rPr>
              <w:t>2,880</w:t>
            </w:r>
          </w:p>
        </w:tc>
      </w:tr>
      <w:tr w:rsidR="008E77CF" w:rsidRPr="00A60775" w:rsidTr="008632F4">
        <w:tc>
          <w:tcPr>
            <w:tcW w:w="4111" w:type="dxa"/>
          </w:tcPr>
          <w:p w:rsidR="008E77CF" w:rsidRPr="00A86489" w:rsidRDefault="008E77CF" w:rsidP="00CD62E6">
            <w:pPr>
              <w:jc w:val="both"/>
              <w:rPr>
                <w:sz w:val="22"/>
              </w:rPr>
            </w:pPr>
            <w:r w:rsidRPr="00A86489">
              <w:rPr>
                <w:sz w:val="22"/>
              </w:rPr>
              <w:t>Benefits paid</w:t>
            </w:r>
          </w:p>
        </w:tc>
        <w:tc>
          <w:tcPr>
            <w:tcW w:w="1275" w:type="dxa"/>
          </w:tcPr>
          <w:p w:rsidR="008E77CF" w:rsidRPr="002C2F1F" w:rsidRDefault="00E34B83" w:rsidP="00B63CF1">
            <w:pPr>
              <w:tabs>
                <w:tab w:val="decimal" w:pos="888"/>
              </w:tabs>
              <w:rPr>
                <w:sz w:val="22"/>
              </w:rPr>
            </w:pPr>
            <w:r>
              <w:rPr>
                <w:sz w:val="22"/>
              </w:rPr>
              <w:t>(1,</w:t>
            </w:r>
            <w:r w:rsidR="00B63CF1">
              <w:rPr>
                <w:sz w:val="22"/>
              </w:rPr>
              <w:t>191</w:t>
            </w:r>
            <w:r>
              <w:rPr>
                <w:sz w:val="22"/>
              </w:rPr>
              <w:t>)</w:t>
            </w:r>
          </w:p>
        </w:tc>
        <w:tc>
          <w:tcPr>
            <w:tcW w:w="1418" w:type="dxa"/>
          </w:tcPr>
          <w:p w:rsidR="008E77CF" w:rsidRPr="002C2F1F" w:rsidRDefault="008E77CF" w:rsidP="00B63CF1">
            <w:pPr>
              <w:tabs>
                <w:tab w:val="decimal" w:pos="888"/>
              </w:tabs>
              <w:rPr>
                <w:sz w:val="22"/>
              </w:rPr>
            </w:pPr>
            <w:r>
              <w:rPr>
                <w:sz w:val="22"/>
              </w:rPr>
              <w:t>(1,</w:t>
            </w:r>
            <w:r w:rsidR="00B63CF1">
              <w:rPr>
                <w:sz w:val="22"/>
              </w:rPr>
              <w:t>032</w:t>
            </w:r>
            <w:r>
              <w:rPr>
                <w:sz w:val="22"/>
              </w:rPr>
              <w:t>)</w:t>
            </w:r>
          </w:p>
        </w:tc>
        <w:tc>
          <w:tcPr>
            <w:tcW w:w="1276" w:type="dxa"/>
            <w:shd w:val="clear" w:color="auto" w:fill="auto"/>
          </w:tcPr>
          <w:p w:rsidR="008E77CF" w:rsidRPr="002C2F1F" w:rsidRDefault="00E34B83" w:rsidP="002C2F1F">
            <w:pPr>
              <w:tabs>
                <w:tab w:val="decimal" w:pos="888"/>
              </w:tabs>
              <w:rPr>
                <w:sz w:val="22"/>
              </w:rPr>
            </w:pPr>
            <w:r>
              <w:rPr>
                <w:sz w:val="22"/>
              </w:rPr>
              <w:t>(22,904)</w:t>
            </w:r>
          </w:p>
        </w:tc>
        <w:tc>
          <w:tcPr>
            <w:tcW w:w="1417" w:type="dxa"/>
          </w:tcPr>
          <w:p w:rsidR="008E77CF" w:rsidRPr="002C2F1F" w:rsidRDefault="008E77CF" w:rsidP="005274B5">
            <w:pPr>
              <w:tabs>
                <w:tab w:val="decimal" w:pos="888"/>
              </w:tabs>
              <w:rPr>
                <w:sz w:val="22"/>
              </w:rPr>
            </w:pPr>
            <w:r>
              <w:rPr>
                <w:sz w:val="22"/>
              </w:rPr>
              <w:t>(24,310)</w:t>
            </w:r>
          </w:p>
        </w:tc>
      </w:tr>
      <w:tr w:rsidR="008E77CF" w:rsidRPr="00A60775" w:rsidTr="008632F4">
        <w:tc>
          <w:tcPr>
            <w:tcW w:w="4111" w:type="dxa"/>
          </w:tcPr>
          <w:p w:rsidR="008E77CF" w:rsidRPr="00A86489" w:rsidRDefault="008E77CF" w:rsidP="00CD62E6">
            <w:pPr>
              <w:jc w:val="both"/>
              <w:rPr>
                <w:sz w:val="22"/>
              </w:rPr>
            </w:pPr>
            <w:r w:rsidRPr="00A86489">
              <w:rPr>
                <w:sz w:val="22"/>
              </w:rPr>
              <w:t>Closing balance at 31 March</w:t>
            </w:r>
          </w:p>
        </w:tc>
        <w:tc>
          <w:tcPr>
            <w:tcW w:w="1275" w:type="dxa"/>
          </w:tcPr>
          <w:p w:rsidR="008E77CF" w:rsidRPr="002C2F1F" w:rsidRDefault="00B63CF1" w:rsidP="00B63CF1">
            <w:pPr>
              <w:tabs>
                <w:tab w:val="decimal" w:pos="888"/>
              </w:tabs>
              <w:rPr>
                <w:sz w:val="22"/>
              </w:rPr>
            </w:pPr>
            <w:r>
              <w:rPr>
                <w:sz w:val="22"/>
              </w:rPr>
              <w:t>62</w:t>
            </w:r>
            <w:r w:rsidR="00E34B83">
              <w:rPr>
                <w:sz w:val="22"/>
              </w:rPr>
              <w:t>,</w:t>
            </w:r>
            <w:r>
              <w:rPr>
                <w:sz w:val="22"/>
              </w:rPr>
              <w:t>286</w:t>
            </w:r>
          </w:p>
        </w:tc>
        <w:tc>
          <w:tcPr>
            <w:tcW w:w="1418" w:type="dxa"/>
          </w:tcPr>
          <w:p w:rsidR="008E77CF" w:rsidRPr="002C2F1F" w:rsidRDefault="00B63CF1" w:rsidP="00B63CF1">
            <w:pPr>
              <w:tabs>
                <w:tab w:val="decimal" w:pos="888"/>
              </w:tabs>
              <w:rPr>
                <w:sz w:val="22"/>
              </w:rPr>
            </w:pPr>
            <w:r>
              <w:rPr>
                <w:sz w:val="22"/>
              </w:rPr>
              <w:t>59</w:t>
            </w:r>
            <w:r w:rsidR="008E77CF">
              <w:rPr>
                <w:sz w:val="22"/>
              </w:rPr>
              <w:t>,</w:t>
            </w:r>
            <w:r>
              <w:rPr>
                <w:sz w:val="22"/>
              </w:rPr>
              <w:t>792</w:t>
            </w:r>
          </w:p>
        </w:tc>
        <w:tc>
          <w:tcPr>
            <w:tcW w:w="1276" w:type="dxa"/>
            <w:shd w:val="clear" w:color="auto" w:fill="auto"/>
          </w:tcPr>
          <w:p w:rsidR="008E77CF" w:rsidRPr="00A86489" w:rsidRDefault="008E77CF" w:rsidP="00CD62E6">
            <w:pPr>
              <w:tabs>
                <w:tab w:val="decimal" w:pos="888"/>
              </w:tabs>
              <w:rPr>
                <w:sz w:val="22"/>
              </w:rPr>
            </w:pPr>
            <w:r>
              <w:rPr>
                <w:sz w:val="22"/>
              </w:rPr>
              <w:t>-</w:t>
            </w:r>
          </w:p>
        </w:tc>
        <w:tc>
          <w:tcPr>
            <w:tcW w:w="1417" w:type="dxa"/>
          </w:tcPr>
          <w:p w:rsidR="008E77CF" w:rsidRPr="00A86489" w:rsidRDefault="008E77CF" w:rsidP="00D804F4">
            <w:pPr>
              <w:tabs>
                <w:tab w:val="decimal" w:pos="888"/>
              </w:tabs>
              <w:rPr>
                <w:sz w:val="22"/>
              </w:rPr>
            </w:pPr>
            <w:r>
              <w:rPr>
                <w:sz w:val="22"/>
              </w:rPr>
              <w:t>-</w:t>
            </w:r>
          </w:p>
        </w:tc>
      </w:tr>
    </w:tbl>
    <w:p w:rsidR="00D90216" w:rsidRPr="00A86489" w:rsidRDefault="00D90216" w:rsidP="00D90216">
      <w:pPr>
        <w:ind w:left="709"/>
        <w:jc w:val="both"/>
        <w:rPr>
          <w:sz w:val="22"/>
        </w:rPr>
      </w:pPr>
    </w:p>
    <w:p w:rsidR="00D90216" w:rsidRPr="00A60775" w:rsidRDefault="00D90216" w:rsidP="00F24C65">
      <w:pPr>
        <w:ind w:left="709"/>
        <w:jc w:val="both"/>
        <w:rPr>
          <w:sz w:val="22"/>
          <w:highlight w:val="cyan"/>
        </w:rPr>
      </w:pPr>
      <w:r w:rsidRPr="00A86489">
        <w:rPr>
          <w:sz w:val="22"/>
        </w:rPr>
        <w:t>The expected return on scheme assets is determined by considering the expected returns available on the assets underlying the current investment policy.  Expected yields on fixed interest investments are based on gross redemption yields at the Balance Sheet date.  Expected returns on equity investments reflect long term rates of return experienced in the respective markets.</w:t>
      </w:r>
    </w:p>
    <w:p w:rsidR="00D90216" w:rsidRPr="00B80033" w:rsidRDefault="00D90216" w:rsidP="00D90216">
      <w:pPr>
        <w:ind w:left="709"/>
        <w:jc w:val="both"/>
        <w:rPr>
          <w:sz w:val="22"/>
        </w:rPr>
      </w:pPr>
    </w:p>
    <w:p w:rsidR="00D90216" w:rsidRPr="00A86489" w:rsidRDefault="00D90216" w:rsidP="00D90216">
      <w:pPr>
        <w:ind w:left="709"/>
        <w:jc w:val="both"/>
        <w:rPr>
          <w:sz w:val="22"/>
        </w:rPr>
      </w:pPr>
      <w:r w:rsidRPr="00B80033">
        <w:rPr>
          <w:sz w:val="22"/>
        </w:rPr>
        <w:t xml:space="preserve">The actual return on scheme assets in the year </w:t>
      </w:r>
      <w:r w:rsidRPr="00AE4339">
        <w:rPr>
          <w:sz w:val="22"/>
        </w:rPr>
        <w:t xml:space="preserve">was </w:t>
      </w:r>
      <w:r w:rsidR="00C91669" w:rsidRPr="003878DB">
        <w:rPr>
          <w:sz w:val="22"/>
        </w:rPr>
        <w:t>a gain</w:t>
      </w:r>
      <w:r w:rsidR="006D7616" w:rsidRPr="003878DB">
        <w:rPr>
          <w:sz w:val="22"/>
        </w:rPr>
        <w:t xml:space="preserve"> of £</w:t>
      </w:r>
      <w:r w:rsidR="003878DB" w:rsidRPr="003878DB">
        <w:rPr>
          <w:sz w:val="22"/>
        </w:rPr>
        <w:t>1.869</w:t>
      </w:r>
      <w:r w:rsidR="0065180D" w:rsidRPr="003878DB">
        <w:rPr>
          <w:sz w:val="22"/>
        </w:rPr>
        <w:t>m</w:t>
      </w:r>
      <w:r w:rsidRPr="00227DEB">
        <w:rPr>
          <w:sz w:val="22"/>
        </w:rPr>
        <w:t xml:space="preserve"> </w:t>
      </w:r>
      <w:r w:rsidR="002A3016" w:rsidRPr="00227DEB">
        <w:rPr>
          <w:sz w:val="22"/>
        </w:rPr>
        <w:t>(20</w:t>
      </w:r>
      <w:r w:rsidRPr="00227DEB">
        <w:rPr>
          <w:sz w:val="22"/>
        </w:rPr>
        <w:t>1</w:t>
      </w:r>
      <w:r w:rsidR="008E77CF">
        <w:rPr>
          <w:sz w:val="22"/>
        </w:rPr>
        <w:t>6</w:t>
      </w:r>
      <w:r w:rsidR="00846651">
        <w:rPr>
          <w:sz w:val="22"/>
        </w:rPr>
        <w:t>/1</w:t>
      </w:r>
      <w:r w:rsidR="008E77CF">
        <w:rPr>
          <w:sz w:val="22"/>
        </w:rPr>
        <w:t>7</w:t>
      </w:r>
      <w:r w:rsidR="00FF0080">
        <w:rPr>
          <w:sz w:val="22"/>
        </w:rPr>
        <w:t>:</w:t>
      </w:r>
      <w:r w:rsidRPr="000E2F44">
        <w:rPr>
          <w:sz w:val="22"/>
        </w:rPr>
        <w:t xml:space="preserve"> gain of </w:t>
      </w:r>
      <w:r w:rsidR="00AA6508" w:rsidRPr="000E2F44">
        <w:rPr>
          <w:sz w:val="22"/>
        </w:rPr>
        <w:t>£</w:t>
      </w:r>
      <w:r w:rsidR="008E77CF">
        <w:rPr>
          <w:sz w:val="22"/>
        </w:rPr>
        <w:t>8</w:t>
      </w:r>
      <w:r w:rsidR="00846651">
        <w:rPr>
          <w:sz w:val="22"/>
        </w:rPr>
        <w:t>.</w:t>
      </w:r>
      <w:r w:rsidR="008E77CF">
        <w:rPr>
          <w:sz w:val="22"/>
        </w:rPr>
        <w:t>558</w:t>
      </w:r>
      <w:r w:rsidR="00AA6508" w:rsidRPr="000E2F44">
        <w:rPr>
          <w:sz w:val="22"/>
        </w:rPr>
        <w:t>m</w:t>
      </w:r>
      <w:r w:rsidRPr="000E2F44">
        <w:rPr>
          <w:sz w:val="22"/>
        </w:rPr>
        <w:t>).</w:t>
      </w:r>
      <w:r w:rsidR="00017ADA" w:rsidRPr="000E2F44">
        <w:rPr>
          <w:sz w:val="22"/>
        </w:rPr>
        <w:t xml:space="preserve">  The cumulative amount of actuarial gains and losses recognised in the Comprehensive Income and Expenditure Statement to 31 March 201</w:t>
      </w:r>
      <w:r w:rsidR="008E77CF">
        <w:rPr>
          <w:sz w:val="22"/>
        </w:rPr>
        <w:t>8</w:t>
      </w:r>
      <w:r w:rsidR="00017ADA" w:rsidRPr="000E2F44">
        <w:rPr>
          <w:sz w:val="22"/>
        </w:rPr>
        <w:t xml:space="preserve"> is </w:t>
      </w:r>
      <w:r w:rsidR="00017ADA" w:rsidRPr="00B80033">
        <w:rPr>
          <w:sz w:val="22"/>
        </w:rPr>
        <w:t xml:space="preserve">a </w:t>
      </w:r>
      <w:r w:rsidR="00017ADA" w:rsidRPr="003878DB">
        <w:rPr>
          <w:sz w:val="22"/>
        </w:rPr>
        <w:t>gain of £0.</w:t>
      </w:r>
      <w:r w:rsidR="003878DB" w:rsidRPr="003878DB">
        <w:rPr>
          <w:sz w:val="22"/>
        </w:rPr>
        <w:t>267</w:t>
      </w:r>
      <w:r w:rsidR="00017ADA" w:rsidRPr="003878DB">
        <w:rPr>
          <w:sz w:val="22"/>
        </w:rPr>
        <w:t>m</w:t>
      </w:r>
      <w:r w:rsidR="00017ADA" w:rsidRPr="00306446">
        <w:rPr>
          <w:sz w:val="22"/>
        </w:rPr>
        <w:t xml:space="preserve"> (</w:t>
      </w:r>
      <w:r w:rsidR="00846651" w:rsidRPr="00306446">
        <w:rPr>
          <w:sz w:val="22"/>
        </w:rPr>
        <w:t>201</w:t>
      </w:r>
      <w:r w:rsidR="008E77CF">
        <w:rPr>
          <w:sz w:val="22"/>
        </w:rPr>
        <w:t>6</w:t>
      </w:r>
      <w:r w:rsidR="00846651">
        <w:rPr>
          <w:sz w:val="22"/>
        </w:rPr>
        <w:t>/1</w:t>
      </w:r>
      <w:r w:rsidR="008E77CF">
        <w:rPr>
          <w:sz w:val="22"/>
        </w:rPr>
        <w:t>7</w:t>
      </w:r>
      <w:r w:rsidR="00846651">
        <w:rPr>
          <w:sz w:val="22"/>
        </w:rPr>
        <w:t>:</w:t>
      </w:r>
      <w:r w:rsidR="00846651" w:rsidRPr="000E2F44">
        <w:rPr>
          <w:sz w:val="22"/>
        </w:rPr>
        <w:t xml:space="preserve"> </w:t>
      </w:r>
      <w:r w:rsidR="008853BC">
        <w:rPr>
          <w:sz w:val="22"/>
        </w:rPr>
        <w:t xml:space="preserve">cumulative </w:t>
      </w:r>
      <w:r w:rsidR="00846651" w:rsidRPr="000E2F44">
        <w:rPr>
          <w:sz w:val="22"/>
        </w:rPr>
        <w:t xml:space="preserve">gain </w:t>
      </w:r>
      <w:r w:rsidR="0078056C">
        <w:rPr>
          <w:sz w:val="22"/>
        </w:rPr>
        <w:t>of £0.</w:t>
      </w:r>
      <w:r w:rsidR="008E77CF">
        <w:rPr>
          <w:sz w:val="22"/>
        </w:rPr>
        <w:t>278</w:t>
      </w:r>
      <w:r w:rsidR="00017ADA" w:rsidRPr="000E2F44">
        <w:rPr>
          <w:sz w:val="22"/>
        </w:rPr>
        <w:t>m).</w:t>
      </w:r>
    </w:p>
    <w:p w:rsidR="00FF0080" w:rsidRDefault="00D90216" w:rsidP="00D90216">
      <w:pPr>
        <w:ind w:left="709"/>
        <w:jc w:val="both"/>
        <w:rPr>
          <w:sz w:val="22"/>
        </w:rPr>
      </w:pPr>
      <w:r w:rsidRPr="00A60775">
        <w:rPr>
          <w:sz w:val="22"/>
          <w:highlight w:val="cyan"/>
        </w:rPr>
        <w:t xml:space="preserve"> </w:t>
      </w:r>
    </w:p>
    <w:p w:rsidR="00D90216" w:rsidRPr="000D0258" w:rsidRDefault="00D90216" w:rsidP="00D90216">
      <w:pPr>
        <w:ind w:left="709"/>
        <w:jc w:val="both"/>
        <w:rPr>
          <w:b/>
          <w:sz w:val="22"/>
        </w:rPr>
      </w:pPr>
      <w:r w:rsidRPr="000D0258">
        <w:rPr>
          <w:b/>
          <w:sz w:val="22"/>
        </w:rPr>
        <w:t>Scheme history</w:t>
      </w:r>
    </w:p>
    <w:p w:rsidR="00D90216" w:rsidRPr="00A60775" w:rsidRDefault="00D90216" w:rsidP="00D90216">
      <w:pPr>
        <w:ind w:left="709"/>
        <w:jc w:val="both"/>
        <w:rPr>
          <w:sz w:val="22"/>
          <w:highlight w:val="cyan"/>
        </w:rPr>
      </w:pPr>
    </w:p>
    <w:tbl>
      <w:tblPr>
        <w:tblW w:w="0" w:type="auto"/>
        <w:tblInd w:w="675" w:type="dxa"/>
        <w:tblLayout w:type="fixed"/>
        <w:tblLook w:val="01E0" w:firstRow="1" w:lastRow="1" w:firstColumn="1" w:lastColumn="1" w:noHBand="0" w:noVBand="0"/>
      </w:tblPr>
      <w:tblGrid>
        <w:gridCol w:w="3119"/>
        <w:gridCol w:w="1378"/>
        <w:gridCol w:w="1470"/>
        <w:gridCol w:w="1224"/>
        <w:gridCol w:w="1237"/>
        <w:gridCol w:w="1194"/>
      </w:tblGrid>
      <w:tr w:rsidR="008E77CF" w:rsidRPr="00D72DD9" w:rsidTr="00EF4270">
        <w:tc>
          <w:tcPr>
            <w:tcW w:w="3119" w:type="dxa"/>
            <w:shd w:val="clear" w:color="auto" w:fill="auto"/>
          </w:tcPr>
          <w:p w:rsidR="008E77CF" w:rsidRPr="00D72DD9" w:rsidRDefault="008E77CF" w:rsidP="00D72DD9">
            <w:pPr>
              <w:jc w:val="both"/>
              <w:rPr>
                <w:sz w:val="22"/>
                <w:highlight w:val="cyan"/>
              </w:rPr>
            </w:pPr>
          </w:p>
        </w:tc>
        <w:tc>
          <w:tcPr>
            <w:tcW w:w="1378" w:type="dxa"/>
            <w:shd w:val="clear" w:color="auto" w:fill="auto"/>
          </w:tcPr>
          <w:p w:rsidR="008E77CF" w:rsidRPr="00D72DD9" w:rsidRDefault="00782677" w:rsidP="00782677">
            <w:pPr>
              <w:jc w:val="center"/>
              <w:rPr>
                <w:sz w:val="22"/>
              </w:rPr>
            </w:pPr>
            <w:r w:rsidRPr="00D72DD9">
              <w:rPr>
                <w:sz w:val="22"/>
              </w:rPr>
              <w:t>201</w:t>
            </w:r>
            <w:r>
              <w:rPr>
                <w:sz w:val="22"/>
              </w:rPr>
              <w:t>7</w:t>
            </w:r>
            <w:r w:rsidR="008E77CF">
              <w:rPr>
                <w:sz w:val="22"/>
              </w:rPr>
              <w:t>/1</w:t>
            </w:r>
            <w:r>
              <w:rPr>
                <w:sz w:val="22"/>
              </w:rPr>
              <w:t>8</w:t>
            </w:r>
          </w:p>
        </w:tc>
        <w:tc>
          <w:tcPr>
            <w:tcW w:w="1470" w:type="dxa"/>
            <w:shd w:val="clear" w:color="auto" w:fill="auto"/>
          </w:tcPr>
          <w:p w:rsidR="008E77CF" w:rsidRDefault="008E77CF" w:rsidP="005274B5">
            <w:pPr>
              <w:jc w:val="center"/>
              <w:rPr>
                <w:sz w:val="22"/>
              </w:rPr>
            </w:pPr>
            <w:r w:rsidRPr="00D72DD9">
              <w:rPr>
                <w:sz w:val="22"/>
              </w:rPr>
              <w:t>201</w:t>
            </w:r>
            <w:r>
              <w:rPr>
                <w:sz w:val="22"/>
              </w:rPr>
              <w:t>6/17</w:t>
            </w:r>
          </w:p>
          <w:p w:rsidR="00B63CF1" w:rsidRPr="00D72DD9" w:rsidRDefault="00B63CF1" w:rsidP="005274B5">
            <w:pPr>
              <w:jc w:val="center"/>
              <w:rPr>
                <w:sz w:val="22"/>
              </w:rPr>
            </w:pPr>
            <w:r>
              <w:rPr>
                <w:sz w:val="22"/>
              </w:rPr>
              <w:t>Restated</w:t>
            </w:r>
          </w:p>
        </w:tc>
        <w:tc>
          <w:tcPr>
            <w:tcW w:w="1224" w:type="dxa"/>
            <w:shd w:val="clear" w:color="auto" w:fill="auto"/>
          </w:tcPr>
          <w:p w:rsidR="008E77CF" w:rsidRPr="00D72DD9" w:rsidRDefault="008E77CF" w:rsidP="005274B5">
            <w:pPr>
              <w:jc w:val="center"/>
              <w:rPr>
                <w:sz w:val="22"/>
              </w:rPr>
            </w:pPr>
            <w:r w:rsidRPr="00D72DD9">
              <w:rPr>
                <w:sz w:val="22"/>
              </w:rPr>
              <w:t>201</w:t>
            </w:r>
            <w:r>
              <w:rPr>
                <w:sz w:val="22"/>
              </w:rPr>
              <w:t>5/16</w:t>
            </w:r>
          </w:p>
        </w:tc>
        <w:tc>
          <w:tcPr>
            <w:tcW w:w="1237" w:type="dxa"/>
            <w:shd w:val="clear" w:color="auto" w:fill="auto"/>
          </w:tcPr>
          <w:p w:rsidR="008E77CF" w:rsidRPr="00D72DD9" w:rsidRDefault="008E77CF" w:rsidP="005274B5">
            <w:pPr>
              <w:jc w:val="center"/>
              <w:rPr>
                <w:sz w:val="22"/>
              </w:rPr>
            </w:pPr>
            <w:r w:rsidRPr="00D72DD9">
              <w:rPr>
                <w:sz w:val="22"/>
              </w:rPr>
              <w:t>201</w:t>
            </w:r>
            <w:r>
              <w:rPr>
                <w:sz w:val="22"/>
              </w:rPr>
              <w:t>4/15</w:t>
            </w:r>
          </w:p>
        </w:tc>
        <w:tc>
          <w:tcPr>
            <w:tcW w:w="1194" w:type="dxa"/>
            <w:shd w:val="clear" w:color="auto" w:fill="auto"/>
          </w:tcPr>
          <w:p w:rsidR="008E77CF" w:rsidRPr="00D72DD9" w:rsidRDefault="008E77CF" w:rsidP="005274B5">
            <w:pPr>
              <w:jc w:val="center"/>
              <w:rPr>
                <w:sz w:val="22"/>
              </w:rPr>
            </w:pPr>
            <w:r w:rsidRPr="00D72DD9">
              <w:rPr>
                <w:sz w:val="22"/>
              </w:rPr>
              <w:t>201</w:t>
            </w:r>
            <w:r>
              <w:rPr>
                <w:sz w:val="22"/>
              </w:rPr>
              <w:t>3/14</w:t>
            </w:r>
          </w:p>
        </w:tc>
      </w:tr>
      <w:tr w:rsidR="006D2D66" w:rsidRPr="00D72DD9" w:rsidTr="00EF4270">
        <w:tc>
          <w:tcPr>
            <w:tcW w:w="3119" w:type="dxa"/>
            <w:shd w:val="clear" w:color="auto" w:fill="auto"/>
          </w:tcPr>
          <w:p w:rsidR="006D2D66" w:rsidRPr="00D72DD9" w:rsidRDefault="006D2D66" w:rsidP="00D72DD9">
            <w:pPr>
              <w:jc w:val="both"/>
              <w:rPr>
                <w:sz w:val="22"/>
                <w:highlight w:val="cyan"/>
              </w:rPr>
            </w:pPr>
          </w:p>
        </w:tc>
        <w:tc>
          <w:tcPr>
            <w:tcW w:w="1378" w:type="dxa"/>
            <w:shd w:val="clear" w:color="auto" w:fill="auto"/>
          </w:tcPr>
          <w:p w:rsidR="006D2D66" w:rsidRPr="00D72DD9" w:rsidRDefault="006D2D66" w:rsidP="00D72DD9">
            <w:pPr>
              <w:tabs>
                <w:tab w:val="decimal" w:pos="742"/>
              </w:tabs>
              <w:jc w:val="both"/>
              <w:rPr>
                <w:sz w:val="22"/>
              </w:rPr>
            </w:pPr>
            <w:r w:rsidRPr="00D72DD9">
              <w:rPr>
                <w:sz w:val="22"/>
              </w:rPr>
              <w:t>£000</w:t>
            </w:r>
          </w:p>
        </w:tc>
        <w:tc>
          <w:tcPr>
            <w:tcW w:w="1470" w:type="dxa"/>
            <w:shd w:val="clear" w:color="auto" w:fill="auto"/>
          </w:tcPr>
          <w:p w:rsidR="006D2D66" w:rsidRPr="00D72DD9" w:rsidRDefault="006D2D66" w:rsidP="00D71FAB">
            <w:pPr>
              <w:tabs>
                <w:tab w:val="decimal" w:pos="742"/>
              </w:tabs>
              <w:jc w:val="both"/>
              <w:rPr>
                <w:sz w:val="22"/>
              </w:rPr>
            </w:pPr>
            <w:r w:rsidRPr="00D72DD9">
              <w:rPr>
                <w:sz w:val="22"/>
              </w:rPr>
              <w:t>£000</w:t>
            </w:r>
          </w:p>
        </w:tc>
        <w:tc>
          <w:tcPr>
            <w:tcW w:w="1224" w:type="dxa"/>
            <w:shd w:val="clear" w:color="auto" w:fill="auto"/>
          </w:tcPr>
          <w:p w:rsidR="006D2D66" w:rsidRPr="00D72DD9" w:rsidRDefault="006D2D66" w:rsidP="00D71FAB">
            <w:pPr>
              <w:tabs>
                <w:tab w:val="decimal" w:pos="742"/>
              </w:tabs>
              <w:jc w:val="both"/>
              <w:rPr>
                <w:sz w:val="22"/>
              </w:rPr>
            </w:pPr>
            <w:r w:rsidRPr="00D72DD9">
              <w:rPr>
                <w:sz w:val="22"/>
              </w:rPr>
              <w:t>£000</w:t>
            </w:r>
          </w:p>
        </w:tc>
        <w:tc>
          <w:tcPr>
            <w:tcW w:w="1237" w:type="dxa"/>
            <w:shd w:val="clear" w:color="auto" w:fill="auto"/>
          </w:tcPr>
          <w:p w:rsidR="006D2D66" w:rsidRPr="00D72DD9" w:rsidRDefault="006D2D66" w:rsidP="00D71FAB">
            <w:pPr>
              <w:tabs>
                <w:tab w:val="decimal" w:pos="742"/>
              </w:tabs>
              <w:jc w:val="both"/>
              <w:rPr>
                <w:sz w:val="22"/>
              </w:rPr>
            </w:pPr>
            <w:r w:rsidRPr="00D72DD9">
              <w:rPr>
                <w:sz w:val="22"/>
              </w:rPr>
              <w:t>£000</w:t>
            </w:r>
          </w:p>
        </w:tc>
        <w:tc>
          <w:tcPr>
            <w:tcW w:w="1194" w:type="dxa"/>
            <w:shd w:val="clear" w:color="auto" w:fill="auto"/>
          </w:tcPr>
          <w:p w:rsidR="006D2D66" w:rsidRPr="00D72DD9" w:rsidRDefault="006D2D66" w:rsidP="00D71FAB">
            <w:pPr>
              <w:tabs>
                <w:tab w:val="decimal" w:pos="742"/>
              </w:tabs>
              <w:jc w:val="both"/>
              <w:rPr>
                <w:sz w:val="22"/>
              </w:rPr>
            </w:pPr>
            <w:r w:rsidRPr="00D72DD9">
              <w:rPr>
                <w:sz w:val="22"/>
              </w:rPr>
              <w:t>£000</w:t>
            </w:r>
          </w:p>
        </w:tc>
      </w:tr>
      <w:tr w:rsidR="006D2D66" w:rsidRPr="00D72DD9" w:rsidTr="00EF4270">
        <w:tc>
          <w:tcPr>
            <w:tcW w:w="3119" w:type="dxa"/>
            <w:shd w:val="clear" w:color="auto" w:fill="auto"/>
          </w:tcPr>
          <w:p w:rsidR="006D2D66" w:rsidRPr="00D72DD9" w:rsidRDefault="006D2D66" w:rsidP="00D72DD9">
            <w:pPr>
              <w:jc w:val="both"/>
              <w:rPr>
                <w:sz w:val="22"/>
              </w:rPr>
            </w:pPr>
            <w:r w:rsidRPr="00D72DD9">
              <w:rPr>
                <w:sz w:val="22"/>
              </w:rPr>
              <w:t>Present value of liabilities:</w:t>
            </w:r>
          </w:p>
        </w:tc>
        <w:tc>
          <w:tcPr>
            <w:tcW w:w="1378" w:type="dxa"/>
            <w:shd w:val="clear" w:color="auto" w:fill="auto"/>
          </w:tcPr>
          <w:p w:rsidR="006D2D66" w:rsidRPr="00D72DD9" w:rsidRDefault="006D2D66" w:rsidP="00D72DD9">
            <w:pPr>
              <w:jc w:val="both"/>
              <w:rPr>
                <w:sz w:val="22"/>
              </w:rPr>
            </w:pPr>
          </w:p>
        </w:tc>
        <w:tc>
          <w:tcPr>
            <w:tcW w:w="1470" w:type="dxa"/>
            <w:shd w:val="clear" w:color="auto" w:fill="auto"/>
          </w:tcPr>
          <w:p w:rsidR="006D2D66" w:rsidRPr="00D72DD9" w:rsidRDefault="006D2D66" w:rsidP="00D71FAB">
            <w:pPr>
              <w:jc w:val="both"/>
              <w:rPr>
                <w:sz w:val="22"/>
              </w:rPr>
            </w:pPr>
          </w:p>
        </w:tc>
        <w:tc>
          <w:tcPr>
            <w:tcW w:w="1224" w:type="dxa"/>
            <w:shd w:val="clear" w:color="auto" w:fill="auto"/>
          </w:tcPr>
          <w:p w:rsidR="006D2D66" w:rsidRPr="00D72DD9" w:rsidRDefault="006D2D66" w:rsidP="00D71FAB">
            <w:pPr>
              <w:jc w:val="both"/>
              <w:rPr>
                <w:sz w:val="22"/>
              </w:rPr>
            </w:pPr>
          </w:p>
        </w:tc>
        <w:tc>
          <w:tcPr>
            <w:tcW w:w="1237" w:type="dxa"/>
            <w:shd w:val="clear" w:color="auto" w:fill="auto"/>
          </w:tcPr>
          <w:p w:rsidR="006D2D66" w:rsidRPr="00D72DD9" w:rsidRDefault="006D2D66" w:rsidP="00D71FAB">
            <w:pPr>
              <w:jc w:val="both"/>
              <w:rPr>
                <w:sz w:val="22"/>
              </w:rPr>
            </w:pPr>
          </w:p>
        </w:tc>
        <w:tc>
          <w:tcPr>
            <w:tcW w:w="1194" w:type="dxa"/>
            <w:shd w:val="clear" w:color="auto" w:fill="auto"/>
          </w:tcPr>
          <w:p w:rsidR="006D2D66" w:rsidRPr="00D72DD9" w:rsidRDefault="006D2D66" w:rsidP="00D71FAB">
            <w:pPr>
              <w:jc w:val="both"/>
              <w:rPr>
                <w:sz w:val="22"/>
              </w:rPr>
            </w:pP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Local Government Pension Scheme (LGPS)</w:t>
            </w:r>
          </w:p>
        </w:tc>
        <w:tc>
          <w:tcPr>
            <w:tcW w:w="1378" w:type="dxa"/>
            <w:shd w:val="clear" w:color="auto" w:fill="auto"/>
          </w:tcPr>
          <w:p w:rsidR="008E77CF" w:rsidRPr="008E6AB8" w:rsidRDefault="00CD02FF" w:rsidP="00B63CF1">
            <w:pPr>
              <w:jc w:val="right"/>
              <w:rPr>
                <w:sz w:val="22"/>
              </w:rPr>
            </w:pPr>
            <w:r>
              <w:rPr>
                <w:sz w:val="22"/>
              </w:rPr>
              <w:t>(</w:t>
            </w:r>
            <w:r w:rsidR="00B63CF1">
              <w:rPr>
                <w:sz w:val="22"/>
              </w:rPr>
              <w:t>71</w:t>
            </w:r>
            <w:r>
              <w:rPr>
                <w:sz w:val="22"/>
              </w:rPr>
              <w:t>,</w:t>
            </w:r>
            <w:r w:rsidR="00B63CF1">
              <w:rPr>
                <w:sz w:val="22"/>
              </w:rPr>
              <w:t>571</w:t>
            </w:r>
            <w:r>
              <w:rPr>
                <w:sz w:val="22"/>
              </w:rPr>
              <w:t>)</w:t>
            </w:r>
          </w:p>
        </w:tc>
        <w:tc>
          <w:tcPr>
            <w:tcW w:w="1470" w:type="dxa"/>
            <w:shd w:val="clear" w:color="auto" w:fill="auto"/>
          </w:tcPr>
          <w:p w:rsidR="008E77CF" w:rsidRPr="008E6AB8" w:rsidRDefault="008E77CF" w:rsidP="00B63CF1">
            <w:pPr>
              <w:jc w:val="right"/>
              <w:rPr>
                <w:sz w:val="22"/>
              </w:rPr>
            </w:pPr>
            <w:r>
              <w:rPr>
                <w:sz w:val="22"/>
              </w:rPr>
              <w:t>(</w:t>
            </w:r>
            <w:r w:rsidR="00B63CF1">
              <w:rPr>
                <w:sz w:val="22"/>
              </w:rPr>
              <w:t>70</w:t>
            </w:r>
            <w:r>
              <w:rPr>
                <w:sz w:val="22"/>
              </w:rPr>
              <w:t>,</w:t>
            </w:r>
            <w:r w:rsidR="00B63CF1">
              <w:rPr>
                <w:sz w:val="22"/>
              </w:rPr>
              <w:t>999</w:t>
            </w:r>
            <w:r>
              <w:rPr>
                <w:sz w:val="22"/>
              </w:rPr>
              <w:t>)</w:t>
            </w:r>
          </w:p>
        </w:tc>
        <w:tc>
          <w:tcPr>
            <w:tcW w:w="1224" w:type="dxa"/>
            <w:shd w:val="clear" w:color="auto" w:fill="auto"/>
          </w:tcPr>
          <w:p w:rsidR="008E77CF" w:rsidRPr="008E6AB8" w:rsidRDefault="008E77CF" w:rsidP="005274B5">
            <w:pPr>
              <w:jc w:val="right"/>
              <w:rPr>
                <w:sz w:val="22"/>
              </w:rPr>
            </w:pPr>
            <w:r>
              <w:rPr>
                <w:sz w:val="22"/>
              </w:rPr>
              <w:t>(49,267)</w:t>
            </w:r>
          </w:p>
        </w:tc>
        <w:tc>
          <w:tcPr>
            <w:tcW w:w="1237" w:type="dxa"/>
            <w:shd w:val="clear" w:color="auto" w:fill="auto"/>
          </w:tcPr>
          <w:p w:rsidR="008E77CF" w:rsidRPr="008E6AB8" w:rsidRDefault="008E77CF" w:rsidP="005274B5">
            <w:pPr>
              <w:jc w:val="right"/>
              <w:rPr>
                <w:sz w:val="22"/>
              </w:rPr>
            </w:pPr>
            <w:r w:rsidRPr="008E6AB8">
              <w:rPr>
                <w:sz w:val="22"/>
              </w:rPr>
              <w:t>(</w:t>
            </w:r>
            <w:r>
              <w:rPr>
                <w:sz w:val="22"/>
              </w:rPr>
              <w:t>50</w:t>
            </w:r>
            <w:r w:rsidRPr="008E6AB8">
              <w:rPr>
                <w:sz w:val="22"/>
              </w:rPr>
              <w:t>,</w:t>
            </w:r>
            <w:r>
              <w:rPr>
                <w:sz w:val="22"/>
              </w:rPr>
              <w:t>503</w:t>
            </w:r>
            <w:r w:rsidRPr="008E6AB8">
              <w:rPr>
                <w:sz w:val="22"/>
              </w:rPr>
              <w:t>)</w:t>
            </w:r>
          </w:p>
        </w:tc>
        <w:tc>
          <w:tcPr>
            <w:tcW w:w="1194" w:type="dxa"/>
            <w:shd w:val="clear" w:color="auto" w:fill="auto"/>
          </w:tcPr>
          <w:p w:rsidR="008E77CF" w:rsidRPr="00513C49" w:rsidRDefault="008E77CF" w:rsidP="005274B5">
            <w:pPr>
              <w:jc w:val="right"/>
              <w:rPr>
                <w:sz w:val="22"/>
              </w:rPr>
            </w:pPr>
            <w:r>
              <w:rPr>
                <w:sz w:val="22"/>
              </w:rPr>
              <w:t>(41,224)</w:t>
            </w: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Firefighters Pension Scheme</w:t>
            </w:r>
          </w:p>
        </w:tc>
        <w:tc>
          <w:tcPr>
            <w:tcW w:w="1378" w:type="dxa"/>
            <w:shd w:val="clear" w:color="auto" w:fill="auto"/>
          </w:tcPr>
          <w:p w:rsidR="008E77CF" w:rsidRPr="008E6AB8" w:rsidRDefault="00CD02FF" w:rsidP="008E6AB8">
            <w:pPr>
              <w:jc w:val="right"/>
              <w:rPr>
                <w:sz w:val="22"/>
              </w:rPr>
            </w:pPr>
            <w:r>
              <w:rPr>
                <w:sz w:val="22"/>
              </w:rPr>
              <w:t>(793,336)</w:t>
            </w:r>
          </w:p>
        </w:tc>
        <w:tc>
          <w:tcPr>
            <w:tcW w:w="1470" w:type="dxa"/>
            <w:shd w:val="clear" w:color="auto" w:fill="auto"/>
          </w:tcPr>
          <w:p w:rsidR="008E77CF" w:rsidRPr="008E6AB8" w:rsidRDefault="008E77CF" w:rsidP="005274B5">
            <w:pPr>
              <w:jc w:val="right"/>
              <w:rPr>
                <w:sz w:val="22"/>
              </w:rPr>
            </w:pPr>
            <w:r>
              <w:rPr>
                <w:sz w:val="22"/>
              </w:rPr>
              <w:t>(788,856)</w:t>
            </w:r>
          </w:p>
        </w:tc>
        <w:tc>
          <w:tcPr>
            <w:tcW w:w="1224" w:type="dxa"/>
            <w:shd w:val="clear" w:color="auto" w:fill="auto"/>
          </w:tcPr>
          <w:p w:rsidR="008E77CF" w:rsidRPr="008E6AB8" w:rsidRDefault="008E77CF" w:rsidP="005274B5">
            <w:pPr>
              <w:jc w:val="right"/>
              <w:rPr>
                <w:sz w:val="22"/>
              </w:rPr>
            </w:pPr>
            <w:r>
              <w:rPr>
                <w:sz w:val="22"/>
              </w:rPr>
              <w:t>(666,356)</w:t>
            </w:r>
          </w:p>
        </w:tc>
        <w:tc>
          <w:tcPr>
            <w:tcW w:w="1237" w:type="dxa"/>
            <w:shd w:val="clear" w:color="auto" w:fill="auto"/>
          </w:tcPr>
          <w:p w:rsidR="008E77CF" w:rsidRPr="008E6AB8" w:rsidRDefault="008E77CF" w:rsidP="005274B5">
            <w:pPr>
              <w:jc w:val="right"/>
              <w:rPr>
                <w:sz w:val="22"/>
              </w:rPr>
            </w:pPr>
            <w:r w:rsidRPr="008E6AB8">
              <w:rPr>
                <w:sz w:val="22"/>
              </w:rPr>
              <w:t>(687,420)</w:t>
            </w:r>
          </w:p>
        </w:tc>
        <w:tc>
          <w:tcPr>
            <w:tcW w:w="1194" w:type="dxa"/>
            <w:shd w:val="clear" w:color="auto" w:fill="auto"/>
          </w:tcPr>
          <w:p w:rsidR="008E77CF" w:rsidRPr="00513C49" w:rsidRDefault="008E77CF" w:rsidP="005274B5">
            <w:pPr>
              <w:jc w:val="right"/>
              <w:rPr>
                <w:sz w:val="22"/>
              </w:rPr>
            </w:pPr>
            <w:r>
              <w:rPr>
                <w:sz w:val="22"/>
              </w:rPr>
              <w:t>(595,539)</w:t>
            </w: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Fair value of assets in LGPS</w:t>
            </w:r>
          </w:p>
        </w:tc>
        <w:tc>
          <w:tcPr>
            <w:tcW w:w="1378" w:type="dxa"/>
            <w:shd w:val="clear" w:color="auto" w:fill="auto"/>
          </w:tcPr>
          <w:p w:rsidR="008E77CF" w:rsidRPr="008E6AB8" w:rsidRDefault="00B63CF1" w:rsidP="00B63CF1">
            <w:pPr>
              <w:jc w:val="right"/>
              <w:rPr>
                <w:sz w:val="22"/>
              </w:rPr>
            </w:pPr>
            <w:r>
              <w:rPr>
                <w:sz w:val="22"/>
              </w:rPr>
              <w:t>62</w:t>
            </w:r>
            <w:r w:rsidR="00CD02FF">
              <w:rPr>
                <w:sz w:val="22"/>
              </w:rPr>
              <w:t>,</w:t>
            </w:r>
            <w:r>
              <w:rPr>
                <w:sz w:val="22"/>
              </w:rPr>
              <w:t>286</w:t>
            </w:r>
          </w:p>
        </w:tc>
        <w:tc>
          <w:tcPr>
            <w:tcW w:w="1470" w:type="dxa"/>
            <w:shd w:val="clear" w:color="auto" w:fill="auto"/>
          </w:tcPr>
          <w:p w:rsidR="008E77CF" w:rsidRPr="008E6AB8" w:rsidRDefault="00B63CF1" w:rsidP="00B63CF1">
            <w:pPr>
              <w:jc w:val="right"/>
              <w:rPr>
                <w:sz w:val="22"/>
              </w:rPr>
            </w:pPr>
            <w:r>
              <w:rPr>
                <w:sz w:val="22"/>
              </w:rPr>
              <w:t>59</w:t>
            </w:r>
            <w:r w:rsidR="008E77CF">
              <w:rPr>
                <w:sz w:val="22"/>
              </w:rPr>
              <w:t>,</w:t>
            </w:r>
            <w:r>
              <w:rPr>
                <w:sz w:val="22"/>
              </w:rPr>
              <w:t>792</w:t>
            </w:r>
          </w:p>
        </w:tc>
        <w:tc>
          <w:tcPr>
            <w:tcW w:w="1224" w:type="dxa"/>
            <w:shd w:val="clear" w:color="auto" w:fill="auto"/>
          </w:tcPr>
          <w:p w:rsidR="008E77CF" w:rsidRPr="008E6AB8" w:rsidRDefault="008E77CF" w:rsidP="005274B5">
            <w:pPr>
              <w:jc w:val="right"/>
              <w:rPr>
                <w:sz w:val="22"/>
              </w:rPr>
            </w:pPr>
            <w:r>
              <w:rPr>
                <w:sz w:val="22"/>
              </w:rPr>
              <w:t>44,027</w:t>
            </w:r>
          </w:p>
        </w:tc>
        <w:tc>
          <w:tcPr>
            <w:tcW w:w="1237" w:type="dxa"/>
            <w:shd w:val="clear" w:color="auto" w:fill="auto"/>
          </w:tcPr>
          <w:p w:rsidR="008E77CF" w:rsidRPr="008E6AB8" w:rsidRDefault="008E77CF" w:rsidP="005274B5">
            <w:pPr>
              <w:jc w:val="right"/>
              <w:rPr>
                <w:sz w:val="22"/>
              </w:rPr>
            </w:pPr>
            <w:r>
              <w:rPr>
                <w:sz w:val="22"/>
              </w:rPr>
              <w:t>39</w:t>
            </w:r>
            <w:r w:rsidRPr="008E6AB8">
              <w:rPr>
                <w:sz w:val="22"/>
              </w:rPr>
              <w:t>,</w:t>
            </w:r>
            <w:r>
              <w:rPr>
                <w:sz w:val="22"/>
              </w:rPr>
              <w:t>099</w:t>
            </w:r>
          </w:p>
        </w:tc>
        <w:tc>
          <w:tcPr>
            <w:tcW w:w="1194" w:type="dxa"/>
            <w:shd w:val="clear" w:color="auto" w:fill="auto"/>
          </w:tcPr>
          <w:p w:rsidR="008E77CF" w:rsidRPr="00513C49" w:rsidRDefault="008E77CF" w:rsidP="005274B5">
            <w:pPr>
              <w:jc w:val="right"/>
              <w:rPr>
                <w:sz w:val="22"/>
              </w:rPr>
            </w:pPr>
            <w:r>
              <w:rPr>
                <w:sz w:val="22"/>
              </w:rPr>
              <w:t>33,135</w:t>
            </w:r>
          </w:p>
        </w:tc>
      </w:tr>
      <w:tr w:rsidR="008E77CF" w:rsidRPr="00D72DD9" w:rsidTr="00EF4270">
        <w:tc>
          <w:tcPr>
            <w:tcW w:w="3119" w:type="dxa"/>
            <w:shd w:val="clear" w:color="auto" w:fill="auto"/>
          </w:tcPr>
          <w:p w:rsidR="008E77CF" w:rsidRPr="00D72DD9" w:rsidRDefault="008E77CF" w:rsidP="00D72DD9">
            <w:pPr>
              <w:jc w:val="both"/>
              <w:rPr>
                <w:sz w:val="22"/>
                <w:highlight w:val="cyan"/>
              </w:rPr>
            </w:pPr>
          </w:p>
        </w:tc>
        <w:tc>
          <w:tcPr>
            <w:tcW w:w="1378" w:type="dxa"/>
            <w:shd w:val="clear" w:color="auto" w:fill="auto"/>
          </w:tcPr>
          <w:p w:rsidR="008E77CF" w:rsidRPr="00846651" w:rsidRDefault="008E77CF" w:rsidP="00D72DD9">
            <w:pPr>
              <w:jc w:val="right"/>
              <w:rPr>
                <w:sz w:val="22"/>
                <w:highlight w:val="yellow"/>
              </w:rPr>
            </w:pPr>
          </w:p>
        </w:tc>
        <w:tc>
          <w:tcPr>
            <w:tcW w:w="1470" w:type="dxa"/>
            <w:shd w:val="clear" w:color="auto" w:fill="auto"/>
          </w:tcPr>
          <w:p w:rsidR="008E77CF" w:rsidRPr="00846651" w:rsidRDefault="008E77CF" w:rsidP="005274B5">
            <w:pPr>
              <w:jc w:val="right"/>
              <w:rPr>
                <w:sz w:val="22"/>
                <w:highlight w:val="yellow"/>
              </w:rPr>
            </w:pPr>
          </w:p>
        </w:tc>
        <w:tc>
          <w:tcPr>
            <w:tcW w:w="1224" w:type="dxa"/>
            <w:shd w:val="clear" w:color="auto" w:fill="auto"/>
          </w:tcPr>
          <w:p w:rsidR="008E77CF" w:rsidRPr="00846651" w:rsidRDefault="008E77CF" w:rsidP="005274B5">
            <w:pPr>
              <w:jc w:val="right"/>
              <w:rPr>
                <w:sz w:val="22"/>
                <w:highlight w:val="yellow"/>
              </w:rPr>
            </w:pPr>
          </w:p>
        </w:tc>
        <w:tc>
          <w:tcPr>
            <w:tcW w:w="1237" w:type="dxa"/>
            <w:shd w:val="clear" w:color="auto" w:fill="auto"/>
          </w:tcPr>
          <w:p w:rsidR="008E77CF" w:rsidRPr="00846651" w:rsidRDefault="008E77CF" w:rsidP="005274B5">
            <w:pPr>
              <w:jc w:val="right"/>
              <w:rPr>
                <w:sz w:val="22"/>
                <w:highlight w:val="yellow"/>
              </w:rPr>
            </w:pPr>
          </w:p>
        </w:tc>
        <w:tc>
          <w:tcPr>
            <w:tcW w:w="1194" w:type="dxa"/>
            <w:shd w:val="clear" w:color="auto" w:fill="auto"/>
          </w:tcPr>
          <w:p w:rsidR="008E77CF" w:rsidRPr="00FF0080" w:rsidRDefault="008E77CF" w:rsidP="005274B5">
            <w:pPr>
              <w:jc w:val="right"/>
              <w:rPr>
                <w:sz w:val="22"/>
                <w:highlight w:val="yellow"/>
              </w:rPr>
            </w:pP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Surplus/(Deficit) in the scheme:</w:t>
            </w:r>
          </w:p>
        </w:tc>
        <w:tc>
          <w:tcPr>
            <w:tcW w:w="1378" w:type="dxa"/>
            <w:shd w:val="clear" w:color="auto" w:fill="auto"/>
          </w:tcPr>
          <w:p w:rsidR="008E77CF" w:rsidRPr="00846651" w:rsidRDefault="008E77CF" w:rsidP="00D72DD9">
            <w:pPr>
              <w:jc w:val="right"/>
              <w:rPr>
                <w:sz w:val="22"/>
                <w:highlight w:val="yellow"/>
              </w:rPr>
            </w:pPr>
          </w:p>
        </w:tc>
        <w:tc>
          <w:tcPr>
            <w:tcW w:w="1470" w:type="dxa"/>
            <w:shd w:val="clear" w:color="auto" w:fill="auto"/>
          </w:tcPr>
          <w:p w:rsidR="008E77CF" w:rsidRPr="00846651" w:rsidRDefault="008E77CF" w:rsidP="005274B5">
            <w:pPr>
              <w:jc w:val="right"/>
              <w:rPr>
                <w:sz w:val="22"/>
                <w:highlight w:val="yellow"/>
              </w:rPr>
            </w:pPr>
          </w:p>
        </w:tc>
        <w:tc>
          <w:tcPr>
            <w:tcW w:w="1224" w:type="dxa"/>
            <w:shd w:val="clear" w:color="auto" w:fill="auto"/>
          </w:tcPr>
          <w:p w:rsidR="008E77CF" w:rsidRPr="00846651" w:rsidRDefault="008E77CF" w:rsidP="005274B5">
            <w:pPr>
              <w:jc w:val="right"/>
              <w:rPr>
                <w:sz w:val="22"/>
                <w:highlight w:val="yellow"/>
              </w:rPr>
            </w:pPr>
          </w:p>
        </w:tc>
        <w:tc>
          <w:tcPr>
            <w:tcW w:w="1237" w:type="dxa"/>
            <w:shd w:val="clear" w:color="auto" w:fill="auto"/>
          </w:tcPr>
          <w:p w:rsidR="008E77CF" w:rsidRPr="00846651" w:rsidRDefault="008E77CF" w:rsidP="005274B5">
            <w:pPr>
              <w:jc w:val="right"/>
              <w:rPr>
                <w:sz w:val="22"/>
                <w:highlight w:val="yellow"/>
              </w:rPr>
            </w:pPr>
          </w:p>
        </w:tc>
        <w:tc>
          <w:tcPr>
            <w:tcW w:w="1194" w:type="dxa"/>
            <w:shd w:val="clear" w:color="auto" w:fill="auto"/>
          </w:tcPr>
          <w:p w:rsidR="008E77CF" w:rsidRPr="00FF0080" w:rsidRDefault="008E77CF" w:rsidP="005274B5">
            <w:pPr>
              <w:jc w:val="right"/>
              <w:rPr>
                <w:sz w:val="22"/>
                <w:highlight w:val="yellow"/>
              </w:rPr>
            </w:pP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Local Government Pension Scheme (LGPS)</w:t>
            </w:r>
          </w:p>
        </w:tc>
        <w:tc>
          <w:tcPr>
            <w:tcW w:w="1378" w:type="dxa"/>
            <w:shd w:val="clear" w:color="auto" w:fill="auto"/>
          </w:tcPr>
          <w:p w:rsidR="008E77CF" w:rsidRPr="008E6AB8" w:rsidRDefault="00CD02FF" w:rsidP="00B63CF1">
            <w:pPr>
              <w:jc w:val="right"/>
              <w:rPr>
                <w:sz w:val="22"/>
              </w:rPr>
            </w:pPr>
            <w:r>
              <w:rPr>
                <w:sz w:val="22"/>
              </w:rPr>
              <w:t>(</w:t>
            </w:r>
            <w:r w:rsidR="00B63CF1">
              <w:rPr>
                <w:sz w:val="22"/>
              </w:rPr>
              <w:t>9</w:t>
            </w:r>
            <w:r>
              <w:rPr>
                <w:sz w:val="22"/>
              </w:rPr>
              <w:t>,</w:t>
            </w:r>
            <w:r w:rsidR="00B63CF1">
              <w:rPr>
                <w:sz w:val="22"/>
              </w:rPr>
              <w:t>285</w:t>
            </w:r>
            <w:r>
              <w:rPr>
                <w:sz w:val="22"/>
              </w:rPr>
              <w:t>)</w:t>
            </w:r>
          </w:p>
        </w:tc>
        <w:tc>
          <w:tcPr>
            <w:tcW w:w="1470" w:type="dxa"/>
            <w:shd w:val="clear" w:color="auto" w:fill="auto"/>
          </w:tcPr>
          <w:p w:rsidR="008E77CF" w:rsidRPr="008E6AB8" w:rsidRDefault="008E77CF" w:rsidP="00B63CF1">
            <w:pPr>
              <w:jc w:val="right"/>
              <w:rPr>
                <w:sz w:val="22"/>
              </w:rPr>
            </w:pPr>
            <w:r>
              <w:rPr>
                <w:sz w:val="22"/>
              </w:rPr>
              <w:t>(</w:t>
            </w:r>
            <w:r w:rsidR="00B63CF1">
              <w:rPr>
                <w:sz w:val="22"/>
              </w:rPr>
              <w:t>11</w:t>
            </w:r>
            <w:r>
              <w:rPr>
                <w:sz w:val="22"/>
              </w:rPr>
              <w:t>,</w:t>
            </w:r>
            <w:r w:rsidR="00B63CF1">
              <w:rPr>
                <w:sz w:val="22"/>
              </w:rPr>
              <w:t>207</w:t>
            </w:r>
            <w:r>
              <w:rPr>
                <w:sz w:val="22"/>
              </w:rPr>
              <w:t>)</w:t>
            </w:r>
          </w:p>
        </w:tc>
        <w:tc>
          <w:tcPr>
            <w:tcW w:w="1224" w:type="dxa"/>
            <w:shd w:val="clear" w:color="auto" w:fill="auto"/>
          </w:tcPr>
          <w:p w:rsidR="008E77CF" w:rsidRPr="008E6AB8" w:rsidRDefault="008E77CF" w:rsidP="005274B5">
            <w:pPr>
              <w:jc w:val="right"/>
              <w:rPr>
                <w:sz w:val="22"/>
              </w:rPr>
            </w:pPr>
            <w:r>
              <w:rPr>
                <w:sz w:val="22"/>
              </w:rPr>
              <w:t>(5,240)</w:t>
            </w:r>
          </w:p>
        </w:tc>
        <w:tc>
          <w:tcPr>
            <w:tcW w:w="1237" w:type="dxa"/>
            <w:shd w:val="clear" w:color="auto" w:fill="auto"/>
          </w:tcPr>
          <w:p w:rsidR="008E77CF" w:rsidRPr="008E6AB8" w:rsidRDefault="008E77CF" w:rsidP="005274B5">
            <w:pPr>
              <w:jc w:val="right"/>
              <w:rPr>
                <w:sz w:val="22"/>
              </w:rPr>
            </w:pPr>
            <w:r>
              <w:rPr>
                <w:sz w:val="22"/>
              </w:rPr>
              <w:t>(</w:t>
            </w:r>
            <w:r w:rsidRPr="008E6AB8">
              <w:rPr>
                <w:sz w:val="22"/>
              </w:rPr>
              <w:t>11,404</w:t>
            </w:r>
            <w:r>
              <w:rPr>
                <w:sz w:val="22"/>
              </w:rPr>
              <w:t>)</w:t>
            </w:r>
          </w:p>
        </w:tc>
        <w:tc>
          <w:tcPr>
            <w:tcW w:w="1194" w:type="dxa"/>
            <w:shd w:val="clear" w:color="auto" w:fill="auto"/>
          </w:tcPr>
          <w:p w:rsidR="008E77CF" w:rsidRPr="00513C49" w:rsidRDefault="008E77CF" w:rsidP="005274B5">
            <w:pPr>
              <w:jc w:val="right"/>
              <w:rPr>
                <w:sz w:val="22"/>
              </w:rPr>
            </w:pPr>
            <w:r>
              <w:rPr>
                <w:sz w:val="22"/>
              </w:rPr>
              <w:t>(8,089)</w:t>
            </w: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Firefighters Pension Scheme</w:t>
            </w:r>
          </w:p>
        </w:tc>
        <w:tc>
          <w:tcPr>
            <w:tcW w:w="1378" w:type="dxa"/>
            <w:shd w:val="clear" w:color="auto" w:fill="auto"/>
          </w:tcPr>
          <w:p w:rsidR="008E77CF" w:rsidRPr="008E6AB8" w:rsidRDefault="00CD02FF" w:rsidP="00351264">
            <w:pPr>
              <w:jc w:val="right"/>
              <w:rPr>
                <w:sz w:val="22"/>
              </w:rPr>
            </w:pPr>
            <w:r>
              <w:rPr>
                <w:sz w:val="22"/>
              </w:rPr>
              <w:t>(793,336)</w:t>
            </w:r>
          </w:p>
        </w:tc>
        <w:tc>
          <w:tcPr>
            <w:tcW w:w="1470" w:type="dxa"/>
            <w:shd w:val="clear" w:color="auto" w:fill="auto"/>
          </w:tcPr>
          <w:p w:rsidR="008E77CF" w:rsidRPr="008E6AB8" w:rsidRDefault="008E77CF" w:rsidP="005274B5">
            <w:pPr>
              <w:jc w:val="right"/>
              <w:rPr>
                <w:sz w:val="22"/>
              </w:rPr>
            </w:pPr>
            <w:r>
              <w:rPr>
                <w:sz w:val="22"/>
              </w:rPr>
              <w:t>(788,856)</w:t>
            </w:r>
          </w:p>
        </w:tc>
        <w:tc>
          <w:tcPr>
            <w:tcW w:w="1224" w:type="dxa"/>
            <w:shd w:val="clear" w:color="auto" w:fill="auto"/>
          </w:tcPr>
          <w:p w:rsidR="008E77CF" w:rsidRPr="008E6AB8" w:rsidRDefault="008E77CF" w:rsidP="005274B5">
            <w:pPr>
              <w:jc w:val="right"/>
              <w:rPr>
                <w:sz w:val="22"/>
              </w:rPr>
            </w:pPr>
            <w:r>
              <w:rPr>
                <w:sz w:val="22"/>
              </w:rPr>
              <w:t>(666,356)</w:t>
            </w:r>
          </w:p>
        </w:tc>
        <w:tc>
          <w:tcPr>
            <w:tcW w:w="1237" w:type="dxa"/>
            <w:shd w:val="clear" w:color="auto" w:fill="auto"/>
          </w:tcPr>
          <w:p w:rsidR="008E77CF" w:rsidRPr="008E6AB8" w:rsidRDefault="008E77CF" w:rsidP="005274B5">
            <w:pPr>
              <w:jc w:val="right"/>
              <w:rPr>
                <w:sz w:val="22"/>
              </w:rPr>
            </w:pPr>
            <w:r w:rsidRPr="008E6AB8">
              <w:rPr>
                <w:sz w:val="22"/>
              </w:rPr>
              <w:t>(687,420)</w:t>
            </w:r>
          </w:p>
        </w:tc>
        <w:tc>
          <w:tcPr>
            <w:tcW w:w="1194" w:type="dxa"/>
            <w:shd w:val="clear" w:color="auto" w:fill="auto"/>
          </w:tcPr>
          <w:p w:rsidR="008E77CF" w:rsidRPr="00513C49" w:rsidRDefault="008E77CF" w:rsidP="005274B5">
            <w:pPr>
              <w:jc w:val="right"/>
              <w:rPr>
                <w:sz w:val="22"/>
              </w:rPr>
            </w:pPr>
            <w:r>
              <w:rPr>
                <w:sz w:val="22"/>
              </w:rPr>
              <w:t>(595,539)</w:t>
            </w:r>
          </w:p>
        </w:tc>
      </w:tr>
      <w:tr w:rsidR="008E77CF" w:rsidRPr="00D72DD9" w:rsidTr="00EF4270">
        <w:tc>
          <w:tcPr>
            <w:tcW w:w="3119" w:type="dxa"/>
            <w:shd w:val="clear" w:color="auto" w:fill="auto"/>
          </w:tcPr>
          <w:p w:rsidR="008E77CF" w:rsidRPr="00D72DD9" w:rsidRDefault="008E77CF" w:rsidP="00D72DD9">
            <w:pPr>
              <w:jc w:val="both"/>
              <w:rPr>
                <w:sz w:val="22"/>
              </w:rPr>
            </w:pPr>
            <w:r w:rsidRPr="00D72DD9">
              <w:rPr>
                <w:sz w:val="22"/>
              </w:rPr>
              <w:t>Total</w:t>
            </w:r>
          </w:p>
        </w:tc>
        <w:tc>
          <w:tcPr>
            <w:tcW w:w="1378" w:type="dxa"/>
            <w:shd w:val="clear" w:color="auto" w:fill="auto"/>
          </w:tcPr>
          <w:p w:rsidR="008E77CF" w:rsidRPr="008E6AB8" w:rsidRDefault="00CD02FF" w:rsidP="00B63CF1">
            <w:pPr>
              <w:jc w:val="right"/>
              <w:rPr>
                <w:sz w:val="22"/>
              </w:rPr>
            </w:pPr>
            <w:r>
              <w:rPr>
                <w:sz w:val="22"/>
              </w:rPr>
              <w:t>(</w:t>
            </w:r>
            <w:r w:rsidR="00B63CF1">
              <w:rPr>
                <w:sz w:val="22"/>
              </w:rPr>
              <w:t>802</w:t>
            </w:r>
            <w:r>
              <w:rPr>
                <w:sz w:val="22"/>
              </w:rPr>
              <w:t>,</w:t>
            </w:r>
            <w:r w:rsidR="00B63CF1">
              <w:rPr>
                <w:sz w:val="22"/>
              </w:rPr>
              <w:t>621</w:t>
            </w:r>
            <w:r>
              <w:rPr>
                <w:sz w:val="22"/>
              </w:rPr>
              <w:t>)</w:t>
            </w:r>
          </w:p>
        </w:tc>
        <w:tc>
          <w:tcPr>
            <w:tcW w:w="1470" w:type="dxa"/>
            <w:shd w:val="clear" w:color="auto" w:fill="auto"/>
          </w:tcPr>
          <w:p w:rsidR="008E77CF" w:rsidRPr="008E6AB8" w:rsidRDefault="008E77CF" w:rsidP="00B63CF1">
            <w:pPr>
              <w:jc w:val="right"/>
              <w:rPr>
                <w:sz w:val="22"/>
              </w:rPr>
            </w:pPr>
            <w:r>
              <w:rPr>
                <w:sz w:val="22"/>
              </w:rPr>
              <w:t>(</w:t>
            </w:r>
            <w:r w:rsidR="00B63CF1">
              <w:rPr>
                <w:sz w:val="22"/>
              </w:rPr>
              <w:t>800</w:t>
            </w:r>
            <w:r>
              <w:rPr>
                <w:sz w:val="22"/>
              </w:rPr>
              <w:t>,</w:t>
            </w:r>
            <w:r w:rsidR="00B63CF1">
              <w:rPr>
                <w:sz w:val="22"/>
              </w:rPr>
              <w:t>063</w:t>
            </w:r>
            <w:r>
              <w:rPr>
                <w:sz w:val="22"/>
              </w:rPr>
              <w:t>)</w:t>
            </w:r>
          </w:p>
        </w:tc>
        <w:tc>
          <w:tcPr>
            <w:tcW w:w="1224" w:type="dxa"/>
            <w:shd w:val="clear" w:color="auto" w:fill="auto"/>
          </w:tcPr>
          <w:p w:rsidR="008E77CF" w:rsidRPr="008E6AB8" w:rsidRDefault="008E77CF" w:rsidP="005274B5">
            <w:pPr>
              <w:jc w:val="right"/>
              <w:rPr>
                <w:sz w:val="22"/>
              </w:rPr>
            </w:pPr>
            <w:r>
              <w:rPr>
                <w:sz w:val="22"/>
              </w:rPr>
              <w:t>(671,596)</w:t>
            </w:r>
          </w:p>
        </w:tc>
        <w:tc>
          <w:tcPr>
            <w:tcW w:w="1237" w:type="dxa"/>
            <w:shd w:val="clear" w:color="auto" w:fill="auto"/>
          </w:tcPr>
          <w:p w:rsidR="008E77CF" w:rsidRPr="008E6AB8" w:rsidRDefault="008E77CF" w:rsidP="005274B5">
            <w:pPr>
              <w:jc w:val="right"/>
              <w:rPr>
                <w:sz w:val="22"/>
              </w:rPr>
            </w:pPr>
            <w:r w:rsidRPr="008E6AB8">
              <w:rPr>
                <w:sz w:val="22"/>
              </w:rPr>
              <w:t>(</w:t>
            </w:r>
            <w:r>
              <w:rPr>
                <w:sz w:val="22"/>
              </w:rPr>
              <w:t>698</w:t>
            </w:r>
            <w:r w:rsidRPr="008E6AB8">
              <w:rPr>
                <w:sz w:val="22"/>
              </w:rPr>
              <w:t>,</w:t>
            </w:r>
            <w:r>
              <w:rPr>
                <w:sz w:val="22"/>
              </w:rPr>
              <w:t>824</w:t>
            </w:r>
            <w:r w:rsidRPr="008E6AB8">
              <w:rPr>
                <w:sz w:val="22"/>
              </w:rPr>
              <w:t>)</w:t>
            </w:r>
          </w:p>
        </w:tc>
        <w:tc>
          <w:tcPr>
            <w:tcW w:w="1194" w:type="dxa"/>
            <w:shd w:val="clear" w:color="auto" w:fill="auto"/>
          </w:tcPr>
          <w:p w:rsidR="008E77CF" w:rsidRPr="00513C49" w:rsidRDefault="008E77CF" w:rsidP="005274B5">
            <w:pPr>
              <w:jc w:val="right"/>
              <w:rPr>
                <w:sz w:val="22"/>
              </w:rPr>
            </w:pPr>
            <w:r>
              <w:rPr>
                <w:sz w:val="22"/>
              </w:rPr>
              <w:t>(603,628)</w:t>
            </w:r>
          </w:p>
        </w:tc>
      </w:tr>
    </w:tbl>
    <w:p w:rsidR="00D90216" w:rsidRPr="00250B22" w:rsidRDefault="00D90216" w:rsidP="00D90216">
      <w:pPr>
        <w:jc w:val="both"/>
        <w:rPr>
          <w:sz w:val="22"/>
        </w:rPr>
      </w:pPr>
    </w:p>
    <w:p w:rsidR="00D90216" w:rsidRPr="002A33DC" w:rsidRDefault="00D90216" w:rsidP="00D90216">
      <w:pPr>
        <w:ind w:left="709"/>
        <w:jc w:val="both"/>
        <w:rPr>
          <w:sz w:val="22"/>
        </w:rPr>
      </w:pPr>
      <w:r w:rsidRPr="002A33DC">
        <w:rPr>
          <w:sz w:val="22"/>
        </w:rPr>
        <w:t>The liabilities show the underlying commitments that the Authority has in the long</w:t>
      </w:r>
      <w:r w:rsidRPr="002A33DC">
        <w:rPr>
          <w:sz w:val="22"/>
        </w:rPr>
        <w:noBreakHyphen/>
        <w:t xml:space="preserve">term to pay </w:t>
      </w:r>
      <w:proofErr w:type="spellStart"/>
      <w:r w:rsidRPr="002A33DC">
        <w:rPr>
          <w:sz w:val="22"/>
        </w:rPr>
        <w:t>post employment</w:t>
      </w:r>
      <w:proofErr w:type="spellEnd"/>
      <w:r w:rsidRPr="002A33DC">
        <w:rPr>
          <w:sz w:val="22"/>
        </w:rPr>
        <w:t xml:space="preserve"> benefits.  The total liability of both schemes, </w:t>
      </w:r>
      <w:r w:rsidRPr="00CD02FF">
        <w:rPr>
          <w:sz w:val="22"/>
        </w:rPr>
        <w:t>£</w:t>
      </w:r>
      <w:r w:rsidR="00B63CF1">
        <w:rPr>
          <w:sz w:val="22"/>
        </w:rPr>
        <w:t>802</w:t>
      </w:r>
      <w:r w:rsidRPr="00CD02FF">
        <w:rPr>
          <w:sz w:val="22"/>
        </w:rPr>
        <w:t>.</w:t>
      </w:r>
      <w:r w:rsidR="00B63CF1">
        <w:rPr>
          <w:sz w:val="22"/>
        </w:rPr>
        <w:t>621</w:t>
      </w:r>
      <w:r w:rsidRPr="00CD02FF">
        <w:rPr>
          <w:sz w:val="22"/>
        </w:rPr>
        <w:t>m</w:t>
      </w:r>
      <w:r w:rsidRPr="002A33DC">
        <w:rPr>
          <w:sz w:val="22"/>
        </w:rPr>
        <w:t xml:space="preserve">, has a substantial impact on the net worth of the Authority, as recorded in the Balance Sheet, resulting in a negative overall balance of </w:t>
      </w:r>
      <w:r w:rsidRPr="00C83C3A">
        <w:rPr>
          <w:sz w:val="22"/>
        </w:rPr>
        <w:t>£</w:t>
      </w:r>
      <w:r w:rsidR="00C83C3A" w:rsidRPr="00C83C3A">
        <w:rPr>
          <w:sz w:val="22"/>
        </w:rPr>
        <w:t>685</w:t>
      </w:r>
      <w:r w:rsidR="00CB4C48" w:rsidRPr="00C83C3A">
        <w:rPr>
          <w:sz w:val="22"/>
        </w:rPr>
        <w:t>.</w:t>
      </w:r>
      <w:r w:rsidR="00B63CF1">
        <w:rPr>
          <w:sz w:val="22"/>
        </w:rPr>
        <w:t>640</w:t>
      </w:r>
      <w:r w:rsidR="00B63CF1" w:rsidRPr="00C83C3A">
        <w:rPr>
          <w:sz w:val="22"/>
        </w:rPr>
        <w:t>m</w:t>
      </w:r>
      <w:r w:rsidR="00B63CF1" w:rsidRPr="002A33DC">
        <w:rPr>
          <w:sz w:val="22"/>
        </w:rPr>
        <w:t xml:space="preserve"> </w:t>
      </w:r>
      <w:r w:rsidRPr="002A33DC">
        <w:rPr>
          <w:sz w:val="22"/>
        </w:rPr>
        <w:t>(201</w:t>
      </w:r>
      <w:r w:rsidR="008E77CF">
        <w:rPr>
          <w:sz w:val="22"/>
        </w:rPr>
        <w:t>6</w:t>
      </w:r>
      <w:r w:rsidR="00846651" w:rsidRPr="002A33DC">
        <w:rPr>
          <w:sz w:val="22"/>
        </w:rPr>
        <w:t>/1</w:t>
      </w:r>
      <w:r w:rsidR="008E77CF">
        <w:rPr>
          <w:sz w:val="22"/>
        </w:rPr>
        <w:t>7</w:t>
      </w:r>
      <w:r w:rsidR="00B63CF1">
        <w:rPr>
          <w:sz w:val="22"/>
        </w:rPr>
        <w:t xml:space="preserve"> Restated</w:t>
      </w:r>
      <w:r w:rsidRPr="002A33DC">
        <w:rPr>
          <w:sz w:val="22"/>
        </w:rPr>
        <w:t xml:space="preserve">: </w:t>
      </w:r>
      <w:r w:rsidR="00D80E77" w:rsidRPr="002A33DC">
        <w:rPr>
          <w:sz w:val="22"/>
        </w:rPr>
        <w:t>£</w:t>
      </w:r>
      <w:r w:rsidR="00B63CF1">
        <w:rPr>
          <w:sz w:val="22"/>
        </w:rPr>
        <w:t>687</w:t>
      </w:r>
      <w:r w:rsidR="00D80E77" w:rsidRPr="002A33DC">
        <w:rPr>
          <w:sz w:val="22"/>
        </w:rPr>
        <w:t>.</w:t>
      </w:r>
      <w:r w:rsidR="00B63CF1">
        <w:rPr>
          <w:sz w:val="22"/>
        </w:rPr>
        <w:t>116</w:t>
      </w:r>
      <w:r w:rsidR="00D80E77" w:rsidRPr="002A33DC">
        <w:rPr>
          <w:sz w:val="22"/>
        </w:rPr>
        <w:t>m</w:t>
      </w:r>
      <w:r w:rsidRPr="002A33DC">
        <w:rPr>
          <w:sz w:val="22"/>
        </w:rPr>
        <w:t>).  However, statutory arrangements for funding the liability mean that the financial position of the Authority remains healthy:</w:t>
      </w:r>
    </w:p>
    <w:p w:rsidR="00D90216" w:rsidRPr="002A33DC" w:rsidRDefault="00D90216" w:rsidP="00D90216">
      <w:pPr>
        <w:ind w:left="709"/>
        <w:jc w:val="both"/>
        <w:rPr>
          <w:sz w:val="22"/>
        </w:rPr>
      </w:pPr>
    </w:p>
    <w:p w:rsidR="008853BC" w:rsidRPr="002A33DC" w:rsidRDefault="002A33DC" w:rsidP="00257947">
      <w:pPr>
        <w:numPr>
          <w:ilvl w:val="0"/>
          <w:numId w:val="4"/>
        </w:numPr>
        <w:tabs>
          <w:tab w:val="clear" w:pos="360"/>
          <w:tab w:val="num" w:pos="1069"/>
        </w:tabs>
        <w:ind w:left="1069"/>
        <w:jc w:val="both"/>
        <w:rPr>
          <w:sz w:val="22"/>
        </w:rPr>
      </w:pPr>
      <w:r w:rsidRPr="002A33DC">
        <w:rPr>
          <w:sz w:val="22"/>
        </w:rPr>
        <w:t>Any</w:t>
      </w:r>
      <w:r w:rsidR="00D90216" w:rsidRPr="002A33DC">
        <w:rPr>
          <w:sz w:val="22"/>
        </w:rPr>
        <w:t xml:space="preserve"> </w:t>
      </w:r>
      <w:r w:rsidRPr="002A33DC">
        <w:rPr>
          <w:sz w:val="22"/>
        </w:rPr>
        <w:t>surplus/</w:t>
      </w:r>
      <w:r w:rsidR="00B01A6F" w:rsidRPr="002A33DC">
        <w:rPr>
          <w:sz w:val="22"/>
        </w:rPr>
        <w:t>deficit</w:t>
      </w:r>
      <w:r w:rsidR="00D90216" w:rsidRPr="002A33DC">
        <w:rPr>
          <w:sz w:val="22"/>
        </w:rPr>
        <w:t xml:space="preserve"> on the Local Government Pensions scheme will be </w:t>
      </w:r>
      <w:r w:rsidR="008853BC" w:rsidRPr="002A33DC">
        <w:rPr>
          <w:sz w:val="22"/>
        </w:rPr>
        <w:t>recovered</w:t>
      </w:r>
      <w:r w:rsidR="00D90216" w:rsidRPr="002A33DC">
        <w:rPr>
          <w:sz w:val="22"/>
        </w:rPr>
        <w:t xml:space="preserve"> by </w:t>
      </w:r>
      <w:r w:rsidR="008853BC" w:rsidRPr="002A33DC">
        <w:rPr>
          <w:sz w:val="22"/>
        </w:rPr>
        <w:t>annual</w:t>
      </w:r>
      <w:r w:rsidR="00D82154" w:rsidRPr="002A33DC">
        <w:rPr>
          <w:sz w:val="22"/>
        </w:rPr>
        <w:t xml:space="preserve"> </w:t>
      </w:r>
      <w:r w:rsidR="008853BC" w:rsidRPr="002A33DC">
        <w:rPr>
          <w:sz w:val="22"/>
        </w:rPr>
        <w:t>repayments from</w:t>
      </w:r>
      <w:r w:rsidRPr="002A33DC">
        <w:rPr>
          <w:sz w:val="22"/>
        </w:rPr>
        <w:t>/to</w:t>
      </w:r>
      <w:r w:rsidR="008853BC" w:rsidRPr="002A33DC">
        <w:rPr>
          <w:sz w:val="22"/>
        </w:rPr>
        <w:t xml:space="preserve"> the fund</w:t>
      </w:r>
      <w:r w:rsidR="00D82154" w:rsidRPr="002A33DC">
        <w:rPr>
          <w:sz w:val="22"/>
        </w:rPr>
        <w:t>,</w:t>
      </w:r>
      <w:r w:rsidR="00D90216" w:rsidRPr="002A33DC">
        <w:rPr>
          <w:sz w:val="22"/>
        </w:rPr>
        <w:t xml:space="preserve"> </w:t>
      </w:r>
      <w:r w:rsidR="00D82154" w:rsidRPr="002A33DC">
        <w:rPr>
          <w:sz w:val="22"/>
        </w:rPr>
        <w:t xml:space="preserve">as assessed by the scheme actuary, throughout the agreed </w:t>
      </w:r>
      <w:r w:rsidR="008853BC" w:rsidRPr="002A33DC">
        <w:rPr>
          <w:sz w:val="22"/>
        </w:rPr>
        <w:t>surplus</w:t>
      </w:r>
      <w:r w:rsidR="00D82154" w:rsidRPr="002A33DC">
        <w:rPr>
          <w:sz w:val="22"/>
        </w:rPr>
        <w:t xml:space="preserve"> recovery period.</w:t>
      </w:r>
      <w:r w:rsidR="00AF377E" w:rsidRPr="002A33DC">
        <w:rPr>
          <w:sz w:val="22"/>
        </w:rPr>
        <w:t xml:space="preserve">  </w:t>
      </w:r>
      <w:r w:rsidRPr="002A33DC">
        <w:rPr>
          <w:sz w:val="22"/>
        </w:rPr>
        <w:t>Although the year end deficit above shows an £</w:t>
      </w:r>
      <w:r w:rsidR="004E6E14">
        <w:rPr>
          <w:sz w:val="22"/>
        </w:rPr>
        <w:t>6</w:t>
      </w:r>
      <w:r w:rsidRPr="002A33DC">
        <w:rPr>
          <w:sz w:val="22"/>
        </w:rPr>
        <w:t xml:space="preserve">m deficit, the latest actuarial </w:t>
      </w:r>
      <w:r w:rsidRPr="002A33DC">
        <w:rPr>
          <w:sz w:val="22"/>
        </w:rPr>
        <w:lastRenderedPageBreak/>
        <w:t>valuation was actually a surplus of £4.3m as at 31 March 2016, which is being recovered by annual receipts of £0.3m from the pension fund.</w:t>
      </w:r>
    </w:p>
    <w:p w:rsidR="00D90216" w:rsidRPr="002A33DC" w:rsidRDefault="00D90216" w:rsidP="00257947">
      <w:pPr>
        <w:numPr>
          <w:ilvl w:val="0"/>
          <w:numId w:val="4"/>
        </w:numPr>
        <w:tabs>
          <w:tab w:val="clear" w:pos="360"/>
          <w:tab w:val="num" w:pos="1069"/>
        </w:tabs>
        <w:ind w:left="1069"/>
        <w:jc w:val="both"/>
        <w:rPr>
          <w:sz w:val="22"/>
        </w:rPr>
      </w:pPr>
      <w:r w:rsidRPr="002A33DC">
        <w:rPr>
          <w:sz w:val="22"/>
        </w:rPr>
        <w:t>Finance is only required to be raised to cover fire fighter pensions when the pensions are actually paid.</w:t>
      </w:r>
    </w:p>
    <w:p w:rsidR="00D90216" w:rsidRPr="00A60775" w:rsidRDefault="00D90216" w:rsidP="00D90216">
      <w:pPr>
        <w:ind w:left="709"/>
        <w:jc w:val="both"/>
        <w:rPr>
          <w:sz w:val="22"/>
          <w:highlight w:val="cyan"/>
        </w:rPr>
      </w:pPr>
    </w:p>
    <w:p w:rsidR="00D90216" w:rsidRPr="00250B22" w:rsidRDefault="00D90216" w:rsidP="00D90216">
      <w:pPr>
        <w:ind w:left="709"/>
        <w:rPr>
          <w:sz w:val="22"/>
        </w:rPr>
      </w:pPr>
      <w:r w:rsidRPr="00250B22">
        <w:rPr>
          <w:sz w:val="22"/>
        </w:rPr>
        <w:t>Estimated contributions expected to be paid by the Authority into each scheme during the next financial year:</w:t>
      </w:r>
    </w:p>
    <w:p w:rsidR="00D90216" w:rsidRPr="00A60775" w:rsidRDefault="00D90216" w:rsidP="00D90216">
      <w:pPr>
        <w:ind w:left="709"/>
        <w:rPr>
          <w:sz w:val="22"/>
          <w:highlight w:val="cyan"/>
        </w:rPr>
      </w:pPr>
    </w:p>
    <w:tbl>
      <w:tblPr>
        <w:tblW w:w="9639" w:type="dxa"/>
        <w:tblInd w:w="675" w:type="dxa"/>
        <w:tblLook w:val="01E0" w:firstRow="1" w:lastRow="1" w:firstColumn="1" w:lastColumn="1" w:noHBand="0" w:noVBand="0"/>
      </w:tblPr>
      <w:tblGrid>
        <w:gridCol w:w="2835"/>
        <w:gridCol w:w="2268"/>
        <w:gridCol w:w="2410"/>
        <w:gridCol w:w="2126"/>
      </w:tblGrid>
      <w:tr w:rsidR="00D90216" w:rsidRPr="00D72DD9" w:rsidTr="00D72DD9">
        <w:tc>
          <w:tcPr>
            <w:tcW w:w="2835" w:type="dxa"/>
            <w:shd w:val="clear" w:color="auto" w:fill="auto"/>
          </w:tcPr>
          <w:p w:rsidR="00D90216" w:rsidRPr="00D72DD9" w:rsidRDefault="00D90216" w:rsidP="00D72DD9">
            <w:pPr>
              <w:ind w:left="426" w:hanging="426"/>
              <w:rPr>
                <w:sz w:val="22"/>
                <w:highlight w:val="cyan"/>
              </w:rPr>
            </w:pPr>
          </w:p>
        </w:tc>
        <w:tc>
          <w:tcPr>
            <w:tcW w:w="2268" w:type="dxa"/>
            <w:shd w:val="clear" w:color="auto" w:fill="auto"/>
          </w:tcPr>
          <w:p w:rsidR="00D90216" w:rsidRPr="00D72DD9" w:rsidRDefault="00D90216" w:rsidP="00D72DD9">
            <w:pPr>
              <w:jc w:val="center"/>
              <w:rPr>
                <w:sz w:val="22"/>
              </w:rPr>
            </w:pPr>
            <w:r w:rsidRPr="00D72DD9">
              <w:rPr>
                <w:sz w:val="22"/>
              </w:rPr>
              <w:t>Local Government Pension Scheme</w:t>
            </w:r>
            <w:r w:rsidR="00210E84">
              <w:rPr>
                <w:sz w:val="22"/>
              </w:rPr>
              <w:t>*</w:t>
            </w:r>
          </w:p>
        </w:tc>
        <w:tc>
          <w:tcPr>
            <w:tcW w:w="2410" w:type="dxa"/>
            <w:shd w:val="clear" w:color="auto" w:fill="auto"/>
          </w:tcPr>
          <w:p w:rsidR="00D90216" w:rsidRPr="00D72DD9" w:rsidRDefault="00D90216" w:rsidP="00D72DD9">
            <w:pPr>
              <w:jc w:val="center"/>
              <w:rPr>
                <w:sz w:val="22"/>
              </w:rPr>
            </w:pPr>
            <w:r w:rsidRPr="00D72DD9">
              <w:rPr>
                <w:sz w:val="22"/>
              </w:rPr>
              <w:t>Firefighters’ Pension Scheme</w:t>
            </w:r>
          </w:p>
        </w:tc>
        <w:tc>
          <w:tcPr>
            <w:tcW w:w="2126" w:type="dxa"/>
            <w:shd w:val="clear" w:color="auto" w:fill="auto"/>
          </w:tcPr>
          <w:p w:rsidR="00D90216" w:rsidRPr="00D72DD9" w:rsidRDefault="00D90216" w:rsidP="00D72DD9">
            <w:pPr>
              <w:jc w:val="center"/>
              <w:rPr>
                <w:sz w:val="22"/>
              </w:rPr>
            </w:pPr>
            <w:r w:rsidRPr="00D72DD9">
              <w:rPr>
                <w:sz w:val="22"/>
              </w:rPr>
              <w:t>Total</w:t>
            </w:r>
          </w:p>
        </w:tc>
      </w:tr>
      <w:tr w:rsidR="00D90216" w:rsidRPr="00D72DD9" w:rsidTr="00D72DD9">
        <w:tc>
          <w:tcPr>
            <w:tcW w:w="2835" w:type="dxa"/>
            <w:shd w:val="clear" w:color="auto" w:fill="auto"/>
          </w:tcPr>
          <w:p w:rsidR="00D90216" w:rsidRPr="00D72DD9" w:rsidRDefault="00D90216" w:rsidP="00CD62E6">
            <w:pPr>
              <w:rPr>
                <w:sz w:val="22"/>
                <w:highlight w:val="cyan"/>
              </w:rPr>
            </w:pPr>
          </w:p>
        </w:tc>
        <w:tc>
          <w:tcPr>
            <w:tcW w:w="2268" w:type="dxa"/>
            <w:shd w:val="clear" w:color="auto" w:fill="auto"/>
          </w:tcPr>
          <w:p w:rsidR="00D90216" w:rsidRPr="00D72DD9" w:rsidRDefault="00D90216" w:rsidP="00D72DD9">
            <w:pPr>
              <w:jc w:val="center"/>
              <w:rPr>
                <w:sz w:val="22"/>
              </w:rPr>
            </w:pPr>
            <w:r w:rsidRPr="00D72DD9">
              <w:rPr>
                <w:sz w:val="22"/>
              </w:rPr>
              <w:t>£000</w:t>
            </w:r>
          </w:p>
        </w:tc>
        <w:tc>
          <w:tcPr>
            <w:tcW w:w="2410" w:type="dxa"/>
            <w:shd w:val="clear" w:color="auto" w:fill="auto"/>
          </w:tcPr>
          <w:p w:rsidR="00D90216" w:rsidRPr="00D72DD9" w:rsidRDefault="00D90216" w:rsidP="00D72DD9">
            <w:pPr>
              <w:jc w:val="center"/>
              <w:rPr>
                <w:sz w:val="22"/>
              </w:rPr>
            </w:pPr>
            <w:r w:rsidRPr="00D72DD9">
              <w:rPr>
                <w:sz w:val="22"/>
              </w:rPr>
              <w:t>£000</w:t>
            </w:r>
          </w:p>
        </w:tc>
        <w:tc>
          <w:tcPr>
            <w:tcW w:w="2126" w:type="dxa"/>
            <w:shd w:val="clear" w:color="auto" w:fill="auto"/>
          </w:tcPr>
          <w:p w:rsidR="00D90216" w:rsidRPr="00D72DD9" w:rsidRDefault="00D90216" w:rsidP="00D72DD9">
            <w:pPr>
              <w:jc w:val="center"/>
              <w:rPr>
                <w:sz w:val="22"/>
              </w:rPr>
            </w:pPr>
            <w:r w:rsidRPr="00D72DD9">
              <w:rPr>
                <w:sz w:val="22"/>
              </w:rPr>
              <w:t>£000</w:t>
            </w:r>
          </w:p>
        </w:tc>
      </w:tr>
      <w:tr w:rsidR="00D90216" w:rsidRPr="00AF377E" w:rsidTr="00D72DD9">
        <w:trPr>
          <w:trHeight w:val="115"/>
        </w:trPr>
        <w:tc>
          <w:tcPr>
            <w:tcW w:w="2835" w:type="dxa"/>
            <w:shd w:val="clear" w:color="auto" w:fill="auto"/>
          </w:tcPr>
          <w:p w:rsidR="00D90216" w:rsidRPr="00AF377E" w:rsidRDefault="00D90216" w:rsidP="00D72DD9">
            <w:pPr>
              <w:ind w:left="34"/>
              <w:rPr>
                <w:sz w:val="22"/>
              </w:rPr>
            </w:pPr>
            <w:r w:rsidRPr="00AF377E">
              <w:rPr>
                <w:sz w:val="22"/>
              </w:rPr>
              <w:t>Estimated contributions</w:t>
            </w:r>
          </w:p>
        </w:tc>
        <w:tc>
          <w:tcPr>
            <w:tcW w:w="2268" w:type="dxa"/>
            <w:shd w:val="clear" w:color="auto" w:fill="auto"/>
          </w:tcPr>
          <w:p w:rsidR="00D90216" w:rsidRPr="0028104A" w:rsidRDefault="00750D39" w:rsidP="00D72DD9">
            <w:pPr>
              <w:jc w:val="center"/>
              <w:rPr>
                <w:sz w:val="22"/>
              </w:rPr>
            </w:pPr>
            <w:r>
              <w:rPr>
                <w:sz w:val="22"/>
              </w:rPr>
              <w:t>1,101</w:t>
            </w:r>
          </w:p>
        </w:tc>
        <w:tc>
          <w:tcPr>
            <w:tcW w:w="2410" w:type="dxa"/>
            <w:shd w:val="clear" w:color="auto" w:fill="auto"/>
          </w:tcPr>
          <w:p w:rsidR="00D90216" w:rsidRPr="0028104A" w:rsidRDefault="00953D69" w:rsidP="00AF377E">
            <w:pPr>
              <w:jc w:val="center"/>
              <w:rPr>
                <w:sz w:val="22"/>
              </w:rPr>
            </w:pPr>
            <w:r>
              <w:rPr>
                <w:sz w:val="22"/>
              </w:rPr>
              <w:t>3,843</w:t>
            </w:r>
          </w:p>
        </w:tc>
        <w:tc>
          <w:tcPr>
            <w:tcW w:w="2126" w:type="dxa"/>
            <w:shd w:val="clear" w:color="auto" w:fill="auto"/>
          </w:tcPr>
          <w:p w:rsidR="00D90216" w:rsidRPr="0028104A" w:rsidRDefault="00953D69" w:rsidP="00720544">
            <w:pPr>
              <w:jc w:val="center"/>
              <w:rPr>
                <w:sz w:val="22"/>
              </w:rPr>
            </w:pPr>
            <w:r>
              <w:rPr>
                <w:sz w:val="22"/>
              </w:rPr>
              <w:t>4,540</w:t>
            </w:r>
          </w:p>
        </w:tc>
      </w:tr>
    </w:tbl>
    <w:p w:rsidR="00210E84" w:rsidRPr="00210E84" w:rsidRDefault="00210E84" w:rsidP="00210E84">
      <w:pPr>
        <w:tabs>
          <w:tab w:val="num" w:pos="1069"/>
        </w:tabs>
        <w:ind w:left="709"/>
        <w:jc w:val="both"/>
        <w:rPr>
          <w:sz w:val="22"/>
        </w:rPr>
      </w:pPr>
    </w:p>
    <w:p w:rsidR="00D90216" w:rsidRDefault="00210E84" w:rsidP="00210E84">
      <w:pPr>
        <w:pStyle w:val="ListParagraph"/>
        <w:jc w:val="both"/>
        <w:rPr>
          <w:sz w:val="22"/>
        </w:rPr>
      </w:pPr>
      <w:r>
        <w:rPr>
          <w:sz w:val="22"/>
        </w:rPr>
        <w:t>*LGPS contributions shown are gross of the surplus recovery referred above.</w:t>
      </w:r>
    </w:p>
    <w:p w:rsidR="00210E84" w:rsidRPr="00210E84" w:rsidRDefault="00210E84" w:rsidP="00210E84">
      <w:pPr>
        <w:tabs>
          <w:tab w:val="num" w:pos="1069"/>
        </w:tabs>
        <w:ind w:left="709"/>
        <w:jc w:val="both"/>
        <w:rPr>
          <w:sz w:val="22"/>
        </w:rPr>
      </w:pPr>
    </w:p>
    <w:p w:rsidR="00D90216" w:rsidRPr="006E4CA7" w:rsidRDefault="00D90216" w:rsidP="00D90216">
      <w:pPr>
        <w:ind w:left="709"/>
        <w:jc w:val="both"/>
        <w:rPr>
          <w:b/>
          <w:sz w:val="22"/>
        </w:rPr>
      </w:pPr>
      <w:r w:rsidRPr="006E4CA7">
        <w:rPr>
          <w:b/>
          <w:sz w:val="22"/>
        </w:rPr>
        <w:t>Basis for Estimating Assets and Liabilities</w:t>
      </w:r>
    </w:p>
    <w:p w:rsidR="00D90216" w:rsidRPr="006E4CA7" w:rsidRDefault="00D90216" w:rsidP="00D90216">
      <w:pPr>
        <w:ind w:left="709"/>
        <w:jc w:val="both"/>
        <w:rPr>
          <w:sz w:val="22"/>
        </w:rPr>
      </w:pPr>
    </w:p>
    <w:p w:rsidR="00B56986" w:rsidRDefault="00D90216" w:rsidP="00D90216">
      <w:pPr>
        <w:ind w:left="709"/>
        <w:jc w:val="both"/>
        <w:rPr>
          <w:sz w:val="22"/>
        </w:rPr>
      </w:pPr>
      <w:r w:rsidRPr="006E4CA7">
        <w:rPr>
          <w:sz w:val="22"/>
        </w:rPr>
        <w:t xml:space="preserve">Liabilities have been assessed on an actuarial basis using the projected unit credit method, an estimate of the pensions that will be payable in future years dependent on assumptions about mortality rates, salary levels etc.  </w:t>
      </w:r>
    </w:p>
    <w:p w:rsidR="00B56986" w:rsidRDefault="00B56986" w:rsidP="00D90216">
      <w:pPr>
        <w:ind w:left="709"/>
        <w:jc w:val="both"/>
        <w:rPr>
          <w:sz w:val="22"/>
        </w:rPr>
      </w:pPr>
    </w:p>
    <w:p w:rsidR="00B56986" w:rsidRPr="00953D69" w:rsidRDefault="00B56986" w:rsidP="00D90216">
      <w:pPr>
        <w:ind w:left="709"/>
        <w:jc w:val="both"/>
        <w:rPr>
          <w:sz w:val="22"/>
        </w:rPr>
      </w:pPr>
      <w:r>
        <w:rPr>
          <w:sz w:val="22"/>
        </w:rPr>
        <w:t>T</w:t>
      </w:r>
      <w:r w:rsidRPr="006E4CA7">
        <w:rPr>
          <w:sz w:val="22"/>
        </w:rPr>
        <w:t>he Firefighters’ Scheme</w:t>
      </w:r>
      <w:r>
        <w:rPr>
          <w:sz w:val="22"/>
        </w:rPr>
        <w:t xml:space="preserve"> has been assessed by GAD (the Government Actuarial Department), an independent firm of actuaries.</w:t>
      </w:r>
      <w:r w:rsidRPr="00B56986">
        <w:rPr>
          <w:sz w:val="22"/>
        </w:rPr>
        <w:t xml:space="preserve"> </w:t>
      </w:r>
      <w:r w:rsidRPr="00C43C74">
        <w:rPr>
          <w:sz w:val="22"/>
        </w:rPr>
        <w:t xml:space="preserve">Estimates for the Firefighters pension scheme </w:t>
      </w:r>
      <w:r w:rsidRPr="00953D69">
        <w:rPr>
          <w:sz w:val="22"/>
        </w:rPr>
        <w:t xml:space="preserve">are based on a ‘roll forward approach’ which updates the last full valuation on 31 March 2015, taking account of any significant changes since this.  </w:t>
      </w:r>
    </w:p>
    <w:p w:rsidR="00B56986" w:rsidRPr="00953D69" w:rsidRDefault="00B56986" w:rsidP="00D90216">
      <w:pPr>
        <w:ind w:left="709"/>
        <w:jc w:val="both"/>
        <w:rPr>
          <w:sz w:val="22"/>
        </w:rPr>
      </w:pPr>
    </w:p>
    <w:p w:rsidR="00630EE2" w:rsidRDefault="00B56986" w:rsidP="00630EE2">
      <w:pPr>
        <w:ind w:left="709"/>
        <w:jc w:val="both"/>
        <w:rPr>
          <w:sz w:val="22"/>
        </w:rPr>
      </w:pPr>
      <w:r w:rsidRPr="00953D69">
        <w:rPr>
          <w:sz w:val="22"/>
        </w:rPr>
        <w:t>T</w:t>
      </w:r>
      <w:r w:rsidR="00D90216" w:rsidRPr="00953D69">
        <w:rPr>
          <w:sz w:val="22"/>
        </w:rPr>
        <w:t>he Local Government Fund liabilities have been assessed by Mercer Resource Consulting L</w:t>
      </w:r>
      <w:r w:rsidR="002B520D" w:rsidRPr="00953D69">
        <w:rPr>
          <w:sz w:val="22"/>
        </w:rPr>
        <w:t>imi</w:t>
      </w:r>
      <w:r w:rsidR="00D90216" w:rsidRPr="00953D69">
        <w:rPr>
          <w:sz w:val="22"/>
        </w:rPr>
        <w:t>t</w:t>
      </w:r>
      <w:r w:rsidR="002B520D" w:rsidRPr="00953D69">
        <w:rPr>
          <w:sz w:val="22"/>
        </w:rPr>
        <w:t>e</w:t>
      </w:r>
      <w:r w:rsidR="00D90216" w:rsidRPr="00953D69">
        <w:rPr>
          <w:sz w:val="22"/>
        </w:rPr>
        <w:t xml:space="preserve">d, an independent firm of actuaries.  Estimates </w:t>
      </w:r>
      <w:r w:rsidR="00E703AD" w:rsidRPr="00953D69">
        <w:rPr>
          <w:sz w:val="22"/>
        </w:rPr>
        <w:t xml:space="preserve">for the LGPS </w:t>
      </w:r>
      <w:r w:rsidR="00D90216" w:rsidRPr="00953D69">
        <w:rPr>
          <w:sz w:val="22"/>
        </w:rPr>
        <w:t xml:space="preserve">are based on </w:t>
      </w:r>
      <w:r w:rsidR="00A61833" w:rsidRPr="00953D69">
        <w:rPr>
          <w:sz w:val="22"/>
        </w:rPr>
        <w:t>a</w:t>
      </w:r>
      <w:r w:rsidR="00D90216" w:rsidRPr="00953D69">
        <w:rPr>
          <w:sz w:val="22"/>
        </w:rPr>
        <w:t xml:space="preserve"> </w:t>
      </w:r>
      <w:r w:rsidR="00630EE2" w:rsidRPr="00953D69">
        <w:rPr>
          <w:sz w:val="22"/>
        </w:rPr>
        <w:t xml:space="preserve">‘roll forward approach’ which updates the last </w:t>
      </w:r>
      <w:r w:rsidR="009B6E08" w:rsidRPr="00953D69">
        <w:rPr>
          <w:sz w:val="22"/>
        </w:rPr>
        <w:t>full valuation as at 31 March 2016</w:t>
      </w:r>
      <w:r w:rsidR="00630EE2" w:rsidRPr="00953D69">
        <w:rPr>
          <w:sz w:val="22"/>
        </w:rPr>
        <w:t>, taking account of any significant changes since this.</w:t>
      </w:r>
      <w:r w:rsidR="00630EE2" w:rsidRPr="00E703AD">
        <w:rPr>
          <w:sz w:val="22"/>
        </w:rPr>
        <w:t xml:space="preserve">  </w:t>
      </w:r>
    </w:p>
    <w:p w:rsidR="002E4CBA" w:rsidRDefault="002E4CBA" w:rsidP="00630EE2">
      <w:pPr>
        <w:jc w:val="both"/>
        <w:rPr>
          <w:sz w:val="22"/>
        </w:rPr>
      </w:pPr>
    </w:p>
    <w:p w:rsidR="00D90216" w:rsidRPr="00A60775" w:rsidRDefault="00D90216" w:rsidP="00D90216">
      <w:pPr>
        <w:ind w:left="709"/>
        <w:jc w:val="both"/>
        <w:rPr>
          <w:sz w:val="22"/>
          <w:highlight w:val="cyan"/>
        </w:rPr>
      </w:pPr>
      <w:r w:rsidRPr="006E4CA7">
        <w:rPr>
          <w:sz w:val="22"/>
        </w:rPr>
        <w:t>The principal assumptions used by the actuary have been:</w:t>
      </w:r>
    </w:p>
    <w:p w:rsidR="00D90216" w:rsidRPr="00A60775" w:rsidRDefault="00D90216" w:rsidP="00D90216">
      <w:pPr>
        <w:ind w:left="709"/>
        <w:jc w:val="both"/>
        <w:rPr>
          <w:sz w:val="22"/>
          <w:highlight w:val="cyan"/>
        </w:rPr>
      </w:pPr>
    </w:p>
    <w:tbl>
      <w:tblPr>
        <w:tblW w:w="10348" w:type="dxa"/>
        <w:tblInd w:w="817" w:type="dxa"/>
        <w:tblLayout w:type="fixed"/>
        <w:tblLook w:val="0000" w:firstRow="0" w:lastRow="0" w:firstColumn="0" w:lastColumn="0" w:noHBand="0" w:noVBand="0"/>
      </w:tblPr>
      <w:tblGrid>
        <w:gridCol w:w="3260"/>
        <w:gridCol w:w="1134"/>
        <w:gridCol w:w="1275"/>
        <w:gridCol w:w="1135"/>
        <w:gridCol w:w="1134"/>
        <w:gridCol w:w="1136"/>
        <w:gridCol w:w="1274"/>
      </w:tblGrid>
      <w:tr w:rsidR="00831B30" w:rsidRPr="00A60775" w:rsidTr="00DF6C93">
        <w:tc>
          <w:tcPr>
            <w:tcW w:w="3260" w:type="dxa"/>
          </w:tcPr>
          <w:p w:rsidR="00831B30" w:rsidRPr="00A60775" w:rsidRDefault="00831B30" w:rsidP="00CD62E6">
            <w:pPr>
              <w:jc w:val="both"/>
              <w:rPr>
                <w:sz w:val="22"/>
                <w:highlight w:val="cyan"/>
              </w:rPr>
            </w:pPr>
          </w:p>
        </w:tc>
        <w:tc>
          <w:tcPr>
            <w:tcW w:w="2409" w:type="dxa"/>
            <w:gridSpan w:val="2"/>
          </w:tcPr>
          <w:p w:rsidR="00831B30" w:rsidRPr="00043C0A" w:rsidRDefault="00831B30" w:rsidP="00CD62E6">
            <w:pPr>
              <w:jc w:val="center"/>
              <w:rPr>
                <w:sz w:val="22"/>
              </w:rPr>
            </w:pPr>
            <w:r>
              <w:rPr>
                <w:sz w:val="22"/>
              </w:rPr>
              <w:t xml:space="preserve">NWFC </w:t>
            </w:r>
            <w:r w:rsidRPr="00043C0A">
              <w:rPr>
                <w:sz w:val="22"/>
              </w:rPr>
              <w:t>Local Government Pension Scheme</w:t>
            </w:r>
          </w:p>
        </w:tc>
        <w:tc>
          <w:tcPr>
            <w:tcW w:w="2269" w:type="dxa"/>
            <w:gridSpan w:val="2"/>
          </w:tcPr>
          <w:p w:rsidR="00831B30" w:rsidRPr="00043C0A" w:rsidRDefault="00831B30" w:rsidP="00CD62E6">
            <w:pPr>
              <w:jc w:val="center"/>
              <w:rPr>
                <w:sz w:val="22"/>
              </w:rPr>
            </w:pPr>
            <w:r>
              <w:rPr>
                <w:sz w:val="22"/>
              </w:rPr>
              <w:t xml:space="preserve">LCFA </w:t>
            </w:r>
            <w:r w:rsidRPr="00043C0A">
              <w:rPr>
                <w:sz w:val="22"/>
              </w:rPr>
              <w:t>Local Government Pension Scheme</w:t>
            </w:r>
          </w:p>
        </w:tc>
        <w:tc>
          <w:tcPr>
            <w:tcW w:w="2410" w:type="dxa"/>
            <w:gridSpan w:val="2"/>
          </w:tcPr>
          <w:p w:rsidR="00831B30" w:rsidRPr="00043C0A" w:rsidRDefault="00831B30" w:rsidP="00CD62E6">
            <w:pPr>
              <w:jc w:val="center"/>
              <w:rPr>
                <w:sz w:val="22"/>
              </w:rPr>
            </w:pPr>
            <w:r w:rsidRPr="00043C0A">
              <w:rPr>
                <w:sz w:val="22"/>
              </w:rPr>
              <w:t>Uniformed Firefighters’ Pension Scheme</w:t>
            </w:r>
          </w:p>
        </w:tc>
      </w:tr>
      <w:tr w:rsidR="00831B30" w:rsidRPr="00A60775" w:rsidTr="00DF6C93">
        <w:tc>
          <w:tcPr>
            <w:tcW w:w="3260" w:type="dxa"/>
          </w:tcPr>
          <w:p w:rsidR="00831B30" w:rsidRPr="00A60775" w:rsidRDefault="00831B30" w:rsidP="00CD62E6">
            <w:pPr>
              <w:jc w:val="both"/>
              <w:rPr>
                <w:sz w:val="22"/>
                <w:highlight w:val="cyan"/>
              </w:rPr>
            </w:pPr>
          </w:p>
        </w:tc>
        <w:tc>
          <w:tcPr>
            <w:tcW w:w="1134" w:type="dxa"/>
          </w:tcPr>
          <w:p w:rsidR="00831B30" w:rsidRPr="007C3B9D" w:rsidRDefault="00831B30" w:rsidP="005274B5">
            <w:pPr>
              <w:jc w:val="center"/>
              <w:rPr>
                <w:sz w:val="22"/>
              </w:rPr>
            </w:pPr>
            <w:r w:rsidRPr="007C3B9D">
              <w:rPr>
                <w:sz w:val="22"/>
              </w:rPr>
              <w:t>31 March 201</w:t>
            </w:r>
            <w:r>
              <w:rPr>
                <w:sz w:val="22"/>
              </w:rPr>
              <w:t>8</w:t>
            </w:r>
          </w:p>
        </w:tc>
        <w:tc>
          <w:tcPr>
            <w:tcW w:w="1275" w:type="dxa"/>
          </w:tcPr>
          <w:p w:rsidR="00831B30" w:rsidRPr="007C3B9D" w:rsidRDefault="00831B30" w:rsidP="005274B5">
            <w:pPr>
              <w:jc w:val="center"/>
              <w:rPr>
                <w:sz w:val="22"/>
              </w:rPr>
            </w:pPr>
            <w:r w:rsidRPr="007C3B9D">
              <w:rPr>
                <w:sz w:val="22"/>
              </w:rPr>
              <w:t>31 March 201</w:t>
            </w:r>
            <w:r>
              <w:rPr>
                <w:sz w:val="22"/>
              </w:rPr>
              <w:t>7</w:t>
            </w:r>
          </w:p>
        </w:tc>
        <w:tc>
          <w:tcPr>
            <w:tcW w:w="1135" w:type="dxa"/>
          </w:tcPr>
          <w:p w:rsidR="00831B30" w:rsidRPr="007C3B9D" w:rsidRDefault="00831B30" w:rsidP="005274B5">
            <w:pPr>
              <w:jc w:val="center"/>
              <w:rPr>
                <w:sz w:val="22"/>
              </w:rPr>
            </w:pPr>
            <w:r w:rsidRPr="007C3B9D">
              <w:rPr>
                <w:sz w:val="22"/>
              </w:rPr>
              <w:t>31 March 201</w:t>
            </w:r>
            <w:r>
              <w:rPr>
                <w:sz w:val="22"/>
              </w:rPr>
              <w:t>8</w:t>
            </w:r>
          </w:p>
        </w:tc>
        <w:tc>
          <w:tcPr>
            <w:tcW w:w="1134" w:type="dxa"/>
          </w:tcPr>
          <w:p w:rsidR="00831B30" w:rsidRPr="007C3B9D" w:rsidRDefault="00831B30" w:rsidP="005274B5">
            <w:pPr>
              <w:jc w:val="center"/>
              <w:rPr>
                <w:sz w:val="22"/>
              </w:rPr>
            </w:pPr>
            <w:r w:rsidRPr="007C3B9D">
              <w:rPr>
                <w:sz w:val="22"/>
              </w:rPr>
              <w:t>31 March 201</w:t>
            </w:r>
            <w:r>
              <w:rPr>
                <w:sz w:val="22"/>
              </w:rPr>
              <w:t>7</w:t>
            </w:r>
          </w:p>
        </w:tc>
        <w:tc>
          <w:tcPr>
            <w:tcW w:w="1136" w:type="dxa"/>
          </w:tcPr>
          <w:p w:rsidR="00831B30" w:rsidRPr="007C3B9D" w:rsidRDefault="00831B30" w:rsidP="005274B5">
            <w:pPr>
              <w:jc w:val="center"/>
              <w:rPr>
                <w:sz w:val="22"/>
              </w:rPr>
            </w:pPr>
            <w:r w:rsidRPr="007C3B9D">
              <w:rPr>
                <w:sz w:val="22"/>
              </w:rPr>
              <w:t>31 March 201</w:t>
            </w:r>
            <w:r>
              <w:rPr>
                <w:sz w:val="22"/>
              </w:rPr>
              <w:t>8</w:t>
            </w:r>
          </w:p>
        </w:tc>
        <w:tc>
          <w:tcPr>
            <w:tcW w:w="1274" w:type="dxa"/>
          </w:tcPr>
          <w:p w:rsidR="00831B30" w:rsidRPr="007C3B9D" w:rsidRDefault="00831B30" w:rsidP="00831B30">
            <w:pPr>
              <w:jc w:val="center"/>
              <w:rPr>
                <w:sz w:val="22"/>
              </w:rPr>
            </w:pPr>
            <w:r>
              <w:rPr>
                <w:sz w:val="22"/>
              </w:rPr>
              <w:t>31 March</w:t>
            </w:r>
            <w:r w:rsidRPr="007C3B9D">
              <w:rPr>
                <w:sz w:val="22"/>
              </w:rPr>
              <w:t xml:space="preserve"> 201</w:t>
            </w:r>
            <w:r>
              <w:rPr>
                <w:sz w:val="22"/>
              </w:rPr>
              <w:t>7</w:t>
            </w:r>
          </w:p>
        </w:tc>
      </w:tr>
      <w:tr w:rsidR="00831B30" w:rsidRPr="00A60775" w:rsidTr="00DF6C93">
        <w:tc>
          <w:tcPr>
            <w:tcW w:w="3260" w:type="dxa"/>
          </w:tcPr>
          <w:p w:rsidR="00831B30" w:rsidRPr="00043C0A" w:rsidRDefault="00831B30" w:rsidP="00CD62E6">
            <w:pPr>
              <w:jc w:val="both"/>
              <w:rPr>
                <w:sz w:val="22"/>
              </w:rPr>
            </w:pPr>
            <w:r w:rsidRPr="00043C0A">
              <w:rPr>
                <w:sz w:val="22"/>
              </w:rPr>
              <w:t>Mortality assumptions:</w:t>
            </w:r>
          </w:p>
        </w:tc>
        <w:tc>
          <w:tcPr>
            <w:tcW w:w="1134" w:type="dxa"/>
          </w:tcPr>
          <w:p w:rsidR="00831B30" w:rsidRPr="009B6E08" w:rsidRDefault="00831B30" w:rsidP="00CD62E6">
            <w:pPr>
              <w:jc w:val="center"/>
              <w:rPr>
                <w:snapToGrid w:val="0"/>
                <w:color w:val="000000"/>
                <w:sz w:val="22"/>
                <w:highlight w:val="yellow"/>
              </w:rPr>
            </w:pPr>
          </w:p>
        </w:tc>
        <w:tc>
          <w:tcPr>
            <w:tcW w:w="1275" w:type="dxa"/>
          </w:tcPr>
          <w:p w:rsidR="00831B30" w:rsidRPr="009B6E08" w:rsidRDefault="00831B30" w:rsidP="00CD62E6">
            <w:pPr>
              <w:jc w:val="center"/>
              <w:rPr>
                <w:snapToGrid w:val="0"/>
                <w:color w:val="000000"/>
                <w:sz w:val="22"/>
                <w:highlight w:val="yellow"/>
              </w:rPr>
            </w:pPr>
          </w:p>
        </w:tc>
        <w:tc>
          <w:tcPr>
            <w:tcW w:w="1135" w:type="dxa"/>
          </w:tcPr>
          <w:p w:rsidR="00831B30" w:rsidRPr="009B6E08" w:rsidRDefault="00831B30" w:rsidP="00CD62E6">
            <w:pPr>
              <w:jc w:val="center"/>
              <w:rPr>
                <w:snapToGrid w:val="0"/>
                <w:color w:val="000000"/>
                <w:sz w:val="22"/>
                <w:highlight w:val="yellow"/>
              </w:rPr>
            </w:pPr>
          </w:p>
        </w:tc>
        <w:tc>
          <w:tcPr>
            <w:tcW w:w="1134" w:type="dxa"/>
          </w:tcPr>
          <w:p w:rsidR="00831B30" w:rsidRPr="009B6E08" w:rsidRDefault="00831B30" w:rsidP="00766A7A">
            <w:pPr>
              <w:jc w:val="center"/>
              <w:rPr>
                <w:snapToGrid w:val="0"/>
                <w:color w:val="000000"/>
                <w:sz w:val="22"/>
                <w:highlight w:val="yellow"/>
              </w:rPr>
            </w:pPr>
          </w:p>
        </w:tc>
        <w:tc>
          <w:tcPr>
            <w:tcW w:w="1136" w:type="dxa"/>
          </w:tcPr>
          <w:p w:rsidR="00831B30" w:rsidRPr="009B6E08" w:rsidRDefault="00831B30" w:rsidP="00D804F4">
            <w:pPr>
              <w:jc w:val="center"/>
              <w:rPr>
                <w:snapToGrid w:val="0"/>
                <w:color w:val="000000"/>
                <w:sz w:val="22"/>
                <w:highlight w:val="yellow"/>
              </w:rPr>
            </w:pPr>
          </w:p>
        </w:tc>
        <w:tc>
          <w:tcPr>
            <w:tcW w:w="1274" w:type="dxa"/>
          </w:tcPr>
          <w:p w:rsidR="00831B30" w:rsidRPr="009B6E08" w:rsidRDefault="00831B30" w:rsidP="00766A7A">
            <w:pPr>
              <w:jc w:val="center"/>
              <w:rPr>
                <w:snapToGrid w:val="0"/>
                <w:color w:val="000000"/>
                <w:sz w:val="22"/>
                <w:highlight w:val="yellow"/>
              </w:rPr>
            </w:pPr>
          </w:p>
        </w:tc>
      </w:tr>
      <w:tr w:rsidR="00831B30" w:rsidRPr="00A60775" w:rsidTr="00DF6C93">
        <w:tc>
          <w:tcPr>
            <w:tcW w:w="3260" w:type="dxa"/>
          </w:tcPr>
          <w:p w:rsidR="00831B30" w:rsidRPr="00043C0A" w:rsidRDefault="00831B30" w:rsidP="00CD62E6">
            <w:pPr>
              <w:jc w:val="both"/>
              <w:rPr>
                <w:sz w:val="22"/>
              </w:rPr>
            </w:pPr>
            <w:r w:rsidRPr="00043C0A">
              <w:rPr>
                <w:sz w:val="22"/>
              </w:rPr>
              <w:t>Longevity at 65 for current pensioners:</w:t>
            </w:r>
          </w:p>
        </w:tc>
        <w:tc>
          <w:tcPr>
            <w:tcW w:w="1134" w:type="dxa"/>
          </w:tcPr>
          <w:p w:rsidR="00831B30" w:rsidRPr="009B6E08" w:rsidRDefault="00831B30" w:rsidP="00CD62E6">
            <w:pPr>
              <w:jc w:val="center"/>
              <w:rPr>
                <w:snapToGrid w:val="0"/>
                <w:color w:val="000000"/>
                <w:sz w:val="22"/>
                <w:highlight w:val="yellow"/>
              </w:rPr>
            </w:pPr>
          </w:p>
        </w:tc>
        <w:tc>
          <w:tcPr>
            <w:tcW w:w="1275" w:type="dxa"/>
          </w:tcPr>
          <w:p w:rsidR="00831B30" w:rsidRPr="009B6E08" w:rsidRDefault="00831B30" w:rsidP="00CD62E6">
            <w:pPr>
              <w:jc w:val="center"/>
              <w:rPr>
                <w:snapToGrid w:val="0"/>
                <w:color w:val="000000"/>
                <w:sz w:val="22"/>
                <w:highlight w:val="yellow"/>
              </w:rPr>
            </w:pPr>
          </w:p>
        </w:tc>
        <w:tc>
          <w:tcPr>
            <w:tcW w:w="1135" w:type="dxa"/>
          </w:tcPr>
          <w:p w:rsidR="00831B30" w:rsidRPr="009B6E08" w:rsidRDefault="00831B30" w:rsidP="00CD62E6">
            <w:pPr>
              <w:jc w:val="center"/>
              <w:rPr>
                <w:snapToGrid w:val="0"/>
                <w:color w:val="000000"/>
                <w:sz w:val="22"/>
                <w:highlight w:val="yellow"/>
              </w:rPr>
            </w:pPr>
          </w:p>
        </w:tc>
        <w:tc>
          <w:tcPr>
            <w:tcW w:w="1134" w:type="dxa"/>
          </w:tcPr>
          <w:p w:rsidR="00831B30" w:rsidRPr="009B6E08" w:rsidRDefault="00831B30" w:rsidP="00766A7A">
            <w:pPr>
              <w:jc w:val="center"/>
              <w:rPr>
                <w:snapToGrid w:val="0"/>
                <w:color w:val="000000"/>
                <w:sz w:val="22"/>
                <w:highlight w:val="yellow"/>
              </w:rPr>
            </w:pPr>
          </w:p>
        </w:tc>
        <w:tc>
          <w:tcPr>
            <w:tcW w:w="1136" w:type="dxa"/>
          </w:tcPr>
          <w:p w:rsidR="00831B30" w:rsidRPr="005E1C71" w:rsidRDefault="00831B30" w:rsidP="00D804F4">
            <w:pPr>
              <w:jc w:val="center"/>
              <w:rPr>
                <w:snapToGrid w:val="0"/>
                <w:color w:val="000000"/>
                <w:sz w:val="22"/>
              </w:rPr>
            </w:pPr>
          </w:p>
        </w:tc>
        <w:tc>
          <w:tcPr>
            <w:tcW w:w="1274" w:type="dxa"/>
          </w:tcPr>
          <w:p w:rsidR="00831B30" w:rsidRPr="009B6E08" w:rsidRDefault="00831B30" w:rsidP="00766A7A">
            <w:pPr>
              <w:jc w:val="center"/>
              <w:rPr>
                <w:snapToGrid w:val="0"/>
                <w:color w:val="000000"/>
                <w:sz w:val="22"/>
                <w:highlight w:val="yellow"/>
              </w:rPr>
            </w:pPr>
          </w:p>
        </w:tc>
      </w:tr>
      <w:tr w:rsidR="00831B30" w:rsidRPr="00A60775" w:rsidTr="00DF6C93">
        <w:tc>
          <w:tcPr>
            <w:tcW w:w="3260" w:type="dxa"/>
          </w:tcPr>
          <w:p w:rsidR="00831B30" w:rsidRPr="00043C0A" w:rsidRDefault="00831B30" w:rsidP="00CD62E6">
            <w:pPr>
              <w:ind w:left="601"/>
              <w:jc w:val="both"/>
              <w:rPr>
                <w:sz w:val="22"/>
              </w:rPr>
            </w:pPr>
            <w:r w:rsidRPr="00043C0A">
              <w:rPr>
                <w:sz w:val="22"/>
              </w:rPr>
              <w:t>Men</w:t>
            </w:r>
          </w:p>
        </w:tc>
        <w:tc>
          <w:tcPr>
            <w:tcW w:w="1134" w:type="dxa"/>
          </w:tcPr>
          <w:p w:rsidR="00831B30" w:rsidRDefault="00831B30" w:rsidP="002957B6">
            <w:pPr>
              <w:jc w:val="center"/>
              <w:rPr>
                <w:snapToGrid w:val="0"/>
                <w:color w:val="000000"/>
                <w:sz w:val="22"/>
              </w:rPr>
            </w:pPr>
            <w:r>
              <w:rPr>
                <w:snapToGrid w:val="0"/>
                <w:color w:val="000000"/>
                <w:sz w:val="22"/>
              </w:rPr>
              <w:t>22.3</w:t>
            </w:r>
          </w:p>
        </w:tc>
        <w:tc>
          <w:tcPr>
            <w:tcW w:w="1275" w:type="dxa"/>
          </w:tcPr>
          <w:p w:rsidR="00831B30" w:rsidRPr="0091265A" w:rsidRDefault="00781970" w:rsidP="002957B6">
            <w:pPr>
              <w:jc w:val="center"/>
              <w:rPr>
                <w:snapToGrid w:val="0"/>
                <w:color w:val="000000"/>
                <w:sz w:val="22"/>
              </w:rPr>
            </w:pPr>
            <w:r>
              <w:rPr>
                <w:snapToGrid w:val="0"/>
                <w:color w:val="000000"/>
                <w:sz w:val="22"/>
              </w:rPr>
              <w:t>22.3</w:t>
            </w:r>
          </w:p>
        </w:tc>
        <w:tc>
          <w:tcPr>
            <w:tcW w:w="1135" w:type="dxa"/>
          </w:tcPr>
          <w:p w:rsidR="00831B30" w:rsidRPr="0011310C" w:rsidRDefault="00831B30" w:rsidP="002957B6">
            <w:pPr>
              <w:jc w:val="center"/>
              <w:rPr>
                <w:snapToGrid w:val="0"/>
                <w:color w:val="000000"/>
                <w:sz w:val="22"/>
              </w:rPr>
            </w:pPr>
            <w:r>
              <w:rPr>
                <w:snapToGrid w:val="0"/>
                <w:color w:val="000000"/>
                <w:sz w:val="22"/>
              </w:rPr>
              <w:t>22.7</w:t>
            </w:r>
          </w:p>
        </w:tc>
        <w:tc>
          <w:tcPr>
            <w:tcW w:w="1134" w:type="dxa"/>
          </w:tcPr>
          <w:p w:rsidR="00831B30" w:rsidRPr="0011310C" w:rsidRDefault="00831B30" w:rsidP="005274B5">
            <w:pPr>
              <w:jc w:val="center"/>
              <w:rPr>
                <w:snapToGrid w:val="0"/>
                <w:color w:val="000000"/>
                <w:sz w:val="22"/>
              </w:rPr>
            </w:pPr>
            <w:r>
              <w:rPr>
                <w:snapToGrid w:val="0"/>
                <w:color w:val="000000"/>
                <w:sz w:val="22"/>
              </w:rPr>
              <w:t>22.6</w:t>
            </w:r>
          </w:p>
        </w:tc>
        <w:tc>
          <w:tcPr>
            <w:tcW w:w="1136" w:type="dxa"/>
          </w:tcPr>
          <w:p w:rsidR="00831B30" w:rsidRPr="005E1C71" w:rsidRDefault="00831B30" w:rsidP="0011310C">
            <w:pPr>
              <w:jc w:val="center"/>
              <w:rPr>
                <w:snapToGrid w:val="0"/>
                <w:color w:val="000000"/>
                <w:sz w:val="22"/>
              </w:rPr>
            </w:pPr>
            <w:r>
              <w:rPr>
                <w:snapToGrid w:val="0"/>
                <w:color w:val="000000"/>
                <w:sz w:val="22"/>
              </w:rPr>
              <w:t>21.9</w:t>
            </w:r>
          </w:p>
        </w:tc>
        <w:tc>
          <w:tcPr>
            <w:tcW w:w="1274" w:type="dxa"/>
          </w:tcPr>
          <w:p w:rsidR="00831B30" w:rsidRPr="005E1C71" w:rsidRDefault="00831B30" w:rsidP="005274B5">
            <w:pPr>
              <w:jc w:val="center"/>
              <w:rPr>
                <w:snapToGrid w:val="0"/>
                <w:color w:val="000000"/>
                <w:sz w:val="22"/>
              </w:rPr>
            </w:pPr>
            <w:r w:rsidRPr="005E1C71">
              <w:rPr>
                <w:snapToGrid w:val="0"/>
                <w:color w:val="000000"/>
                <w:sz w:val="22"/>
              </w:rPr>
              <w:t>22.4</w:t>
            </w:r>
          </w:p>
        </w:tc>
      </w:tr>
      <w:tr w:rsidR="00831B30" w:rsidRPr="00A60775" w:rsidTr="00DF6C93">
        <w:tc>
          <w:tcPr>
            <w:tcW w:w="3260" w:type="dxa"/>
          </w:tcPr>
          <w:p w:rsidR="00831B30" w:rsidRPr="00043C0A" w:rsidRDefault="00831B30" w:rsidP="00CD62E6">
            <w:pPr>
              <w:ind w:left="601"/>
              <w:jc w:val="both"/>
              <w:rPr>
                <w:sz w:val="22"/>
              </w:rPr>
            </w:pPr>
            <w:r w:rsidRPr="00043C0A">
              <w:rPr>
                <w:sz w:val="22"/>
              </w:rPr>
              <w:t>Women</w:t>
            </w:r>
          </w:p>
        </w:tc>
        <w:tc>
          <w:tcPr>
            <w:tcW w:w="1134" w:type="dxa"/>
          </w:tcPr>
          <w:p w:rsidR="00831B30" w:rsidRDefault="00831B30" w:rsidP="0011310C">
            <w:pPr>
              <w:jc w:val="center"/>
              <w:rPr>
                <w:snapToGrid w:val="0"/>
                <w:color w:val="000000"/>
                <w:sz w:val="22"/>
              </w:rPr>
            </w:pPr>
            <w:r>
              <w:rPr>
                <w:snapToGrid w:val="0"/>
                <w:color w:val="000000"/>
                <w:sz w:val="22"/>
              </w:rPr>
              <w:t>24.5</w:t>
            </w:r>
          </w:p>
        </w:tc>
        <w:tc>
          <w:tcPr>
            <w:tcW w:w="1275" w:type="dxa"/>
          </w:tcPr>
          <w:p w:rsidR="00831B30" w:rsidRPr="0091265A" w:rsidRDefault="00781970" w:rsidP="0011310C">
            <w:pPr>
              <w:jc w:val="center"/>
              <w:rPr>
                <w:snapToGrid w:val="0"/>
                <w:color w:val="000000"/>
                <w:sz w:val="22"/>
              </w:rPr>
            </w:pPr>
            <w:r>
              <w:rPr>
                <w:snapToGrid w:val="0"/>
                <w:color w:val="000000"/>
                <w:sz w:val="22"/>
              </w:rPr>
              <w:t>24.5</w:t>
            </w:r>
          </w:p>
        </w:tc>
        <w:tc>
          <w:tcPr>
            <w:tcW w:w="1135" w:type="dxa"/>
          </w:tcPr>
          <w:p w:rsidR="00831B30" w:rsidRPr="0011310C" w:rsidRDefault="00831B30" w:rsidP="0011310C">
            <w:pPr>
              <w:jc w:val="center"/>
              <w:rPr>
                <w:snapToGrid w:val="0"/>
                <w:color w:val="000000"/>
                <w:sz w:val="22"/>
              </w:rPr>
            </w:pPr>
            <w:r>
              <w:rPr>
                <w:snapToGrid w:val="0"/>
                <w:color w:val="000000"/>
                <w:sz w:val="22"/>
              </w:rPr>
              <w:t>25.4</w:t>
            </w:r>
          </w:p>
        </w:tc>
        <w:tc>
          <w:tcPr>
            <w:tcW w:w="1134" w:type="dxa"/>
          </w:tcPr>
          <w:p w:rsidR="00831B30" w:rsidRPr="0011310C" w:rsidRDefault="00831B30" w:rsidP="005274B5">
            <w:pPr>
              <w:jc w:val="center"/>
              <w:rPr>
                <w:snapToGrid w:val="0"/>
                <w:color w:val="000000"/>
                <w:sz w:val="22"/>
              </w:rPr>
            </w:pPr>
            <w:r>
              <w:rPr>
                <w:snapToGrid w:val="0"/>
                <w:color w:val="000000"/>
                <w:sz w:val="22"/>
              </w:rPr>
              <w:t>25.2</w:t>
            </w:r>
          </w:p>
        </w:tc>
        <w:tc>
          <w:tcPr>
            <w:tcW w:w="1136" w:type="dxa"/>
          </w:tcPr>
          <w:p w:rsidR="00831B30" w:rsidRPr="0011310C" w:rsidRDefault="00831B30" w:rsidP="0011310C">
            <w:pPr>
              <w:jc w:val="center"/>
              <w:rPr>
                <w:snapToGrid w:val="0"/>
                <w:color w:val="000000"/>
                <w:sz w:val="22"/>
              </w:rPr>
            </w:pPr>
            <w:r>
              <w:rPr>
                <w:snapToGrid w:val="0"/>
                <w:color w:val="000000"/>
                <w:sz w:val="22"/>
              </w:rPr>
              <w:t>21.9</w:t>
            </w:r>
          </w:p>
        </w:tc>
        <w:tc>
          <w:tcPr>
            <w:tcW w:w="1274" w:type="dxa"/>
          </w:tcPr>
          <w:p w:rsidR="00831B30" w:rsidRPr="0011310C" w:rsidRDefault="00831B30" w:rsidP="005274B5">
            <w:pPr>
              <w:jc w:val="center"/>
              <w:rPr>
                <w:snapToGrid w:val="0"/>
                <w:color w:val="000000"/>
                <w:sz w:val="22"/>
              </w:rPr>
            </w:pPr>
            <w:r>
              <w:rPr>
                <w:snapToGrid w:val="0"/>
                <w:color w:val="000000"/>
                <w:sz w:val="22"/>
              </w:rPr>
              <w:t>22.4</w:t>
            </w:r>
          </w:p>
        </w:tc>
      </w:tr>
      <w:tr w:rsidR="00831B30" w:rsidRPr="00A60775" w:rsidTr="00DF6C93">
        <w:tc>
          <w:tcPr>
            <w:tcW w:w="3260" w:type="dxa"/>
          </w:tcPr>
          <w:p w:rsidR="00831B30" w:rsidRPr="00043C0A" w:rsidRDefault="00831B30" w:rsidP="00CD62E6">
            <w:pPr>
              <w:jc w:val="both"/>
              <w:rPr>
                <w:sz w:val="22"/>
              </w:rPr>
            </w:pPr>
            <w:r w:rsidRPr="00043C0A">
              <w:rPr>
                <w:sz w:val="22"/>
              </w:rPr>
              <w:t>Longevity at 65 for future pensioners:</w:t>
            </w:r>
          </w:p>
        </w:tc>
        <w:tc>
          <w:tcPr>
            <w:tcW w:w="1134" w:type="dxa"/>
          </w:tcPr>
          <w:p w:rsidR="00831B30" w:rsidRPr="009B6E08" w:rsidRDefault="00831B30" w:rsidP="00CD62E6">
            <w:pPr>
              <w:jc w:val="center"/>
              <w:rPr>
                <w:snapToGrid w:val="0"/>
                <w:color w:val="000000"/>
                <w:sz w:val="22"/>
                <w:highlight w:val="yellow"/>
              </w:rPr>
            </w:pPr>
          </w:p>
        </w:tc>
        <w:tc>
          <w:tcPr>
            <w:tcW w:w="1275" w:type="dxa"/>
          </w:tcPr>
          <w:p w:rsidR="00831B30" w:rsidRPr="0091265A" w:rsidRDefault="00831B30" w:rsidP="00CD62E6">
            <w:pPr>
              <w:jc w:val="center"/>
              <w:rPr>
                <w:snapToGrid w:val="0"/>
                <w:color w:val="000000"/>
                <w:sz w:val="22"/>
              </w:rPr>
            </w:pPr>
          </w:p>
        </w:tc>
        <w:tc>
          <w:tcPr>
            <w:tcW w:w="1135" w:type="dxa"/>
          </w:tcPr>
          <w:p w:rsidR="00831B30" w:rsidRPr="009B6E08" w:rsidRDefault="00831B30" w:rsidP="00CD62E6">
            <w:pPr>
              <w:jc w:val="center"/>
              <w:rPr>
                <w:snapToGrid w:val="0"/>
                <w:color w:val="000000"/>
                <w:sz w:val="22"/>
                <w:highlight w:val="yellow"/>
              </w:rPr>
            </w:pPr>
          </w:p>
        </w:tc>
        <w:tc>
          <w:tcPr>
            <w:tcW w:w="1134" w:type="dxa"/>
          </w:tcPr>
          <w:p w:rsidR="00831B30" w:rsidRPr="009B6E08" w:rsidRDefault="00831B30" w:rsidP="005274B5">
            <w:pPr>
              <w:jc w:val="center"/>
              <w:rPr>
                <w:snapToGrid w:val="0"/>
                <w:color w:val="000000"/>
                <w:sz w:val="22"/>
                <w:highlight w:val="yellow"/>
              </w:rPr>
            </w:pPr>
          </w:p>
        </w:tc>
        <w:tc>
          <w:tcPr>
            <w:tcW w:w="1136" w:type="dxa"/>
          </w:tcPr>
          <w:p w:rsidR="00831B30" w:rsidRPr="009B6E08" w:rsidRDefault="00831B30" w:rsidP="00D804F4">
            <w:pPr>
              <w:jc w:val="center"/>
              <w:rPr>
                <w:snapToGrid w:val="0"/>
                <w:color w:val="000000"/>
                <w:sz w:val="22"/>
                <w:highlight w:val="yellow"/>
              </w:rPr>
            </w:pPr>
          </w:p>
        </w:tc>
        <w:tc>
          <w:tcPr>
            <w:tcW w:w="1274" w:type="dxa"/>
          </w:tcPr>
          <w:p w:rsidR="00831B30" w:rsidRPr="009B6E08" w:rsidRDefault="00831B30" w:rsidP="005274B5">
            <w:pPr>
              <w:jc w:val="center"/>
              <w:rPr>
                <w:snapToGrid w:val="0"/>
                <w:color w:val="000000"/>
                <w:sz w:val="22"/>
                <w:highlight w:val="yellow"/>
              </w:rPr>
            </w:pPr>
          </w:p>
        </w:tc>
      </w:tr>
      <w:tr w:rsidR="00781970" w:rsidRPr="00A60775" w:rsidTr="00DF6C93">
        <w:tc>
          <w:tcPr>
            <w:tcW w:w="3260" w:type="dxa"/>
          </w:tcPr>
          <w:p w:rsidR="00781970" w:rsidRPr="00043C0A" w:rsidRDefault="00781970" w:rsidP="00CD62E6">
            <w:pPr>
              <w:ind w:left="601"/>
              <w:jc w:val="both"/>
              <w:rPr>
                <w:sz w:val="22"/>
              </w:rPr>
            </w:pPr>
            <w:r w:rsidRPr="00043C0A">
              <w:rPr>
                <w:sz w:val="22"/>
              </w:rPr>
              <w:t>Men</w:t>
            </w:r>
          </w:p>
        </w:tc>
        <w:tc>
          <w:tcPr>
            <w:tcW w:w="1134" w:type="dxa"/>
          </w:tcPr>
          <w:p w:rsidR="00781970" w:rsidRDefault="00781970" w:rsidP="005E1C71">
            <w:pPr>
              <w:jc w:val="center"/>
              <w:rPr>
                <w:snapToGrid w:val="0"/>
                <w:color w:val="000000"/>
                <w:sz w:val="22"/>
              </w:rPr>
            </w:pPr>
            <w:r>
              <w:rPr>
                <w:snapToGrid w:val="0"/>
                <w:color w:val="000000"/>
                <w:sz w:val="22"/>
              </w:rPr>
              <w:t>23.9</w:t>
            </w:r>
          </w:p>
        </w:tc>
        <w:tc>
          <w:tcPr>
            <w:tcW w:w="1275" w:type="dxa"/>
          </w:tcPr>
          <w:p w:rsidR="00781970" w:rsidRPr="0091265A" w:rsidRDefault="00781970" w:rsidP="005E1C71">
            <w:pPr>
              <w:jc w:val="center"/>
              <w:rPr>
                <w:snapToGrid w:val="0"/>
                <w:color w:val="000000"/>
                <w:sz w:val="22"/>
              </w:rPr>
            </w:pPr>
            <w:r>
              <w:rPr>
                <w:snapToGrid w:val="0"/>
                <w:color w:val="000000"/>
                <w:sz w:val="22"/>
              </w:rPr>
              <w:t>23.9</w:t>
            </w:r>
          </w:p>
        </w:tc>
        <w:tc>
          <w:tcPr>
            <w:tcW w:w="1135" w:type="dxa"/>
          </w:tcPr>
          <w:p w:rsidR="00781970" w:rsidRPr="0011310C" w:rsidRDefault="00781970" w:rsidP="005E1C71">
            <w:pPr>
              <w:jc w:val="center"/>
              <w:rPr>
                <w:snapToGrid w:val="0"/>
                <w:color w:val="000000"/>
                <w:sz w:val="22"/>
              </w:rPr>
            </w:pPr>
            <w:r>
              <w:rPr>
                <w:snapToGrid w:val="0"/>
                <w:color w:val="000000"/>
                <w:sz w:val="22"/>
              </w:rPr>
              <w:t>25.0</w:t>
            </w:r>
          </w:p>
        </w:tc>
        <w:tc>
          <w:tcPr>
            <w:tcW w:w="1134" w:type="dxa"/>
          </w:tcPr>
          <w:p w:rsidR="00781970" w:rsidRPr="0011310C" w:rsidRDefault="00781970" w:rsidP="005274B5">
            <w:pPr>
              <w:jc w:val="center"/>
              <w:rPr>
                <w:snapToGrid w:val="0"/>
                <w:color w:val="000000"/>
                <w:sz w:val="22"/>
              </w:rPr>
            </w:pPr>
            <w:r>
              <w:rPr>
                <w:snapToGrid w:val="0"/>
                <w:color w:val="000000"/>
                <w:sz w:val="22"/>
              </w:rPr>
              <w:t>24.9</w:t>
            </w:r>
          </w:p>
        </w:tc>
        <w:tc>
          <w:tcPr>
            <w:tcW w:w="1136" w:type="dxa"/>
          </w:tcPr>
          <w:p w:rsidR="00781970" w:rsidRPr="0011310C" w:rsidRDefault="00781970" w:rsidP="0011310C">
            <w:pPr>
              <w:jc w:val="center"/>
              <w:rPr>
                <w:snapToGrid w:val="0"/>
                <w:color w:val="000000"/>
                <w:sz w:val="22"/>
              </w:rPr>
            </w:pPr>
            <w:r>
              <w:rPr>
                <w:snapToGrid w:val="0"/>
                <w:color w:val="000000"/>
                <w:sz w:val="22"/>
              </w:rPr>
              <w:t>23.9</w:t>
            </w:r>
          </w:p>
        </w:tc>
        <w:tc>
          <w:tcPr>
            <w:tcW w:w="1274" w:type="dxa"/>
          </w:tcPr>
          <w:p w:rsidR="00781970" w:rsidRPr="0011310C" w:rsidRDefault="00781970" w:rsidP="005274B5">
            <w:pPr>
              <w:jc w:val="center"/>
              <w:rPr>
                <w:snapToGrid w:val="0"/>
                <w:color w:val="000000"/>
                <w:sz w:val="22"/>
              </w:rPr>
            </w:pPr>
            <w:r>
              <w:rPr>
                <w:snapToGrid w:val="0"/>
                <w:color w:val="000000"/>
                <w:sz w:val="22"/>
              </w:rPr>
              <w:t>24.7</w:t>
            </w:r>
          </w:p>
        </w:tc>
      </w:tr>
      <w:tr w:rsidR="00781970" w:rsidRPr="00A60775" w:rsidTr="00DF6C93">
        <w:tc>
          <w:tcPr>
            <w:tcW w:w="3260" w:type="dxa"/>
          </w:tcPr>
          <w:p w:rsidR="00781970" w:rsidRPr="00043C0A" w:rsidRDefault="00781970" w:rsidP="00CD62E6">
            <w:pPr>
              <w:ind w:left="601"/>
              <w:jc w:val="both"/>
              <w:rPr>
                <w:sz w:val="22"/>
              </w:rPr>
            </w:pPr>
            <w:r w:rsidRPr="00043C0A">
              <w:rPr>
                <w:sz w:val="22"/>
              </w:rPr>
              <w:t>Women</w:t>
            </w:r>
          </w:p>
        </w:tc>
        <w:tc>
          <w:tcPr>
            <w:tcW w:w="1134" w:type="dxa"/>
          </w:tcPr>
          <w:p w:rsidR="00781970" w:rsidRDefault="00781970" w:rsidP="0011310C">
            <w:pPr>
              <w:jc w:val="center"/>
              <w:rPr>
                <w:snapToGrid w:val="0"/>
                <w:color w:val="000000"/>
                <w:sz w:val="22"/>
              </w:rPr>
            </w:pPr>
            <w:r>
              <w:rPr>
                <w:snapToGrid w:val="0"/>
                <w:color w:val="000000"/>
                <w:sz w:val="22"/>
              </w:rPr>
              <w:t>26.5</w:t>
            </w:r>
          </w:p>
        </w:tc>
        <w:tc>
          <w:tcPr>
            <w:tcW w:w="1275" w:type="dxa"/>
          </w:tcPr>
          <w:p w:rsidR="00781970" w:rsidRPr="0091265A" w:rsidRDefault="00781970" w:rsidP="0011310C">
            <w:pPr>
              <w:jc w:val="center"/>
              <w:rPr>
                <w:snapToGrid w:val="0"/>
                <w:color w:val="000000"/>
                <w:sz w:val="22"/>
              </w:rPr>
            </w:pPr>
            <w:r>
              <w:rPr>
                <w:snapToGrid w:val="0"/>
                <w:color w:val="000000"/>
                <w:sz w:val="22"/>
              </w:rPr>
              <w:t>26.5</w:t>
            </w:r>
          </w:p>
        </w:tc>
        <w:tc>
          <w:tcPr>
            <w:tcW w:w="1135" w:type="dxa"/>
          </w:tcPr>
          <w:p w:rsidR="00781970" w:rsidRPr="0011310C" w:rsidRDefault="00781970" w:rsidP="0011310C">
            <w:pPr>
              <w:jc w:val="center"/>
              <w:rPr>
                <w:snapToGrid w:val="0"/>
                <w:color w:val="000000"/>
                <w:sz w:val="22"/>
              </w:rPr>
            </w:pPr>
            <w:r>
              <w:rPr>
                <w:snapToGrid w:val="0"/>
                <w:color w:val="000000"/>
                <w:sz w:val="22"/>
              </w:rPr>
              <w:t>28.0</w:t>
            </w:r>
          </w:p>
        </w:tc>
        <w:tc>
          <w:tcPr>
            <w:tcW w:w="1134" w:type="dxa"/>
          </w:tcPr>
          <w:p w:rsidR="00781970" w:rsidRPr="0011310C" w:rsidRDefault="00781970" w:rsidP="005274B5">
            <w:pPr>
              <w:jc w:val="center"/>
              <w:rPr>
                <w:snapToGrid w:val="0"/>
                <w:color w:val="000000"/>
                <w:sz w:val="22"/>
              </w:rPr>
            </w:pPr>
            <w:r>
              <w:rPr>
                <w:snapToGrid w:val="0"/>
                <w:color w:val="000000"/>
                <w:sz w:val="22"/>
              </w:rPr>
              <w:t>27.9</w:t>
            </w:r>
          </w:p>
        </w:tc>
        <w:tc>
          <w:tcPr>
            <w:tcW w:w="1136" w:type="dxa"/>
          </w:tcPr>
          <w:p w:rsidR="00781970" w:rsidRPr="0011310C" w:rsidRDefault="00781970" w:rsidP="0011310C">
            <w:pPr>
              <w:jc w:val="center"/>
              <w:rPr>
                <w:snapToGrid w:val="0"/>
                <w:color w:val="000000"/>
                <w:sz w:val="22"/>
              </w:rPr>
            </w:pPr>
            <w:r>
              <w:rPr>
                <w:snapToGrid w:val="0"/>
                <w:color w:val="000000"/>
                <w:sz w:val="22"/>
              </w:rPr>
              <w:t>23.9</w:t>
            </w:r>
          </w:p>
        </w:tc>
        <w:tc>
          <w:tcPr>
            <w:tcW w:w="1274" w:type="dxa"/>
          </w:tcPr>
          <w:p w:rsidR="00781970" w:rsidRPr="0011310C" w:rsidRDefault="00781970" w:rsidP="005274B5">
            <w:pPr>
              <w:jc w:val="center"/>
              <w:rPr>
                <w:snapToGrid w:val="0"/>
                <w:color w:val="000000"/>
                <w:sz w:val="22"/>
              </w:rPr>
            </w:pPr>
            <w:r>
              <w:rPr>
                <w:snapToGrid w:val="0"/>
                <w:color w:val="000000"/>
                <w:sz w:val="22"/>
              </w:rPr>
              <w:t>24.7</w:t>
            </w:r>
          </w:p>
        </w:tc>
      </w:tr>
      <w:tr w:rsidR="00831B30" w:rsidRPr="00A60775" w:rsidTr="00DF6C93">
        <w:tc>
          <w:tcPr>
            <w:tcW w:w="3260" w:type="dxa"/>
          </w:tcPr>
          <w:p w:rsidR="00831B30" w:rsidRPr="00043C0A" w:rsidRDefault="00831B30" w:rsidP="00CD62E6">
            <w:pPr>
              <w:jc w:val="both"/>
              <w:rPr>
                <w:sz w:val="22"/>
              </w:rPr>
            </w:pPr>
            <w:r w:rsidRPr="00043C0A">
              <w:rPr>
                <w:sz w:val="22"/>
              </w:rPr>
              <w:t>Rate of</w:t>
            </w:r>
            <w:r>
              <w:rPr>
                <w:sz w:val="22"/>
              </w:rPr>
              <w:t xml:space="preserve"> CPI</w:t>
            </w:r>
            <w:r w:rsidRPr="00043C0A">
              <w:rPr>
                <w:sz w:val="22"/>
              </w:rPr>
              <w:t xml:space="preserve"> inflation</w:t>
            </w:r>
          </w:p>
        </w:tc>
        <w:tc>
          <w:tcPr>
            <w:tcW w:w="1134" w:type="dxa"/>
          </w:tcPr>
          <w:p w:rsidR="00831B30" w:rsidRDefault="00831B30" w:rsidP="00A5142D">
            <w:pPr>
              <w:jc w:val="center"/>
              <w:rPr>
                <w:snapToGrid w:val="0"/>
                <w:color w:val="000000"/>
                <w:sz w:val="22"/>
              </w:rPr>
            </w:pPr>
            <w:r>
              <w:rPr>
                <w:snapToGrid w:val="0"/>
                <w:color w:val="000000"/>
                <w:sz w:val="22"/>
              </w:rPr>
              <w:t>2.40%</w:t>
            </w:r>
          </w:p>
        </w:tc>
        <w:tc>
          <w:tcPr>
            <w:tcW w:w="1275" w:type="dxa"/>
          </w:tcPr>
          <w:p w:rsidR="00831B30" w:rsidRDefault="00831B30" w:rsidP="00A5142D">
            <w:pPr>
              <w:jc w:val="center"/>
              <w:rPr>
                <w:snapToGrid w:val="0"/>
                <w:color w:val="000000"/>
                <w:sz w:val="22"/>
              </w:rPr>
            </w:pPr>
            <w:r>
              <w:rPr>
                <w:snapToGrid w:val="0"/>
                <w:color w:val="000000"/>
                <w:sz w:val="22"/>
              </w:rPr>
              <w:t>2.40%</w:t>
            </w:r>
          </w:p>
        </w:tc>
        <w:tc>
          <w:tcPr>
            <w:tcW w:w="1135" w:type="dxa"/>
          </w:tcPr>
          <w:p w:rsidR="00831B30" w:rsidRPr="0011310C" w:rsidRDefault="00831B30" w:rsidP="00A5142D">
            <w:pPr>
              <w:jc w:val="center"/>
              <w:rPr>
                <w:snapToGrid w:val="0"/>
                <w:color w:val="000000"/>
                <w:sz w:val="22"/>
              </w:rPr>
            </w:pPr>
            <w:r>
              <w:rPr>
                <w:snapToGrid w:val="0"/>
                <w:color w:val="000000"/>
                <w:sz w:val="22"/>
              </w:rPr>
              <w:t>2.10%</w:t>
            </w:r>
          </w:p>
        </w:tc>
        <w:tc>
          <w:tcPr>
            <w:tcW w:w="1134" w:type="dxa"/>
          </w:tcPr>
          <w:p w:rsidR="00831B30" w:rsidRPr="0011310C" w:rsidRDefault="00831B30" w:rsidP="005274B5">
            <w:pPr>
              <w:jc w:val="center"/>
              <w:rPr>
                <w:snapToGrid w:val="0"/>
                <w:color w:val="000000"/>
                <w:sz w:val="22"/>
              </w:rPr>
            </w:pPr>
            <w:r>
              <w:rPr>
                <w:snapToGrid w:val="0"/>
                <w:color w:val="000000"/>
                <w:sz w:val="22"/>
              </w:rPr>
              <w:t>2.30%</w:t>
            </w:r>
          </w:p>
        </w:tc>
        <w:tc>
          <w:tcPr>
            <w:tcW w:w="1136" w:type="dxa"/>
          </w:tcPr>
          <w:p w:rsidR="00831B30" w:rsidRPr="0011310C" w:rsidRDefault="00831B30" w:rsidP="00A5142D">
            <w:pPr>
              <w:jc w:val="center"/>
              <w:rPr>
                <w:snapToGrid w:val="0"/>
                <w:color w:val="000000"/>
                <w:sz w:val="22"/>
              </w:rPr>
            </w:pPr>
            <w:r>
              <w:rPr>
                <w:snapToGrid w:val="0"/>
                <w:color w:val="000000"/>
                <w:sz w:val="22"/>
              </w:rPr>
              <w:t>2.30%</w:t>
            </w:r>
          </w:p>
        </w:tc>
        <w:tc>
          <w:tcPr>
            <w:tcW w:w="1274" w:type="dxa"/>
          </w:tcPr>
          <w:p w:rsidR="00831B30" w:rsidRPr="0011310C" w:rsidRDefault="00831B30" w:rsidP="005274B5">
            <w:pPr>
              <w:jc w:val="center"/>
              <w:rPr>
                <w:snapToGrid w:val="0"/>
                <w:color w:val="000000"/>
                <w:sz w:val="22"/>
              </w:rPr>
            </w:pPr>
            <w:r>
              <w:rPr>
                <w:snapToGrid w:val="0"/>
                <w:color w:val="000000"/>
                <w:sz w:val="22"/>
              </w:rPr>
              <w:t>2.35%</w:t>
            </w:r>
          </w:p>
        </w:tc>
      </w:tr>
      <w:tr w:rsidR="00831B30" w:rsidRPr="00A60775" w:rsidTr="00DF6C93">
        <w:tc>
          <w:tcPr>
            <w:tcW w:w="3260" w:type="dxa"/>
          </w:tcPr>
          <w:p w:rsidR="00831B30" w:rsidRPr="00043C0A" w:rsidRDefault="00831B30" w:rsidP="00CD62E6">
            <w:pPr>
              <w:jc w:val="both"/>
              <w:rPr>
                <w:sz w:val="22"/>
              </w:rPr>
            </w:pPr>
            <w:r w:rsidRPr="00043C0A">
              <w:rPr>
                <w:sz w:val="22"/>
              </w:rPr>
              <w:t>Rate of increase in salaries</w:t>
            </w:r>
          </w:p>
        </w:tc>
        <w:tc>
          <w:tcPr>
            <w:tcW w:w="1134" w:type="dxa"/>
          </w:tcPr>
          <w:p w:rsidR="00831B30" w:rsidRDefault="00831B30" w:rsidP="0011310C">
            <w:pPr>
              <w:jc w:val="center"/>
              <w:rPr>
                <w:snapToGrid w:val="0"/>
                <w:color w:val="000000"/>
                <w:sz w:val="22"/>
              </w:rPr>
            </w:pPr>
            <w:r>
              <w:rPr>
                <w:snapToGrid w:val="0"/>
                <w:color w:val="000000"/>
                <w:sz w:val="22"/>
              </w:rPr>
              <w:t>2.60%</w:t>
            </w:r>
          </w:p>
        </w:tc>
        <w:tc>
          <w:tcPr>
            <w:tcW w:w="1275" w:type="dxa"/>
          </w:tcPr>
          <w:p w:rsidR="00831B30" w:rsidRDefault="00831B30" w:rsidP="0011310C">
            <w:pPr>
              <w:jc w:val="center"/>
              <w:rPr>
                <w:snapToGrid w:val="0"/>
                <w:color w:val="000000"/>
                <w:sz w:val="22"/>
              </w:rPr>
            </w:pPr>
            <w:r>
              <w:rPr>
                <w:snapToGrid w:val="0"/>
                <w:color w:val="000000"/>
                <w:sz w:val="22"/>
              </w:rPr>
              <w:t>2.70%</w:t>
            </w:r>
          </w:p>
        </w:tc>
        <w:tc>
          <w:tcPr>
            <w:tcW w:w="1135" w:type="dxa"/>
          </w:tcPr>
          <w:p w:rsidR="00831B30" w:rsidRPr="0011310C" w:rsidRDefault="00831B30" w:rsidP="0011310C">
            <w:pPr>
              <w:jc w:val="center"/>
              <w:rPr>
                <w:snapToGrid w:val="0"/>
                <w:color w:val="000000"/>
                <w:sz w:val="22"/>
              </w:rPr>
            </w:pPr>
            <w:r>
              <w:rPr>
                <w:snapToGrid w:val="0"/>
                <w:color w:val="000000"/>
                <w:sz w:val="22"/>
              </w:rPr>
              <w:t>3.60%</w:t>
            </w:r>
          </w:p>
        </w:tc>
        <w:tc>
          <w:tcPr>
            <w:tcW w:w="1134" w:type="dxa"/>
          </w:tcPr>
          <w:p w:rsidR="00831B30" w:rsidRPr="0011310C" w:rsidRDefault="00831B30" w:rsidP="005274B5">
            <w:pPr>
              <w:jc w:val="center"/>
              <w:rPr>
                <w:snapToGrid w:val="0"/>
                <w:color w:val="000000"/>
                <w:sz w:val="22"/>
              </w:rPr>
            </w:pPr>
            <w:r>
              <w:rPr>
                <w:snapToGrid w:val="0"/>
                <w:color w:val="000000"/>
                <w:sz w:val="22"/>
              </w:rPr>
              <w:t>3.80%</w:t>
            </w:r>
          </w:p>
        </w:tc>
        <w:tc>
          <w:tcPr>
            <w:tcW w:w="1136" w:type="dxa"/>
          </w:tcPr>
          <w:p w:rsidR="00831B30" w:rsidRPr="0011310C" w:rsidRDefault="00831B30" w:rsidP="0011310C">
            <w:pPr>
              <w:jc w:val="center"/>
              <w:rPr>
                <w:snapToGrid w:val="0"/>
                <w:color w:val="000000"/>
                <w:sz w:val="22"/>
              </w:rPr>
            </w:pPr>
            <w:r>
              <w:rPr>
                <w:snapToGrid w:val="0"/>
                <w:color w:val="000000"/>
                <w:sz w:val="22"/>
              </w:rPr>
              <w:t>4.30%</w:t>
            </w:r>
          </w:p>
        </w:tc>
        <w:tc>
          <w:tcPr>
            <w:tcW w:w="1274" w:type="dxa"/>
          </w:tcPr>
          <w:p w:rsidR="00831B30" w:rsidRPr="0011310C" w:rsidRDefault="00831B30" w:rsidP="005274B5">
            <w:pPr>
              <w:jc w:val="center"/>
              <w:rPr>
                <w:snapToGrid w:val="0"/>
                <w:color w:val="000000"/>
                <w:sz w:val="22"/>
              </w:rPr>
            </w:pPr>
            <w:r>
              <w:rPr>
                <w:snapToGrid w:val="0"/>
                <w:color w:val="000000"/>
                <w:sz w:val="22"/>
              </w:rPr>
              <w:t>4.35%</w:t>
            </w:r>
          </w:p>
        </w:tc>
      </w:tr>
      <w:tr w:rsidR="00831B30" w:rsidRPr="00A60775" w:rsidTr="00DF6C93">
        <w:tc>
          <w:tcPr>
            <w:tcW w:w="3260" w:type="dxa"/>
          </w:tcPr>
          <w:p w:rsidR="00831B30" w:rsidRPr="00043C0A" w:rsidRDefault="00831B30" w:rsidP="00CD62E6">
            <w:pPr>
              <w:jc w:val="both"/>
              <w:rPr>
                <w:sz w:val="22"/>
              </w:rPr>
            </w:pPr>
            <w:r w:rsidRPr="00043C0A">
              <w:rPr>
                <w:sz w:val="22"/>
              </w:rPr>
              <w:t>Rate of increase in pensions</w:t>
            </w:r>
          </w:p>
        </w:tc>
        <w:tc>
          <w:tcPr>
            <w:tcW w:w="1134" w:type="dxa"/>
          </w:tcPr>
          <w:p w:rsidR="00831B30" w:rsidRDefault="00831B30" w:rsidP="00A5142D">
            <w:pPr>
              <w:jc w:val="center"/>
              <w:rPr>
                <w:snapToGrid w:val="0"/>
                <w:color w:val="000000"/>
                <w:sz w:val="22"/>
              </w:rPr>
            </w:pPr>
            <w:r>
              <w:rPr>
                <w:snapToGrid w:val="0"/>
                <w:color w:val="000000"/>
                <w:sz w:val="22"/>
              </w:rPr>
              <w:t>2.30%</w:t>
            </w:r>
          </w:p>
        </w:tc>
        <w:tc>
          <w:tcPr>
            <w:tcW w:w="1275" w:type="dxa"/>
          </w:tcPr>
          <w:p w:rsidR="00831B30" w:rsidRDefault="00831B30" w:rsidP="00A5142D">
            <w:pPr>
              <w:jc w:val="center"/>
              <w:rPr>
                <w:snapToGrid w:val="0"/>
                <w:color w:val="000000"/>
                <w:sz w:val="22"/>
              </w:rPr>
            </w:pPr>
            <w:r>
              <w:rPr>
                <w:snapToGrid w:val="0"/>
                <w:color w:val="000000"/>
                <w:sz w:val="22"/>
              </w:rPr>
              <w:t>2.40%</w:t>
            </w:r>
          </w:p>
        </w:tc>
        <w:tc>
          <w:tcPr>
            <w:tcW w:w="1135" w:type="dxa"/>
          </w:tcPr>
          <w:p w:rsidR="00831B30" w:rsidRPr="0011310C" w:rsidRDefault="00831B30" w:rsidP="00A5142D">
            <w:pPr>
              <w:jc w:val="center"/>
              <w:rPr>
                <w:snapToGrid w:val="0"/>
                <w:color w:val="000000"/>
                <w:sz w:val="22"/>
              </w:rPr>
            </w:pPr>
            <w:r>
              <w:rPr>
                <w:snapToGrid w:val="0"/>
                <w:color w:val="000000"/>
                <w:sz w:val="22"/>
              </w:rPr>
              <w:t>2.20%</w:t>
            </w:r>
          </w:p>
        </w:tc>
        <w:tc>
          <w:tcPr>
            <w:tcW w:w="1134" w:type="dxa"/>
          </w:tcPr>
          <w:p w:rsidR="00831B30" w:rsidRPr="0011310C" w:rsidRDefault="00831B30" w:rsidP="005274B5">
            <w:pPr>
              <w:jc w:val="center"/>
              <w:rPr>
                <w:snapToGrid w:val="0"/>
                <w:color w:val="000000"/>
                <w:sz w:val="22"/>
              </w:rPr>
            </w:pPr>
            <w:r>
              <w:rPr>
                <w:snapToGrid w:val="0"/>
                <w:color w:val="000000"/>
                <w:sz w:val="22"/>
              </w:rPr>
              <w:t>2.30%</w:t>
            </w:r>
          </w:p>
        </w:tc>
        <w:tc>
          <w:tcPr>
            <w:tcW w:w="1136" w:type="dxa"/>
          </w:tcPr>
          <w:p w:rsidR="00831B30" w:rsidRPr="0011310C" w:rsidRDefault="00831B30" w:rsidP="00A5142D">
            <w:pPr>
              <w:jc w:val="center"/>
              <w:rPr>
                <w:snapToGrid w:val="0"/>
                <w:color w:val="000000"/>
                <w:sz w:val="22"/>
              </w:rPr>
            </w:pPr>
            <w:r>
              <w:rPr>
                <w:snapToGrid w:val="0"/>
                <w:color w:val="000000"/>
                <w:sz w:val="22"/>
              </w:rPr>
              <w:t>2.30%</w:t>
            </w:r>
          </w:p>
        </w:tc>
        <w:tc>
          <w:tcPr>
            <w:tcW w:w="1274" w:type="dxa"/>
          </w:tcPr>
          <w:p w:rsidR="00831B30" w:rsidRPr="0011310C" w:rsidRDefault="00831B30" w:rsidP="005274B5">
            <w:pPr>
              <w:jc w:val="center"/>
              <w:rPr>
                <w:snapToGrid w:val="0"/>
                <w:color w:val="000000"/>
                <w:sz w:val="22"/>
              </w:rPr>
            </w:pPr>
            <w:r>
              <w:rPr>
                <w:snapToGrid w:val="0"/>
                <w:color w:val="000000"/>
                <w:sz w:val="22"/>
              </w:rPr>
              <w:t>2.35%</w:t>
            </w:r>
          </w:p>
        </w:tc>
      </w:tr>
      <w:tr w:rsidR="00831B30" w:rsidRPr="00A60775" w:rsidTr="00DF6C93">
        <w:tc>
          <w:tcPr>
            <w:tcW w:w="3260" w:type="dxa"/>
          </w:tcPr>
          <w:p w:rsidR="00831B30" w:rsidRPr="00043C0A" w:rsidRDefault="00831B30" w:rsidP="00CD62E6">
            <w:pPr>
              <w:jc w:val="both"/>
              <w:rPr>
                <w:sz w:val="22"/>
              </w:rPr>
            </w:pPr>
            <w:r w:rsidRPr="00043C0A">
              <w:rPr>
                <w:sz w:val="22"/>
              </w:rPr>
              <w:t>Rate for discounting scheme liabilities</w:t>
            </w:r>
          </w:p>
        </w:tc>
        <w:tc>
          <w:tcPr>
            <w:tcW w:w="1134" w:type="dxa"/>
          </w:tcPr>
          <w:p w:rsidR="00831B30" w:rsidRDefault="00831B30" w:rsidP="0011310C">
            <w:pPr>
              <w:jc w:val="center"/>
              <w:rPr>
                <w:snapToGrid w:val="0"/>
                <w:color w:val="000000"/>
                <w:sz w:val="22"/>
              </w:rPr>
            </w:pPr>
            <w:r>
              <w:rPr>
                <w:snapToGrid w:val="0"/>
                <w:color w:val="000000"/>
                <w:sz w:val="22"/>
              </w:rPr>
              <w:t>2.70%</w:t>
            </w:r>
          </w:p>
        </w:tc>
        <w:tc>
          <w:tcPr>
            <w:tcW w:w="1275" w:type="dxa"/>
          </w:tcPr>
          <w:p w:rsidR="00831B30" w:rsidRDefault="00831B30" w:rsidP="0011310C">
            <w:pPr>
              <w:jc w:val="center"/>
              <w:rPr>
                <w:snapToGrid w:val="0"/>
                <w:color w:val="000000"/>
                <w:sz w:val="22"/>
              </w:rPr>
            </w:pPr>
            <w:r>
              <w:rPr>
                <w:snapToGrid w:val="0"/>
                <w:color w:val="000000"/>
                <w:sz w:val="22"/>
              </w:rPr>
              <w:t>2.70%</w:t>
            </w:r>
          </w:p>
        </w:tc>
        <w:tc>
          <w:tcPr>
            <w:tcW w:w="1135" w:type="dxa"/>
          </w:tcPr>
          <w:p w:rsidR="00831B30" w:rsidRPr="0011310C" w:rsidRDefault="00831B30" w:rsidP="0011310C">
            <w:pPr>
              <w:jc w:val="center"/>
              <w:rPr>
                <w:snapToGrid w:val="0"/>
                <w:color w:val="000000"/>
                <w:sz w:val="22"/>
              </w:rPr>
            </w:pPr>
            <w:r>
              <w:rPr>
                <w:snapToGrid w:val="0"/>
                <w:color w:val="000000"/>
                <w:sz w:val="22"/>
              </w:rPr>
              <w:t>2.6%</w:t>
            </w:r>
          </w:p>
        </w:tc>
        <w:tc>
          <w:tcPr>
            <w:tcW w:w="1134" w:type="dxa"/>
          </w:tcPr>
          <w:p w:rsidR="00831B30" w:rsidRPr="0011310C" w:rsidRDefault="00831B30" w:rsidP="005274B5">
            <w:pPr>
              <w:jc w:val="center"/>
              <w:rPr>
                <w:snapToGrid w:val="0"/>
                <w:color w:val="000000"/>
                <w:sz w:val="22"/>
              </w:rPr>
            </w:pPr>
            <w:r>
              <w:rPr>
                <w:snapToGrid w:val="0"/>
                <w:color w:val="000000"/>
                <w:sz w:val="22"/>
              </w:rPr>
              <w:t>2.5%</w:t>
            </w:r>
          </w:p>
        </w:tc>
        <w:tc>
          <w:tcPr>
            <w:tcW w:w="1136" w:type="dxa"/>
          </w:tcPr>
          <w:p w:rsidR="00831B30" w:rsidRPr="0011310C" w:rsidRDefault="00831B30" w:rsidP="0011310C">
            <w:pPr>
              <w:jc w:val="center"/>
              <w:rPr>
                <w:snapToGrid w:val="0"/>
                <w:color w:val="000000"/>
                <w:sz w:val="22"/>
              </w:rPr>
            </w:pPr>
            <w:r>
              <w:rPr>
                <w:snapToGrid w:val="0"/>
                <w:color w:val="000000"/>
                <w:sz w:val="22"/>
              </w:rPr>
              <w:t>2.55%</w:t>
            </w:r>
          </w:p>
        </w:tc>
        <w:tc>
          <w:tcPr>
            <w:tcW w:w="1274" w:type="dxa"/>
          </w:tcPr>
          <w:p w:rsidR="00831B30" w:rsidRPr="0011310C" w:rsidRDefault="00831B30" w:rsidP="005274B5">
            <w:pPr>
              <w:jc w:val="center"/>
              <w:rPr>
                <w:snapToGrid w:val="0"/>
                <w:color w:val="000000"/>
                <w:sz w:val="22"/>
              </w:rPr>
            </w:pPr>
            <w:r>
              <w:rPr>
                <w:snapToGrid w:val="0"/>
                <w:color w:val="000000"/>
                <w:sz w:val="22"/>
              </w:rPr>
              <w:t>2.65%</w:t>
            </w:r>
          </w:p>
        </w:tc>
      </w:tr>
      <w:tr w:rsidR="00831B30" w:rsidRPr="00A60775" w:rsidTr="00DF6C93">
        <w:tc>
          <w:tcPr>
            <w:tcW w:w="3260" w:type="dxa"/>
          </w:tcPr>
          <w:p w:rsidR="00831B30" w:rsidRPr="00043C0A" w:rsidRDefault="00831B30" w:rsidP="00CD62E6">
            <w:pPr>
              <w:jc w:val="both"/>
              <w:rPr>
                <w:sz w:val="22"/>
              </w:rPr>
            </w:pPr>
            <w:r w:rsidRPr="00043C0A">
              <w:rPr>
                <w:sz w:val="22"/>
              </w:rPr>
              <w:t>Take up of option to convert annual pension into retirement lump sum</w:t>
            </w:r>
          </w:p>
        </w:tc>
        <w:tc>
          <w:tcPr>
            <w:tcW w:w="1134" w:type="dxa"/>
          </w:tcPr>
          <w:p w:rsidR="00831B30" w:rsidRDefault="00831B30" w:rsidP="00CD62E6">
            <w:pPr>
              <w:jc w:val="center"/>
              <w:rPr>
                <w:snapToGrid w:val="0"/>
                <w:color w:val="000000"/>
                <w:sz w:val="22"/>
              </w:rPr>
            </w:pPr>
            <w:r>
              <w:rPr>
                <w:snapToGrid w:val="0"/>
                <w:color w:val="000000"/>
                <w:sz w:val="22"/>
              </w:rPr>
              <w:t>50%</w:t>
            </w:r>
          </w:p>
        </w:tc>
        <w:tc>
          <w:tcPr>
            <w:tcW w:w="1275" w:type="dxa"/>
          </w:tcPr>
          <w:p w:rsidR="00831B30" w:rsidRDefault="00831B30" w:rsidP="00CD62E6">
            <w:pPr>
              <w:jc w:val="center"/>
              <w:rPr>
                <w:snapToGrid w:val="0"/>
                <w:color w:val="000000"/>
                <w:sz w:val="22"/>
              </w:rPr>
            </w:pPr>
            <w:r>
              <w:rPr>
                <w:snapToGrid w:val="0"/>
                <w:color w:val="000000"/>
                <w:sz w:val="22"/>
              </w:rPr>
              <w:t>50%</w:t>
            </w:r>
          </w:p>
        </w:tc>
        <w:tc>
          <w:tcPr>
            <w:tcW w:w="1135" w:type="dxa"/>
          </w:tcPr>
          <w:p w:rsidR="00831B30" w:rsidRPr="0011310C" w:rsidRDefault="00831B30" w:rsidP="00CD62E6">
            <w:pPr>
              <w:jc w:val="center"/>
              <w:rPr>
                <w:snapToGrid w:val="0"/>
                <w:color w:val="000000"/>
                <w:sz w:val="22"/>
              </w:rPr>
            </w:pPr>
            <w:r>
              <w:rPr>
                <w:snapToGrid w:val="0"/>
                <w:color w:val="000000"/>
                <w:sz w:val="22"/>
              </w:rPr>
              <w:t>50%</w:t>
            </w:r>
          </w:p>
        </w:tc>
        <w:tc>
          <w:tcPr>
            <w:tcW w:w="1134" w:type="dxa"/>
          </w:tcPr>
          <w:p w:rsidR="00831B30" w:rsidRPr="0011310C" w:rsidRDefault="00831B30" w:rsidP="005274B5">
            <w:pPr>
              <w:jc w:val="center"/>
              <w:rPr>
                <w:snapToGrid w:val="0"/>
                <w:color w:val="000000"/>
                <w:sz w:val="22"/>
              </w:rPr>
            </w:pPr>
            <w:r>
              <w:rPr>
                <w:snapToGrid w:val="0"/>
                <w:color w:val="000000"/>
                <w:sz w:val="22"/>
              </w:rPr>
              <w:t>50%</w:t>
            </w:r>
          </w:p>
        </w:tc>
        <w:tc>
          <w:tcPr>
            <w:tcW w:w="1136" w:type="dxa"/>
          </w:tcPr>
          <w:p w:rsidR="00831B30" w:rsidRPr="0011310C" w:rsidRDefault="00831B30" w:rsidP="00596662">
            <w:pPr>
              <w:jc w:val="center"/>
              <w:rPr>
                <w:snapToGrid w:val="0"/>
                <w:color w:val="000000"/>
                <w:sz w:val="22"/>
              </w:rPr>
            </w:pPr>
            <w:r>
              <w:rPr>
                <w:snapToGrid w:val="0"/>
                <w:color w:val="000000"/>
                <w:sz w:val="22"/>
              </w:rPr>
              <w:t>50%</w:t>
            </w:r>
          </w:p>
        </w:tc>
        <w:tc>
          <w:tcPr>
            <w:tcW w:w="1274" w:type="dxa"/>
          </w:tcPr>
          <w:p w:rsidR="00831B30" w:rsidRPr="0011310C" w:rsidRDefault="00831B30" w:rsidP="005274B5">
            <w:pPr>
              <w:jc w:val="center"/>
              <w:rPr>
                <w:snapToGrid w:val="0"/>
                <w:color w:val="000000"/>
                <w:sz w:val="22"/>
              </w:rPr>
            </w:pPr>
            <w:r>
              <w:rPr>
                <w:snapToGrid w:val="0"/>
                <w:color w:val="000000"/>
                <w:sz w:val="22"/>
              </w:rPr>
              <w:t>50%</w:t>
            </w:r>
          </w:p>
        </w:tc>
      </w:tr>
    </w:tbl>
    <w:p w:rsidR="00D90216" w:rsidRPr="00A60775" w:rsidRDefault="00D90216" w:rsidP="00D90216">
      <w:pPr>
        <w:jc w:val="both"/>
        <w:rPr>
          <w:sz w:val="22"/>
          <w:highlight w:val="cyan"/>
        </w:rPr>
      </w:pPr>
    </w:p>
    <w:p w:rsidR="00D90216" w:rsidRDefault="00F372FF" w:rsidP="00D90216">
      <w:pPr>
        <w:ind w:left="709"/>
        <w:jc w:val="both"/>
        <w:rPr>
          <w:sz w:val="22"/>
        </w:rPr>
      </w:pPr>
      <w:r>
        <w:rPr>
          <w:sz w:val="22"/>
        </w:rPr>
        <w:br w:type="page"/>
      </w:r>
      <w:r w:rsidR="00D90216" w:rsidRPr="00043C0A">
        <w:rPr>
          <w:sz w:val="22"/>
        </w:rPr>
        <w:lastRenderedPageBreak/>
        <w:t>The Firefighters’ Pension Scheme has no assets to cover its liabilities.  The Local Government Pension Fund’s assets consist of the following categories, by proportion of the total assets held by the Fund:</w:t>
      </w:r>
    </w:p>
    <w:p w:rsidR="0050693C" w:rsidRPr="00A60775" w:rsidRDefault="0050693C" w:rsidP="00D90216">
      <w:pPr>
        <w:ind w:left="709"/>
        <w:jc w:val="both"/>
        <w:rPr>
          <w:sz w:val="22"/>
          <w:highlight w:val="cyan"/>
        </w:rPr>
      </w:pPr>
    </w:p>
    <w:tbl>
      <w:tblPr>
        <w:tblW w:w="0" w:type="auto"/>
        <w:tblInd w:w="1242" w:type="dxa"/>
        <w:tblLayout w:type="fixed"/>
        <w:tblLook w:val="0000" w:firstRow="0" w:lastRow="0" w:firstColumn="0" w:lastColumn="0" w:noHBand="0" w:noVBand="0"/>
      </w:tblPr>
      <w:tblGrid>
        <w:gridCol w:w="1701"/>
        <w:gridCol w:w="1418"/>
        <w:gridCol w:w="1276"/>
        <w:gridCol w:w="1134"/>
        <w:gridCol w:w="1275"/>
        <w:gridCol w:w="1135"/>
      </w:tblGrid>
      <w:tr w:rsidR="00CC1A14" w:rsidRPr="00A60775" w:rsidTr="00CC1A14">
        <w:tc>
          <w:tcPr>
            <w:tcW w:w="1701" w:type="dxa"/>
          </w:tcPr>
          <w:p w:rsidR="00CC1A14" w:rsidRPr="0035593C" w:rsidRDefault="00CC1A14" w:rsidP="0035593C">
            <w:pPr>
              <w:pStyle w:val="00-Normal-BB"/>
              <w:rPr>
                <w:rFonts w:eastAsia="Times New Roman"/>
              </w:rPr>
            </w:pPr>
          </w:p>
        </w:tc>
        <w:tc>
          <w:tcPr>
            <w:tcW w:w="1418" w:type="dxa"/>
          </w:tcPr>
          <w:p w:rsidR="00CC1A14" w:rsidRPr="00043C0A" w:rsidRDefault="00CC1A14" w:rsidP="00CD62E6">
            <w:pPr>
              <w:jc w:val="center"/>
              <w:rPr>
                <w:sz w:val="22"/>
              </w:rPr>
            </w:pPr>
            <w:r>
              <w:rPr>
                <w:sz w:val="22"/>
              </w:rPr>
              <w:t>Quoted in active market</w:t>
            </w:r>
          </w:p>
        </w:tc>
        <w:tc>
          <w:tcPr>
            <w:tcW w:w="2410" w:type="dxa"/>
            <w:gridSpan w:val="2"/>
          </w:tcPr>
          <w:p w:rsidR="00CC1A14" w:rsidRPr="005404DD" w:rsidRDefault="00CC1A14" w:rsidP="005274B5">
            <w:pPr>
              <w:jc w:val="center"/>
              <w:rPr>
                <w:sz w:val="22"/>
              </w:rPr>
            </w:pPr>
            <w:r w:rsidRPr="005404DD">
              <w:rPr>
                <w:sz w:val="22"/>
              </w:rPr>
              <w:t>Assets at 31 March 201</w:t>
            </w:r>
            <w:r w:rsidR="005274B5">
              <w:rPr>
                <w:sz w:val="22"/>
              </w:rPr>
              <w:t>8</w:t>
            </w:r>
          </w:p>
        </w:tc>
        <w:tc>
          <w:tcPr>
            <w:tcW w:w="2410" w:type="dxa"/>
            <w:gridSpan w:val="2"/>
          </w:tcPr>
          <w:p w:rsidR="00CC1A14" w:rsidRPr="005404DD" w:rsidRDefault="00CC1A14" w:rsidP="005274B5">
            <w:pPr>
              <w:jc w:val="center"/>
              <w:rPr>
                <w:sz w:val="22"/>
              </w:rPr>
            </w:pPr>
            <w:r w:rsidRPr="005404DD">
              <w:rPr>
                <w:sz w:val="22"/>
              </w:rPr>
              <w:t xml:space="preserve">Assets at 31 March </w:t>
            </w:r>
            <w:r w:rsidR="00076DC2" w:rsidRPr="005404DD">
              <w:rPr>
                <w:sz w:val="22"/>
              </w:rPr>
              <w:t>201</w:t>
            </w:r>
            <w:r w:rsidR="005274B5">
              <w:rPr>
                <w:sz w:val="22"/>
              </w:rPr>
              <w:t>7</w:t>
            </w:r>
            <w:r w:rsidR="00AC45A8">
              <w:rPr>
                <w:sz w:val="22"/>
              </w:rPr>
              <w:t xml:space="preserve"> Restated</w:t>
            </w:r>
          </w:p>
        </w:tc>
      </w:tr>
      <w:tr w:rsidR="00CC1A14" w:rsidRPr="00A60775" w:rsidTr="00CC1A14">
        <w:tc>
          <w:tcPr>
            <w:tcW w:w="1701" w:type="dxa"/>
          </w:tcPr>
          <w:p w:rsidR="00CC1A14" w:rsidRPr="00043C0A" w:rsidRDefault="00CC1A14" w:rsidP="00CD62E6">
            <w:pPr>
              <w:jc w:val="both"/>
              <w:rPr>
                <w:sz w:val="22"/>
              </w:rPr>
            </w:pPr>
          </w:p>
        </w:tc>
        <w:tc>
          <w:tcPr>
            <w:tcW w:w="1418" w:type="dxa"/>
          </w:tcPr>
          <w:p w:rsidR="00CC1A14" w:rsidRDefault="00CC1A14" w:rsidP="00CD62E6">
            <w:pPr>
              <w:tabs>
                <w:tab w:val="decimal" w:pos="681"/>
              </w:tabs>
              <w:rPr>
                <w:sz w:val="22"/>
              </w:rPr>
            </w:pPr>
          </w:p>
        </w:tc>
        <w:tc>
          <w:tcPr>
            <w:tcW w:w="1276" w:type="dxa"/>
          </w:tcPr>
          <w:p w:rsidR="00CC1A14" w:rsidRPr="005404DD" w:rsidRDefault="00CC1A14" w:rsidP="00CD62E6">
            <w:pPr>
              <w:tabs>
                <w:tab w:val="decimal" w:pos="681"/>
              </w:tabs>
              <w:rPr>
                <w:sz w:val="22"/>
              </w:rPr>
            </w:pPr>
            <w:r w:rsidRPr="005404DD">
              <w:rPr>
                <w:sz w:val="22"/>
              </w:rPr>
              <w:t>Fair Value</w:t>
            </w:r>
          </w:p>
        </w:tc>
        <w:tc>
          <w:tcPr>
            <w:tcW w:w="1134" w:type="dxa"/>
          </w:tcPr>
          <w:p w:rsidR="00CC1A14" w:rsidRPr="005404DD" w:rsidRDefault="00CC1A14" w:rsidP="00CC1A14">
            <w:pPr>
              <w:jc w:val="center"/>
              <w:rPr>
                <w:sz w:val="22"/>
              </w:rPr>
            </w:pPr>
            <w:r w:rsidRPr="005404DD">
              <w:rPr>
                <w:sz w:val="22"/>
              </w:rPr>
              <w:t>%</w:t>
            </w:r>
          </w:p>
        </w:tc>
        <w:tc>
          <w:tcPr>
            <w:tcW w:w="1275" w:type="dxa"/>
          </w:tcPr>
          <w:p w:rsidR="00CC1A14" w:rsidRPr="005404DD" w:rsidRDefault="00CC1A14" w:rsidP="00CD62E6">
            <w:pPr>
              <w:tabs>
                <w:tab w:val="decimal" w:pos="681"/>
              </w:tabs>
              <w:rPr>
                <w:sz w:val="22"/>
              </w:rPr>
            </w:pPr>
            <w:r w:rsidRPr="005404DD">
              <w:rPr>
                <w:sz w:val="22"/>
              </w:rPr>
              <w:t>Fair Value</w:t>
            </w:r>
          </w:p>
        </w:tc>
        <w:tc>
          <w:tcPr>
            <w:tcW w:w="1135" w:type="dxa"/>
          </w:tcPr>
          <w:p w:rsidR="00CC1A14" w:rsidRPr="005404DD" w:rsidRDefault="00CC1A14" w:rsidP="00CC1A14">
            <w:pPr>
              <w:ind w:right="99"/>
              <w:jc w:val="center"/>
              <w:rPr>
                <w:sz w:val="22"/>
              </w:rPr>
            </w:pPr>
            <w:r w:rsidRPr="005404DD">
              <w:rPr>
                <w:sz w:val="22"/>
              </w:rPr>
              <w:t>%</w:t>
            </w:r>
          </w:p>
        </w:tc>
      </w:tr>
      <w:tr w:rsidR="00CC1A14" w:rsidRPr="00A60775" w:rsidTr="00CC1A14">
        <w:trPr>
          <w:trHeight w:hRule="exact" w:val="300"/>
        </w:trPr>
        <w:tc>
          <w:tcPr>
            <w:tcW w:w="1701" w:type="dxa"/>
          </w:tcPr>
          <w:p w:rsidR="00CC1A14" w:rsidRPr="00043C0A" w:rsidRDefault="00CC1A14" w:rsidP="00CD62E6">
            <w:pPr>
              <w:jc w:val="both"/>
              <w:rPr>
                <w:sz w:val="22"/>
              </w:rPr>
            </w:pPr>
          </w:p>
        </w:tc>
        <w:tc>
          <w:tcPr>
            <w:tcW w:w="1418" w:type="dxa"/>
          </w:tcPr>
          <w:p w:rsidR="00CC1A14" w:rsidRDefault="00CC1A14" w:rsidP="00CD62E6">
            <w:pPr>
              <w:jc w:val="center"/>
              <w:rPr>
                <w:snapToGrid w:val="0"/>
                <w:color w:val="000000"/>
                <w:sz w:val="22"/>
              </w:rPr>
            </w:pPr>
          </w:p>
        </w:tc>
        <w:tc>
          <w:tcPr>
            <w:tcW w:w="1276" w:type="dxa"/>
          </w:tcPr>
          <w:p w:rsidR="00CC1A14" w:rsidRPr="005404DD" w:rsidRDefault="00CC1A14" w:rsidP="00CD62E6">
            <w:pPr>
              <w:jc w:val="center"/>
              <w:rPr>
                <w:snapToGrid w:val="0"/>
                <w:color w:val="000000"/>
                <w:sz w:val="22"/>
              </w:rPr>
            </w:pPr>
            <w:r w:rsidRPr="005404DD">
              <w:rPr>
                <w:snapToGrid w:val="0"/>
                <w:color w:val="000000"/>
                <w:sz w:val="22"/>
              </w:rPr>
              <w:t>£000</w:t>
            </w:r>
          </w:p>
        </w:tc>
        <w:tc>
          <w:tcPr>
            <w:tcW w:w="1134" w:type="dxa"/>
          </w:tcPr>
          <w:p w:rsidR="00CC1A14" w:rsidRPr="005404DD" w:rsidRDefault="00CC1A14" w:rsidP="00BB2E44">
            <w:pPr>
              <w:tabs>
                <w:tab w:val="decimal" w:pos="743"/>
              </w:tabs>
              <w:jc w:val="center"/>
              <w:rPr>
                <w:snapToGrid w:val="0"/>
                <w:color w:val="000000"/>
                <w:sz w:val="22"/>
              </w:rPr>
            </w:pPr>
          </w:p>
        </w:tc>
        <w:tc>
          <w:tcPr>
            <w:tcW w:w="1275" w:type="dxa"/>
          </w:tcPr>
          <w:p w:rsidR="00CC1A14" w:rsidRPr="005404DD" w:rsidRDefault="00CC1A14" w:rsidP="00D71FAB">
            <w:pPr>
              <w:jc w:val="center"/>
              <w:rPr>
                <w:snapToGrid w:val="0"/>
                <w:color w:val="000000"/>
                <w:sz w:val="22"/>
              </w:rPr>
            </w:pPr>
            <w:r w:rsidRPr="005404DD">
              <w:rPr>
                <w:snapToGrid w:val="0"/>
                <w:color w:val="000000"/>
                <w:sz w:val="22"/>
              </w:rPr>
              <w:t>£000</w:t>
            </w:r>
          </w:p>
        </w:tc>
        <w:tc>
          <w:tcPr>
            <w:tcW w:w="1135" w:type="dxa"/>
          </w:tcPr>
          <w:p w:rsidR="00CC1A14" w:rsidRPr="005404DD" w:rsidRDefault="00CC1A14" w:rsidP="00D71FAB">
            <w:pPr>
              <w:jc w:val="center"/>
              <w:rPr>
                <w:snapToGrid w:val="0"/>
                <w:color w:val="000000"/>
                <w:sz w:val="22"/>
              </w:rPr>
            </w:pPr>
          </w:p>
        </w:tc>
      </w:tr>
      <w:tr w:rsidR="00BA4E54" w:rsidRPr="00A60775" w:rsidTr="00CC1A14">
        <w:trPr>
          <w:trHeight w:hRule="exact" w:val="300"/>
        </w:trPr>
        <w:tc>
          <w:tcPr>
            <w:tcW w:w="1701" w:type="dxa"/>
          </w:tcPr>
          <w:p w:rsidR="00BA4E54" w:rsidRPr="00043C0A" w:rsidRDefault="00BA4E54" w:rsidP="00CD62E6">
            <w:pPr>
              <w:jc w:val="both"/>
              <w:rPr>
                <w:sz w:val="22"/>
              </w:rPr>
            </w:pPr>
            <w:r>
              <w:rPr>
                <w:sz w:val="22"/>
              </w:rPr>
              <w:t>Equities</w:t>
            </w:r>
          </w:p>
        </w:tc>
        <w:tc>
          <w:tcPr>
            <w:tcW w:w="1418" w:type="dxa"/>
          </w:tcPr>
          <w:p w:rsidR="00BA4E54" w:rsidRDefault="00BA4E54" w:rsidP="00CD62E6">
            <w:pPr>
              <w:jc w:val="center"/>
              <w:rPr>
                <w:snapToGrid w:val="0"/>
                <w:color w:val="000000"/>
                <w:sz w:val="22"/>
              </w:rPr>
            </w:pPr>
            <w:r>
              <w:rPr>
                <w:snapToGrid w:val="0"/>
                <w:color w:val="000000"/>
                <w:sz w:val="22"/>
              </w:rPr>
              <w:t>Y</w:t>
            </w:r>
          </w:p>
        </w:tc>
        <w:tc>
          <w:tcPr>
            <w:tcW w:w="1276" w:type="dxa"/>
          </w:tcPr>
          <w:p w:rsidR="00BA4E54" w:rsidRDefault="00BA4E54" w:rsidP="005404DD">
            <w:pPr>
              <w:ind w:right="176"/>
              <w:jc w:val="right"/>
              <w:rPr>
                <w:snapToGrid w:val="0"/>
                <w:color w:val="000000"/>
                <w:sz w:val="22"/>
              </w:rPr>
            </w:pPr>
            <w:r>
              <w:rPr>
                <w:snapToGrid w:val="0"/>
                <w:color w:val="000000"/>
                <w:sz w:val="22"/>
              </w:rPr>
              <w:t>3,567</w:t>
            </w:r>
          </w:p>
        </w:tc>
        <w:tc>
          <w:tcPr>
            <w:tcW w:w="1134" w:type="dxa"/>
          </w:tcPr>
          <w:p w:rsidR="00BA4E54" w:rsidRDefault="00BA4E54" w:rsidP="00BB2E44">
            <w:pPr>
              <w:tabs>
                <w:tab w:val="decimal" w:pos="600"/>
              </w:tabs>
              <w:ind w:right="34"/>
              <w:jc w:val="right"/>
              <w:rPr>
                <w:snapToGrid w:val="0"/>
                <w:color w:val="000000"/>
                <w:sz w:val="22"/>
              </w:rPr>
            </w:pPr>
            <w:r>
              <w:rPr>
                <w:snapToGrid w:val="0"/>
                <w:color w:val="000000"/>
                <w:sz w:val="22"/>
              </w:rPr>
              <w:t>5.7</w:t>
            </w:r>
          </w:p>
        </w:tc>
        <w:tc>
          <w:tcPr>
            <w:tcW w:w="1275" w:type="dxa"/>
          </w:tcPr>
          <w:p w:rsidR="00BA4E54" w:rsidRDefault="00BA4E54" w:rsidP="005274B5">
            <w:pPr>
              <w:ind w:right="176"/>
              <w:jc w:val="right"/>
              <w:rPr>
                <w:snapToGrid w:val="0"/>
                <w:color w:val="000000"/>
                <w:sz w:val="22"/>
              </w:rPr>
            </w:pPr>
            <w:r>
              <w:rPr>
                <w:snapToGrid w:val="0"/>
                <w:color w:val="000000"/>
                <w:sz w:val="22"/>
              </w:rPr>
              <w:t>4,225</w:t>
            </w:r>
          </w:p>
        </w:tc>
        <w:tc>
          <w:tcPr>
            <w:tcW w:w="1135" w:type="dxa"/>
          </w:tcPr>
          <w:p w:rsidR="00BA4E54" w:rsidRDefault="00BA4E54" w:rsidP="005274B5">
            <w:pPr>
              <w:tabs>
                <w:tab w:val="decimal" w:pos="600"/>
              </w:tabs>
              <w:ind w:right="34"/>
              <w:jc w:val="right"/>
              <w:rPr>
                <w:snapToGrid w:val="0"/>
                <w:color w:val="000000"/>
                <w:sz w:val="22"/>
              </w:rPr>
            </w:pPr>
            <w:r>
              <w:rPr>
                <w:snapToGrid w:val="0"/>
                <w:color w:val="000000"/>
                <w:sz w:val="22"/>
              </w:rPr>
              <w:t>7.1</w:t>
            </w:r>
          </w:p>
        </w:tc>
      </w:tr>
      <w:tr w:rsidR="005274B5" w:rsidRPr="00A60775" w:rsidTr="00CC1A14">
        <w:trPr>
          <w:trHeight w:hRule="exact" w:val="300"/>
        </w:trPr>
        <w:tc>
          <w:tcPr>
            <w:tcW w:w="1701" w:type="dxa"/>
          </w:tcPr>
          <w:p w:rsidR="005274B5" w:rsidRPr="00043C0A" w:rsidRDefault="005274B5" w:rsidP="00CD62E6">
            <w:pPr>
              <w:jc w:val="both"/>
              <w:rPr>
                <w:sz w:val="22"/>
              </w:rPr>
            </w:pPr>
            <w:r w:rsidRPr="00043C0A">
              <w:rPr>
                <w:sz w:val="22"/>
              </w:rPr>
              <w:t>Bonds</w:t>
            </w:r>
          </w:p>
        </w:tc>
        <w:tc>
          <w:tcPr>
            <w:tcW w:w="1418" w:type="dxa"/>
          </w:tcPr>
          <w:p w:rsidR="005274B5" w:rsidRDefault="005274B5" w:rsidP="00CD62E6">
            <w:pPr>
              <w:jc w:val="center"/>
              <w:rPr>
                <w:snapToGrid w:val="0"/>
                <w:color w:val="000000"/>
                <w:sz w:val="22"/>
              </w:rPr>
            </w:pPr>
            <w:r>
              <w:rPr>
                <w:snapToGrid w:val="0"/>
                <w:color w:val="000000"/>
                <w:sz w:val="22"/>
              </w:rPr>
              <w:t>Y</w:t>
            </w:r>
          </w:p>
        </w:tc>
        <w:tc>
          <w:tcPr>
            <w:tcW w:w="1276" w:type="dxa"/>
          </w:tcPr>
          <w:p w:rsidR="005274B5" w:rsidRPr="005404DD" w:rsidRDefault="00BA4E54" w:rsidP="005404DD">
            <w:pPr>
              <w:ind w:right="176"/>
              <w:jc w:val="right"/>
              <w:rPr>
                <w:snapToGrid w:val="0"/>
                <w:color w:val="000000"/>
                <w:sz w:val="22"/>
              </w:rPr>
            </w:pPr>
            <w:r>
              <w:rPr>
                <w:snapToGrid w:val="0"/>
                <w:color w:val="000000"/>
                <w:sz w:val="22"/>
              </w:rPr>
              <w:t>6,189</w:t>
            </w:r>
          </w:p>
        </w:tc>
        <w:tc>
          <w:tcPr>
            <w:tcW w:w="1134" w:type="dxa"/>
          </w:tcPr>
          <w:p w:rsidR="005274B5" w:rsidRPr="005404DD" w:rsidRDefault="00BA4E54" w:rsidP="00BB2E44">
            <w:pPr>
              <w:tabs>
                <w:tab w:val="decimal" w:pos="600"/>
              </w:tabs>
              <w:ind w:right="34"/>
              <w:jc w:val="right"/>
              <w:rPr>
                <w:snapToGrid w:val="0"/>
                <w:color w:val="000000"/>
                <w:sz w:val="22"/>
              </w:rPr>
            </w:pPr>
            <w:r>
              <w:rPr>
                <w:snapToGrid w:val="0"/>
                <w:color w:val="000000"/>
                <w:sz w:val="22"/>
              </w:rPr>
              <w:t>9.9</w:t>
            </w:r>
          </w:p>
        </w:tc>
        <w:tc>
          <w:tcPr>
            <w:tcW w:w="1275" w:type="dxa"/>
          </w:tcPr>
          <w:p w:rsidR="005274B5" w:rsidRPr="005404DD" w:rsidRDefault="00BA4E54" w:rsidP="005274B5">
            <w:pPr>
              <w:ind w:right="176"/>
              <w:jc w:val="right"/>
              <w:rPr>
                <w:snapToGrid w:val="0"/>
                <w:color w:val="000000"/>
                <w:sz w:val="22"/>
              </w:rPr>
            </w:pPr>
            <w:r>
              <w:rPr>
                <w:snapToGrid w:val="0"/>
                <w:color w:val="000000"/>
                <w:sz w:val="22"/>
              </w:rPr>
              <w:t>4,652</w:t>
            </w:r>
          </w:p>
        </w:tc>
        <w:tc>
          <w:tcPr>
            <w:tcW w:w="1135" w:type="dxa"/>
          </w:tcPr>
          <w:p w:rsidR="005274B5" w:rsidRPr="005404DD" w:rsidRDefault="00BA4E54" w:rsidP="005274B5">
            <w:pPr>
              <w:tabs>
                <w:tab w:val="decimal" w:pos="600"/>
              </w:tabs>
              <w:ind w:right="34"/>
              <w:jc w:val="right"/>
              <w:rPr>
                <w:snapToGrid w:val="0"/>
                <w:color w:val="000000"/>
                <w:sz w:val="22"/>
              </w:rPr>
            </w:pPr>
            <w:r>
              <w:rPr>
                <w:snapToGrid w:val="0"/>
                <w:color w:val="000000"/>
                <w:sz w:val="22"/>
              </w:rPr>
              <w:t>7.8</w:t>
            </w:r>
          </w:p>
        </w:tc>
      </w:tr>
      <w:tr w:rsidR="005274B5" w:rsidRPr="00A60775" w:rsidTr="00CC1A14">
        <w:trPr>
          <w:trHeight w:hRule="exact" w:val="300"/>
        </w:trPr>
        <w:tc>
          <w:tcPr>
            <w:tcW w:w="1701" w:type="dxa"/>
          </w:tcPr>
          <w:p w:rsidR="005274B5" w:rsidRPr="00043C0A" w:rsidRDefault="005274B5" w:rsidP="00CD62E6">
            <w:pPr>
              <w:jc w:val="both"/>
              <w:rPr>
                <w:sz w:val="22"/>
              </w:rPr>
            </w:pPr>
            <w:r w:rsidRPr="00043C0A">
              <w:rPr>
                <w:sz w:val="22"/>
              </w:rPr>
              <w:t>Property</w:t>
            </w:r>
          </w:p>
        </w:tc>
        <w:tc>
          <w:tcPr>
            <w:tcW w:w="1418" w:type="dxa"/>
          </w:tcPr>
          <w:p w:rsidR="005274B5" w:rsidRDefault="005274B5" w:rsidP="00CD62E6">
            <w:pPr>
              <w:jc w:val="center"/>
              <w:rPr>
                <w:snapToGrid w:val="0"/>
                <w:color w:val="000000"/>
                <w:sz w:val="22"/>
              </w:rPr>
            </w:pPr>
            <w:r>
              <w:rPr>
                <w:snapToGrid w:val="0"/>
                <w:color w:val="000000"/>
                <w:sz w:val="22"/>
              </w:rPr>
              <w:t>N</w:t>
            </w:r>
          </w:p>
        </w:tc>
        <w:tc>
          <w:tcPr>
            <w:tcW w:w="1276" w:type="dxa"/>
          </w:tcPr>
          <w:p w:rsidR="005274B5" w:rsidRPr="005404DD" w:rsidRDefault="0026378B" w:rsidP="00BA4E54">
            <w:pPr>
              <w:ind w:right="176"/>
              <w:jc w:val="right"/>
              <w:rPr>
                <w:snapToGrid w:val="0"/>
                <w:color w:val="000000"/>
                <w:sz w:val="22"/>
              </w:rPr>
            </w:pPr>
            <w:r>
              <w:rPr>
                <w:snapToGrid w:val="0"/>
                <w:color w:val="000000"/>
                <w:sz w:val="22"/>
              </w:rPr>
              <w:t>5,</w:t>
            </w:r>
            <w:r w:rsidR="00BA4E54">
              <w:rPr>
                <w:snapToGrid w:val="0"/>
                <w:color w:val="000000"/>
                <w:sz w:val="22"/>
              </w:rPr>
              <w:t>739</w:t>
            </w:r>
          </w:p>
        </w:tc>
        <w:tc>
          <w:tcPr>
            <w:tcW w:w="1134" w:type="dxa"/>
          </w:tcPr>
          <w:p w:rsidR="005274B5" w:rsidRPr="005404DD" w:rsidRDefault="0026378B" w:rsidP="00BA4E54">
            <w:pPr>
              <w:tabs>
                <w:tab w:val="decimal" w:pos="600"/>
              </w:tabs>
              <w:ind w:right="34"/>
              <w:jc w:val="right"/>
              <w:rPr>
                <w:snapToGrid w:val="0"/>
                <w:color w:val="000000"/>
                <w:sz w:val="22"/>
              </w:rPr>
            </w:pPr>
            <w:r>
              <w:rPr>
                <w:snapToGrid w:val="0"/>
                <w:color w:val="000000"/>
                <w:sz w:val="22"/>
              </w:rPr>
              <w:t>9.</w:t>
            </w:r>
            <w:r w:rsidR="00BA4E54">
              <w:rPr>
                <w:snapToGrid w:val="0"/>
                <w:color w:val="000000"/>
                <w:sz w:val="22"/>
              </w:rPr>
              <w:t>2</w:t>
            </w:r>
          </w:p>
        </w:tc>
        <w:tc>
          <w:tcPr>
            <w:tcW w:w="1275" w:type="dxa"/>
          </w:tcPr>
          <w:p w:rsidR="005274B5" w:rsidRPr="005404DD" w:rsidRDefault="00BA4E54" w:rsidP="005274B5">
            <w:pPr>
              <w:ind w:right="176"/>
              <w:jc w:val="right"/>
              <w:rPr>
                <w:snapToGrid w:val="0"/>
                <w:color w:val="000000"/>
                <w:sz w:val="22"/>
              </w:rPr>
            </w:pPr>
            <w:r>
              <w:rPr>
                <w:snapToGrid w:val="0"/>
                <w:color w:val="000000"/>
                <w:sz w:val="22"/>
              </w:rPr>
              <w:t>5,129</w:t>
            </w:r>
          </w:p>
        </w:tc>
        <w:tc>
          <w:tcPr>
            <w:tcW w:w="1135" w:type="dxa"/>
          </w:tcPr>
          <w:p w:rsidR="005274B5" w:rsidRPr="005404DD" w:rsidRDefault="005274B5" w:rsidP="00BA4E54">
            <w:pPr>
              <w:tabs>
                <w:tab w:val="decimal" w:pos="600"/>
              </w:tabs>
              <w:ind w:right="34"/>
              <w:jc w:val="right"/>
              <w:rPr>
                <w:snapToGrid w:val="0"/>
                <w:color w:val="000000"/>
                <w:sz w:val="22"/>
              </w:rPr>
            </w:pPr>
            <w:r>
              <w:rPr>
                <w:snapToGrid w:val="0"/>
                <w:color w:val="000000"/>
                <w:sz w:val="22"/>
              </w:rPr>
              <w:t>8.</w:t>
            </w:r>
            <w:r w:rsidR="00BA4E54">
              <w:rPr>
                <w:snapToGrid w:val="0"/>
                <w:color w:val="000000"/>
                <w:sz w:val="22"/>
              </w:rPr>
              <w:t>6</w:t>
            </w:r>
          </w:p>
        </w:tc>
      </w:tr>
      <w:tr w:rsidR="005274B5" w:rsidRPr="00A60775" w:rsidTr="00CC1A14">
        <w:trPr>
          <w:trHeight w:hRule="exact" w:val="300"/>
        </w:trPr>
        <w:tc>
          <w:tcPr>
            <w:tcW w:w="1701" w:type="dxa"/>
          </w:tcPr>
          <w:p w:rsidR="005274B5" w:rsidRPr="00043C0A" w:rsidRDefault="005274B5" w:rsidP="00CD62E6">
            <w:pPr>
              <w:jc w:val="both"/>
              <w:rPr>
                <w:sz w:val="22"/>
              </w:rPr>
            </w:pPr>
            <w:r w:rsidRPr="00043C0A">
              <w:rPr>
                <w:snapToGrid w:val="0"/>
                <w:color w:val="000000"/>
                <w:sz w:val="22"/>
              </w:rPr>
              <w:t>Cash/Liquidity</w:t>
            </w:r>
          </w:p>
        </w:tc>
        <w:tc>
          <w:tcPr>
            <w:tcW w:w="1418" w:type="dxa"/>
          </w:tcPr>
          <w:p w:rsidR="005274B5" w:rsidRDefault="005274B5" w:rsidP="00CD62E6">
            <w:pPr>
              <w:jc w:val="center"/>
              <w:rPr>
                <w:snapToGrid w:val="0"/>
                <w:color w:val="000000"/>
                <w:sz w:val="22"/>
              </w:rPr>
            </w:pPr>
            <w:r>
              <w:rPr>
                <w:snapToGrid w:val="0"/>
                <w:color w:val="000000"/>
                <w:sz w:val="22"/>
              </w:rPr>
              <w:t xml:space="preserve">N </w:t>
            </w:r>
          </w:p>
        </w:tc>
        <w:tc>
          <w:tcPr>
            <w:tcW w:w="1276" w:type="dxa"/>
          </w:tcPr>
          <w:p w:rsidR="005274B5" w:rsidRPr="005404DD" w:rsidRDefault="00BA4E54" w:rsidP="005404DD">
            <w:pPr>
              <w:ind w:right="176"/>
              <w:jc w:val="right"/>
              <w:rPr>
                <w:snapToGrid w:val="0"/>
                <w:color w:val="000000"/>
                <w:sz w:val="22"/>
              </w:rPr>
            </w:pPr>
            <w:r>
              <w:rPr>
                <w:snapToGrid w:val="0"/>
                <w:color w:val="000000"/>
                <w:sz w:val="22"/>
              </w:rPr>
              <w:t>115</w:t>
            </w:r>
          </w:p>
        </w:tc>
        <w:tc>
          <w:tcPr>
            <w:tcW w:w="1134" w:type="dxa"/>
          </w:tcPr>
          <w:p w:rsidR="005274B5" w:rsidRPr="005404DD" w:rsidRDefault="00BA4E54" w:rsidP="00BB2E44">
            <w:pPr>
              <w:tabs>
                <w:tab w:val="decimal" w:pos="600"/>
              </w:tabs>
              <w:ind w:right="34"/>
              <w:jc w:val="right"/>
              <w:rPr>
                <w:snapToGrid w:val="0"/>
                <w:color w:val="000000"/>
                <w:sz w:val="22"/>
              </w:rPr>
            </w:pPr>
            <w:r>
              <w:rPr>
                <w:snapToGrid w:val="0"/>
                <w:color w:val="000000"/>
                <w:sz w:val="22"/>
              </w:rPr>
              <w:t>0.2</w:t>
            </w:r>
          </w:p>
        </w:tc>
        <w:tc>
          <w:tcPr>
            <w:tcW w:w="1275" w:type="dxa"/>
          </w:tcPr>
          <w:p w:rsidR="005274B5" w:rsidRPr="005404DD" w:rsidRDefault="00BA4E54" w:rsidP="005274B5">
            <w:pPr>
              <w:ind w:right="176"/>
              <w:jc w:val="right"/>
              <w:rPr>
                <w:snapToGrid w:val="0"/>
                <w:color w:val="000000"/>
                <w:sz w:val="22"/>
              </w:rPr>
            </w:pPr>
            <w:r>
              <w:rPr>
                <w:snapToGrid w:val="0"/>
                <w:color w:val="000000"/>
                <w:sz w:val="22"/>
              </w:rPr>
              <w:t>695</w:t>
            </w:r>
          </w:p>
        </w:tc>
        <w:tc>
          <w:tcPr>
            <w:tcW w:w="1135" w:type="dxa"/>
          </w:tcPr>
          <w:p w:rsidR="005274B5" w:rsidRPr="005404DD" w:rsidRDefault="005274B5" w:rsidP="00BA4E54">
            <w:pPr>
              <w:tabs>
                <w:tab w:val="decimal" w:pos="600"/>
              </w:tabs>
              <w:ind w:right="34"/>
              <w:jc w:val="right"/>
              <w:rPr>
                <w:snapToGrid w:val="0"/>
                <w:color w:val="000000"/>
                <w:sz w:val="22"/>
              </w:rPr>
            </w:pPr>
            <w:r>
              <w:rPr>
                <w:snapToGrid w:val="0"/>
                <w:color w:val="000000"/>
                <w:sz w:val="22"/>
              </w:rPr>
              <w:t>1.</w:t>
            </w:r>
            <w:r w:rsidR="00BA4E54">
              <w:rPr>
                <w:snapToGrid w:val="0"/>
                <w:color w:val="000000"/>
                <w:sz w:val="22"/>
              </w:rPr>
              <w:t>2</w:t>
            </w:r>
          </w:p>
        </w:tc>
      </w:tr>
      <w:tr w:rsidR="005274B5" w:rsidRPr="00A60775" w:rsidTr="00CC1A14">
        <w:trPr>
          <w:trHeight w:hRule="exact" w:val="300"/>
        </w:trPr>
        <w:tc>
          <w:tcPr>
            <w:tcW w:w="1701" w:type="dxa"/>
          </w:tcPr>
          <w:p w:rsidR="005274B5" w:rsidRPr="00043C0A" w:rsidRDefault="005274B5" w:rsidP="00CD62E6">
            <w:pPr>
              <w:jc w:val="both"/>
              <w:rPr>
                <w:sz w:val="22"/>
              </w:rPr>
            </w:pPr>
            <w:r w:rsidRPr="00043C0A">
              <w:rPr>
                <w:sz w:val="22"/>
              </w:rPr>
              <w:t>Other</w:t>
            </w:r>
          </w:p>
        </w:tc>
        <w:tc>
          <w:tcPr>
            <w:tcW w:w="1418" w:type="dxa"/>
          </w:tcPr>
          <w:p w:rsidR="005274B5" w:rsidRDefault="005274B5" w:rsidP="00CD62E6">
            <w:pPr>
              <w:jc w:val="center"/>
              <w:rPr>
                <w:snapToGrid w:val="0"/>
                <w:color w:val="000000"/>
                <w:sz w:val="22"/>
              </w:rPr>
            </w:pPr>
            <w:r>
              <w:rPr>
                <w:snapToGrid w:val="0"/>
                <w:color w:val="000000"/>
                <w:sz w:val="22"/>
              </w:rPr>
              <w:t>N</w:t>
            </w:r>
          </w:p>
        </w:tc>
        <w:tc>
          <w:tcPr>
            <w:tcW w:w="1276" w:type="dxa"/>
            <w:tcBorders>
              <w:bottom w:val="single" w:sz="4" w:space="0" w:color="auto"/>
            </w:tcBorders>
          </w:tcPr>
          <w:p w:rsidR="005274B5" w:rsidRPr="005404DD" w:rsidRDefault="0026378B" w:rsidP="005404DD">
            <w:pPr>
              <w:ind w:right="176"/>
              <w:jc w:val="right"/>
              <w:rPr>
                <w:snapToGrid w:val="0"/>
                <w:color w:val="000000"/>
                <w:sz w:val="22"/>
              </w:rPr>
            </w:pPr>
            <w:r>
              <w:rPr>
                <w:snapToGrid w:val="0"/>
                <w:color w:val="000000"/>
                <w:sz w:val="22"/>
              </w:rPr>
              <w:t>46,676</w:t>
            </w:r>
          </w:p>
        </w:tc>
        <w:tc>
          <w:tcPr>
            <w:tcW w:w="1134" w:type="dxa"/>
            <w:tcBorders>
              <w:bottom w:val="single" w:sz="4" w:space="0" w:color="auto"/>
            </w:tcBorders>
          </w:tcPr>
          <w:p w:rsidR="005274B5" w:rsidRPr="005404DD" w:rsidRDefault="00BA4E54" w:rsidP="00BA4E54">
            <w:pPr>
              <w:tabs>
                <w:tab w:val="decimal" w:pos="600"/>
              </w:tabs>
              <w:ind w:right="34"/>
              <w:jc w:val="right"/>
              <w:rPr>
                <w:snapToGrid w:val="0"/>
                <w:color w:val="000000"/>
                <w:sz w:val="22"/>
              </w:rPr>
            </w:pPr>
            <w:r>
              <w:rPr>
                <w:snapToGrid w:val="0"/>
                <w:color w:val="000000"/>
                <w:sz w:val="22"/>
              </w:rPr>
              <w:t>75.0</w:t>
            </w:r>
          </w:p>
        </w:tc>
        <w:tc>
          <w:tcPr>
            <w:tcW w:w="1275" w:type="dxa"/>
            <w:tcBorders>
              <w:bottom w:val="single" w:sz="4" w:space="0" w:color="auto"/>
            </w:tcBorders>
          </w:tcPr>
          <w:p w:rsidR="005274B5" w:rsidRPr="005404DD" w:rsidRDefault="005274B5" w:rsidP="005274B5">
            <w:pPr>
              <w:ind w:right="176"/>
              <w:jc w:val="right"/>
              <w:rPr>
                <w:snapToGrid w:val="0"/>
                <w:color w:val="000000"/>
                <w:sz w:val="22"/>
              </w:rPr>
            </w:pPr>
            <w:r>
              <w:rPr>
                <w:snapToGrid w:val="0"/>
                <w:color w:val="000000"/>
                <w:sz w:val="22"/>
              </w:rPr>
              <w:t>45,092</w:t>
            </w:r>
          </w:p>
        </w:tc>
        <w:tc>
          <w:tcPr>
            <w:tcW w:w="1135" w:type="dxa"/>
            <w:tcBorders>
              <w:bottom w:val="single" w:sz="4" w:space="0" w:color="auto"/>
            </w:tcBorders>
          </w:tcPr>
          <w:p w:rsidR="005274B5" w:rsidRPr="005404DD" w:rsidRDefault="00BA4E54" w:rsidP="005274B5">
            <w:pPr>
              <w:tabs>
                <w:tab w:val="decimal" w:pos="600"/>
              </w:tabs>
              <w:ind w:right="34"/>
              <w:jc w:val="right"/>
              <w:rPr>
                <w:snapToGrid w:val="0"/>
                <w:color w:val="000000"/>
                <w:sz w:val="22"/>
              </w:rPr>
            </w:pPr>
            <w:r>
              <w:rPr>
                <w:snapToGrid w:val="0"/>
                <w:color w:val="000000"/>
                <w:sz w:val="22"/>
              </w:rPr>
              <w:t>75.3</w:t>
            </w:r>
          </w:p>
        </w:tc>
      </w:tr>
      <w:tr w:rsidR="005274B5" w:rsidRPr="00A60775" w:rsidTr="00CC1A14">
        <w:trPr>
          <w:trHeight w:hRule="exact" w:val="300"/>
        </w:trPr>
        <w:tc>
          <w:tcPr>
            <w:tcW w:w="1701" w:type="dxa"/>
          </w:tcPr>
          <w:p w:rsidR="005274B5" w:rsidRPr="00043C0A" w:rsidRDefault="005274B5" w:rsidP="00CD62E6">
            <w:pPr>
              <w:jc w:val="both"/>
              <w:rPr>
                <w:sz w:val="22"/>
              </w:rPr>
            </w:pPr>
          </w:p>
        </w:tc>
        <w:tc>
          <w:tcPr>
            <w:tcW w:w="1418" w:type="dxa"/>
          </w:tcPr>
          <w:p w:rsidR="005274B5" w:rsidRPr="00A13840" w:rsidRDefault="005274B5" w:rsidP="00CD62E6">
            <w:pPr>
              <w:jc w:val="center"/>
              <w:rPr>
                <w:snapToGrid w:val="0"/>
                <w:color w:val="000000"/>
                <w:sz w:val="22"/>
              </w:rPr>
            </w:pPr>
          </w:p>
        </w:tc>
        <w:tc>
          <w:tcPr>
            <w:tcW w:w="1276" w:type="dxa"/>
            <w:tcBorders>
              <w:top w:val="single" w:sz="4" w:space="0" w:color="auto"/>
              <w:bottom w:val="double" w:sz="4" w:space="0" w:color="auto"/>
            </w:tcBorders>
          </w:tcPr>
          <w:p w:rsidR="005274B5" w:rsidRPr="005404DD" w:rsidRDefault="0026378B" w:rsidP="005404DD">
            <w:pPr>
              <w:ind w:right="176"/>
              <w:jc w:val="right"/>
              <w:rPr>
                <w:snapToGrid w:val="0"/>
                <w:color w:val="000000"/>
                <w:sz w:val="22"/>
              </w:rPr>
            </w:pPr>
            <w:r>
              <w:rPr>
                <w:snapToGrid w:val="0"/>
                <w:color w:val="000000"/>
                <w:sz w:val="22"/>
              </w:rPr>
              <w:t>53,793</w:t>
            </w:r>
          </w:p>
        </w:tc>
        <w:tc>
          <w:tcPr>
            <w:tcW w:w="1134" w:type="dxa"/>
            <w:tcBorders>
              <w:bottom w:val="double" w:sz="4" w:space="0" w:color="auto"/>
            </w:tcBorders>
          </w:tcPr>
          <w:p w:rsidR="005274B5" w:rsidRPr="005404DD" w:rsidRDefault="0026378B" w:rsidP="00BB2E44">
            <w:pPr>
              <w:tabs>
                <w:tab w:val="decimal" w:pos="600"/>
              </w:tabs>
              <w:ind w:right="34"/>
              <w:jc w:val="right"/>
              <w:rPr>
                <w:snapToGrid w:val="0"/>
                <w:color w:val="000000"/>
                <w:sz w:val="22"/>
              </w:rPr>
            </w:pPr>
            <w:r>
              <w:rPr>
                <w:snapToGrid w:val="0"/>
                <w:color w:val="000000"/>
                <w:sz w:val="22"/>
              </w:rPr>
              <w:t>100.0</w:t>
            </w:r>
          </w:p>
        </w:tc>
        <w:tc>
          <w:tcPr>
            <w:tcW w:w="1275" w:type="dxa"/>
            <w:tcBorders>
              <w:bottom w:val="double" w:sz="4" w:space="0" w:color="auto"/>
            </w:tcBorders>
          </w:tcPr>
          <w:p w:rsidR="005274B5" w:rsidRPr="005404DD" w:rsidRDefault="005274B5" w:rsidP="005274B5">
            <w:pPr>
              <w:ind w:right="176"/>
              <w:jc w:val="right"/>
              <w:rPr>
                <w:snapToGrid w:val="0"/>
                <w:color w:val="000000"/>
                <w:sz w:val="22"/>
              </w:rPr>
            </w:pPr>
            <w:r>
              <w:rPr>
                <w:snapToGrid w:val="0"/>
                <w:color w:val="000000"/>
                <w:sz w:val="22"/>
              </w:rPr>
              <w:t>52,111</w:t>
            </w:r>
          </w:p>
        </w:tc>
        <w:tc>
          <w:tcPr>
            <w:tcW w:w="1135" w:type="dxa"/>
            <w:tcBorders>
              <w:bottom w:val="double" w:sz="4" w:space="0" w:color="auto"/>
            </w:tcBorders>
          </w:tcPr>
          <w:p w:rsidR="005274B5" w:rsidRPr="005404DD" w:rsidRDefault="005274B5" w:rsidP="005274B5">
            <w:pPr>
              <w:tabs>
                <w:tab w:val="decimal" w:pos="600"/>
              </w:tabs>
              <w:ind w:right="34"/>
              <w:jc w:val="right"/>
              <w:rPr>
                <w:snapToGrid w:val="0"/>
                <w:color w:val="000000"/>
                <w:sz w:val="22"/>
              </w:rPr>
            </w:pPr>
            <w:r>
              <w:rPr>
                <w:snapToGrid w:val="0"/>
                <w:color w:val="000000"/>
                <w:sz w:val="22"/>
              </w:rPr>
              <w:t>100.0</w:t>
            </w:r>
          </w:p>
        </w:tc>
      </w:tr>
    </w:tbl>
    <w:p w:rsidR="00F372FF" w:rsidRDefault="00F372FF" w:rsidP="00D90216">
      <w:pPr>
        <w:ind w:left="709"/>
        <w:jc w:val="both"/>
        <w:rPr>
          <w:b/>
          <w:sz w:val="22"/>
        </w:rPr>
      </w:pPr>
    </w:p>
    <w:p w:rsidR="00D90216" w:rsidRPr="00043C0A" w:rsidRDefault="00D90216" w:rsidP="00D90216">
      <w:pPr>
        <w:ind w:left="709"/>
        <w:jc w:val="both"/>
        <w:rPr>
          <w:b/>
          <w:sz w:val="22"/>
        </w:rPr>
      </w:pPr>
      <w:r w:rsidRPr="00043C0A">
        <w:rPr>
          <w:b/>
          <w:sz w:val="22"/>
        </w:rPr>
        <w:t>History of experience gains and losses</w:t>
      </w:r>
    </w:p>
    <w:p w:rsidR="00D90216" w:rsidRPr="00043C0A" w:rsidRDefault="00D90216" w:rsidP="00D90216">
      <w:pPr>
        <w:ind w:left="709"/>
        <w:jc w:val="both"/>
        <w:rPr>
          <w:b/>
          <w:sz w:val="22"/>
        </w:rPr>
      </w:pPr>
    </w:p>
    <w:p w:rsidR="00D90216" w:rsidRPr="006C28D2" w:rsidRDefault="00D90216" w:rsidP="00D90216">
      <w:pPr>
        <w:ind w:left="709"/>
        <w:jc w:val="both"/>
        <w:rPr>
          <w:sz w:val="22"/>
        </w:rPr>
      </w:pPr>
      <w:r w:rsidRPr="00043C0A">
        <w:rPr>
          <w:sz w:val="22"/>
        </w:rPr>
        <w:t xml:space="preserve">The actuarial gains and losses identified </w:t>
      </w:r>
      <w:r w:rsidRPr="006C28D2">
        <w:rPr>
          <w:sz w:val="22"/>
        </w:rPr>
        <w:t>as movements on the Pension Reserve in 201</w:t>
      </w:r>
      <w:r w:rsidR="005274B5">
        <w:rPr>
          <w:sz w:val="22"/>
        </w:rPr>
        <w:t>7</w:t>
      </w:r>
      <w:r w:rsidR="00076DC2" w:rsidRPr="006C28D2">
        <w:rPr>
          <w:sz w:val="22"/>
        </w:rPr>
        <w:t>/1</w:t>
      </w:r>
      <w:r w:rsidR="005274B5">
        <w:rPr>
          <w:sz w:val="22"/>
        </w:rPr>
        <w:t>8</w:t>
      </w:r>
      <w:r w:rsidRPr="006C28D2">
        <w:rPr>
          <w:sz w:val="22"/>
        </w:rPr>
        <w:t xml:space="preserve"> can be analysed into the following categories, measured as a percentage of assets or liabilities at 31 March 201</w:t>
      </w:r>
      <w:r w:rsidR="005274B5">
        <w:rPr>
          <w:sz w:val="22"/>
        </w:rPr>
        <w:t>8</w:t>
      </w:r>
      <w:r w:rsidRPr="006C28D2">
        <w:rPr>
          <w:sz w:val="22"/>
        </w:rPr>
        <w:t>:</w:t>
      </w:r>
    </w:p>
    <w:p w:rsidR="00D90216" w:rsidRPr="006C28D2" w:rsidRDefault="00D90216" w:rsidP="00D90216">
      <w:pPr>
        <w:ind w:left="709"/>
        <w:jc w:val="both"/>
        <w:rPr>
          <w:sz w:val="22"/>
        </w:rPr>
      </w:pPr>
    </w:p>
    <w:tbl>
      <w:tblPr>
        <w:tblW w:w="9498" w:type="dxa"/>
        <w:tblInd w:w="534"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827"/>
        <w:gridCol w:w="1133"/>
        <w:gridCol w:w="1135"/>
        <w:gridCol w:w="1135"/>
        <w:gridCol w:w="1134"/>
        <w:gridCol w:w="1134"/>
      </w:tblGrid>
      <w:tr w:rsidR="005274B5" w:rsidRPr="009B6E08" w:rsidTr="00CD62E6">
        <w:trPr>
          <w:cantSplit/>
        </w:trPr>
        <w:tc>
          <w:tcPr>
            <w:tcW w:w="3827" w:type="dxa"/>
            <w:vMerge w:val="restart"/>
            <w:tcBorders>
              <w:top w:val="nil"/>
              <w:left w:val="nil"/>
              <w:right w:val="nil"/>
            </w:tcBorders>
          </w:tcPr>
          <w:p w:rsidR="005274B5" w:rsidRPr="00350247" w:rsidRDefault="005274B5" w:rsidP="004C3869">
            <w:pPr>
              <w:ind w:left="175"/>
              <w:jc w:val="both"/>
              <w:rPr>
                <w:b/>
                <w:sz w:val="22"/>
                <w:szCs w:val="22"/>
              </w:rPr>
            </w:pPr>
            <w:r w:rsidRPr="00350247">
              <w:rPr>
                <w:b/>
                <w:sz w:val="22"/>
                <w:szCs w:val="22"/>
              </w:rPr>
              <w:t>Local Government Pensions Scheme (LGPS)</w:t>
            </w:r>
            <w:r w:rsidR="00AC45A8">
              <w:rPr>
                <w:b/>
                <w:sz w:val="22"/>
                <w:szCs w:val="22"/>
              </w:rPr>
              <w:t xml:space="preserve"> </w:t>
            </w:r>
            <w:proofErr w:type="spellStart"/>
            <w:r w:rsidR="00AC45A8">
              <w:rPr>
                <w:b/>
                <w:sz w:val="22"/>
                <w:szCs w:val="22"/>
              </w:rPr>
              <w:t>inc</w:t>
            </w:r>
            <w:proofErr w:type="spellEnd"/>
            <w:r w:rsidR="00AC45A8">
              <w:rPr>
                <w:b/>
                <w:sz w:val="22"/>
                <w:szCs w:val="22"/>
              </w:rPr>
              <w:t xml:space="preserve"> NWFC</w:t>
            </w:r>
            <w:r w:rsidRPr="00350247">
              <w:rPr>
                <w:b/>
                <w:sz w:val="22"/>
                <w:szCs w:val="22"/>
              </w:rPr>
              <w:t>:</w:t>
            </w:r>
          </w:p>
        </w:tc>
        <w:tc>
          <w:tcPr>
            <w:tcW w:w="1133"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w:t>
            </w:r>
            <w:r>
              <w:rPr>
                <w:sz w:val="22"/>
                <w:szCs w:val="22"/>
              </w:rPr>
              <w:t>7</w:t>
            </w:r>
            <w:r w:rsidRPr="00350247">
              <w:rPr>
                <w:sz w:val="22"/>
                <w:szCs w:val="22"/>
              </w:rPr>
              <w:t>/1</w:t>
            </w:r>
            <w:r>
              <w:rPr>
                <w:sz w:val="22"/>
                <w:szCs w:val="22"/>
              </w:rPr>
              <w:t>8</w:t>
            </w:r>
          </w:p>
        </w:tc>
        <w:tc>
          <w:tcPr>
            <w:tcW w:w="1135" w:type="dxa"/>
            <w:tcBorders>
              <w:top w:val="nil"/>
              <w:left w:val="nil"/>
              <w:bottom w:val="nil"/>
              <w:right w:val="nil"/>
            </w:tcBorders>
          </w:tcPr>
          <w:p w:rsidR="005274B5" w:rsidRDefault="005274B5" w:rsidP="005274B5">
            <w:pPr>
              <w:jc w:val="center"/>
              <w:rPr>
                <w:sz w:val="22"/>
                <w:szCs w:val="22"/>
              </w:rPr>
            </w:pPr>
            <w:r w:rsidRPr="00350247">
              <w:rPr>
                <w:sz w:val="22"/>
                <w:szCs w:val="22"/>
              </w:rPr>
              <w:t>201</w:t>
            </w:r>
            <w:r>
              <w:rPr>
                <w:sz w:val="22"/>
                <w:szCs w:val="22"/>
              </w:rPr>
              <w:t>6</w:t>
            </w:r>
            <w:r w:rsidRPr="00350247">
              <w:rPr>
                <w:sz w:val="22"/>
                <w:szCs w:val="22"/>
              </w:rPr>
              <w:t>/1</w:t>
            </w:r>
            <w:r>
              <w:rPr>
                <w:sz w:val="22"/>
                <w:szCs w:val="22"/>
              </w:rPr>
              <w:t>7</w:t>
            </w:r>
          </w:p>
          <w:p w:rsidR="00AC45A8" w:rsidRPr="00350247" w:rsidRDefault="00AC45A8" w:rsidP="005274B5">
            <w:pPr>
              <w:jc w:val="center"/>
              <w:rPr>
                <w:sz w:val="22"/>
                <w:szCs w:val="22"/>
              </w:rPr>
            </w:pPr>
            <w:r>
              <w:rPr>
                <w:sz w:val="22"/>
                <w:szCs w:val="22"/>
              </w:rPr>
              <w:t>Restated</w:t>
            </w:r>
            <w:r w:rsidR="00674936">
              <w:rPr>
                <w:sz w:val="22"/>
                <w:szCs w:val="22"/>
              </w:rPr>
              <w:t>*</w:t>
            </w:r>
          </w:p>
        </w:tc>
        <w:tc>
          <w:tcPr>
            <w:tcW w:w="1135"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2015/16</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2014/15</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2013/14</w:t>
            </w:r>
          </w:p>
        </w:tc>
      </w:tr>
      <w:tr w:rsidR="00350247" w:rsidRPr="009B6E08" w:rsidTr="0035593C">
        <w:trPr>
          <w:trHeight w:val="318"/>
        </w:trPr>
        <w:tc>
          <w:tcPr>
            <w:tcW w:w="3827" w:type="dxa"/>
            <w:vMerge/>
          </w:tcPr>
          <w:p w:rsidR="00350247" w:rsidRPr="00350247" w:rsidRDefault="00350247" w:rsidP="00CD62E6">
            <w:pPr>
              <w:pStyle w:val="NormalWeb"/>
              <w:rPr>
                <w:rFonts w:ascii="Arial" w:hAnsi="Arial"/>
                <w:sz w:val="22"/>
                <w:szCs w:val="22"/>
              </w:rPr>
            </w:pPr>
          </w:p>
        </w:tc>
        <w:tc>
          <w:tcPr>
            <w:tcW w:w="1133" w:type="dxa"/>
            <w:tcBorders>
              <w:top w:val="nil"/>
            </w:tcBorders>
          </w:tcPr>
          <w:p w:rsidR="00350247" w:rsidRPr="00350247" w:rsidRDefault="00350247" w:rsidP="0064777E">
            <w:pPr>
              <w:jc w:val="center"/>
              <w:rPr>
                <w:sz w:val="22"/>
                <w:szCs w:val="22"/>
              </w:rPr>
            </w:pPr>
            <w:r w:rsidRPr="00350247">
              <w:rPr>
                <w:sz w:val="22"/>
                <w:szCs w:val="22"/>
              </w:rPr>
              <w:t>%</w:t>
            </w:r>
          </w:p>
        </w:tc>
        <w:tc>
          <w:tcPr>
            <w:tcW w:w="1135" w:type="dxa"/>
            <w:tcBorders>
              <w:top w:val="nil"/>
            </w:tcBorders>
          </w:tcPr>
          <w:p w:rsidR="00350247" w:rsidRPr="00350247" w:rsidRDefault="00350247" w:rsidP="0024225A">
            <w:pPr>
              <w:jc w:val="center"/>
              <w:rPr>
                <w:sz w:val="22"/>
                <w:szCs w:val="22"/>
              </w:rPr>
            </w:pPr>
            <w:r w:rsidRPr="00350247">
              <w:rPr>
                <w:sz w:val="22"/>
                <w:szCs w:val="22"/>
              </w:rPr>
              <w:t>%</w:t>
            </w:r>
          </w:p>
        </w:tc>
        <w:tc>
          <w:tcPr>
            <w:tcW w:w="1135" w:type="dxa"/>
            <w:tcBorders>
              <w:top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tcBorders>
          </w:tcPr>
          <w:p w:rsidR="00350247" w:rsidRPr="00350247" w:rsidRDefault="00350247" w:rsidP="0024225A">
            <w:pPr>
              <w:jc w:val="center"/>
              <w:rPr>
                <w:sz w:val="22"/>
                <w:szCs w:val="22"/>
              </w:rPr>
            </w:pPr>
            <w:r w:rsidRPr="00350247">
              <w:rPr>
                <w:sz w:val="22"/>
                <w:szCs w:val="22"/>
              </w:rPr>
              <w:t>%</w:t>
            </w:r>
          </w:p>
        </w:tc>
      </w:tr>
      <w:tr w:rsidR="005274B5" w:rsidRPr="009B6E08" w:rsidTr="00CD62E6">
        <w:tc>
          <w:tcPr>
            <w:tcW w:w="3827" w:type="dxa"/>
            <w:tcBorders>
              <w:bottom w:val="nil"/>
            </w:tcBorders>
          </w:tcPr>
          <w:p w:rsidR="005274B5" w:rsidRPr="00350247" w:rsidRDefault="005274B5" w:rsidP="004C3869">
            <w:pPr>
              <w:ind w:left="175"/>
              <w:jc w:val="both"/>
              <w:rPr>
                <w:sz w:val="22"/>
                <w:szCs w:val="22"/>
              </w:rPr>
            </w:pPr>
            <w:r w:rsidRPr="00350247">
              <w:rPr>
                <w:sz w:val="22"/>
                <w:szCs w:val="22"/>
              </w:rPr>
              <w:t>Experience Gains and losses on assets</w:t>
            </w:r>
          </w:p>
        </w:tc>
        <w:tc>
          <w:tcPr>
            <w:tcW w:w="1133" w:type="dxa"/>
            <w:tcBorders>
              <w:bottom w:val="nil"/>
            </w:tcBorders>
          </w:tcPr>
          <w:p w:rsidR="005274B5" w:rsidRPr="00AA3DBB" w:rsidRDefault="0026378B" w:rsidP="0064777E">
            <w:pPr>
              <w:jc w:val="center"/>
              <w:rPr>
                <w:sz w:val="22"/>
                <w:szCs w:val="22"/>
              </w:rPr>
            </w:pPr>
            <w:r>
              <w:rPr>
                <w:sz w:val="22"/>
                <w:szCs w:val="22"/>
              </w:rPr>
              <w:t>1.</w:t>
            </w:r>
            <w:r w:rsidR="00AC45A8">
              <w:rPr>
                <w:sz w:val="22"/>
                <w:szCs w:val="22"/>
              </w:rPr>
              <w:t>0</w:t>
            </w:r>
          </w:p>
        </w:tc>
        <w:tc>
          <w:tcPr>
            <w:tcW w:w="1135" w:type="dxa"/>
            <w:tcBorders>
              <w:bottom w:val="nil"/>
            </w:tcBorders>
          </w:tcPr>
          <w:p w:rsidR="005274B5" w:rsidRPr="00AA3DBB" w:rsidRDefault="005274B5" w:rsidP="00AC45A8">
            <w:pPr>
              <w:jc w:val="center"/>
              <w:rPr>
                <w:sz w:val="22"/>
                <w:szCs w:val="22"/>
              </w:rPr>
            </w:pPr>
            <w:r>
              <w:rPr>
                <w:sz w:val="22"/>
                <w:szCs w:val="22"/>
              </w:rPr>
              <w:t>12.</w:t>
            </w:r>
            <w:r w:rsidR="00AC45A8">
              <w:rPr>
                <w:sz w:val="22"/>
                <w:szCs w:val="22"/>
              </w:rPr>
              <w:t>3</w:t>
            </w:r>
          </w:p>
        </w:tc>
        <w:tc>
          <w:tcPr>
            <w:tcW w:w="1135" w:type="dxa"/>
            <w:tcBorders>
              <w:bottom w:val="nil"/>
            </w:tcBorders>
          </w:tcPr>
          <w:p w:rsidR="005274B5" w:rsidRPr="00AA3DBB" w:rsidRDefault="005274B5" w:rsidP="005274B5">
            <w:pPr>
              <w:jc w:val="center"/>
              <w:rPr>
                <w:sz w:val="22"/>
                <w:szCs w:val="22"/>
              </w:rPr>
            </w:pPr>
            <w:r w:rsidRPr="00AA3DBB">
              <w:rPr>
                <w:sz w:val="22"/>
                <w:szCs w:val="22"/>
              </w:rPr>
              <w:t>1.3</w:t>
            </w:r>
          </w:p>
        </w:tc>
        <w:tc>
          <w:tcPr>
            <w:tcW w:w="1134" w:type="dxa"/>
            <w:tcBorders>
              <w:bottom w:val="nil"/>
            </w:tcBorders>
          </w:tcPr>
          <w:p w:rsidR="005274B5" w:rsidRPr="00350247" w:rsidRDefault="005274B5" w:rsidP="005274B5">
            <w:pPr>
              <w:jc w:val="center"/>
              <w:rPr>
                <w:sz w:val="22"/>
                <w:szCs w:val="22"/>
              </w:rPr>
            </w:pPr>
            <w:r w:rsidRPr="00350247">
              <w:rPr>
                <w:sz w:val="22"/>
                <w:szCs w:val="22"/>
              </w:rPr>
              <w:t>6.9</w:t>
            </w:r>
          </w:p>
        </w:tc>
        <w:tc>
          <w:tcPr>
            <w:tcW w:w="1134" w:type="dxa"/>
            <w:tcBorders>
              <w:bottom w:val="nil"/>
            </w:tcBorders>
          </w:tcPr>
          <w:p w:rsidR="005274B5" w:rsidRPr="00350247" w:rsidRDefault="005274B5" w:rsidP="005274B5">
            <w:pPr>
              <w:jc w:val="center"/>
              <w:rPr>
                <w:sz w:val="22"/>
                <w:szCs w:val="22"/>
              </w:rPr>
            </w:pPr>
            <w:r w:rsidRPr="00350247">
              <w:rPr>
                <w:sz w:val="22"/>
                <w:szCs w:val="22"/>
              </w:rPr>
              <w:t>(2.0)</w:t>
            </w:r>
          </w:p>
        </w:tc>
      </w:tr>
      <w:tr w:rsidR="005274B5" w:rsidRPr="009B6E08" w:rsidTr="00CD62E6">
        <w:tc>
          <w:tcPr>
            <w:tcW w:w="3827" w:type="dxa"/>
            <w:tcBorders>
              <w:top w:val="nil"/>
              <w:left w:val="nil"/>
              <w:bottom w:val="nil"/>
              <w:right w:val="nil"/>
            </w:tcBorders>
          </w:tcPr>
          <w:p w:rsidR="005274B5" w:rsidRPr="00350247" w:rsidRDefault="005274B5" w:rsidP="004C3869">
            <w:pPr>
              <w:ind w:left="175"/>
              <w:jc w:val="both"/>
              <w:rPr>
                <w:sz w:val="22"/>
                <w:szCs w:val="22"/>
              </w:rPr>
            </w:pPr>
            <w:r w:rsidRPr="00350247">
              <w:rPr>
                <w:sz w:val="22"/>
                <w:szCs w:val="22"/>
              </w:rPr>
              <w:t>Gains and losses on liabilities</w:t>
            </w:r>
          </w:p>
        </w:tc>
        <w:tc>
          <w:tcPr>
            <w:tcW w:w="1133" w:type="dxa"/>
            <w:tcBorders>
              <w:top w:val="nil"/>
              <w:left w:val="nil"/>
              <w:bottom w:val="nil"/>
              <w:right w:val="nil"/>
            </w:tcBorders>
          </w:tcPr>
          <w:p w:rsidR="005274B5" w:rsidRPr="00AA3DBB" w:rsidRDefault="0026378B" w:rsidP="00AC45A8">
            <w:pPr>
              <w:jc w:val="center"/>
              <w:rPr>
                <w:sz w:val="22"/>
                <w:szCs w:val="22"/>
              </w:rPr>
            </w:pPr>
            <w:r>
              <w:rPr>
                <w:sz w:val="22"/>
                <w:szCs w:val="22"/>
              </w:rPr>
              <w:t>4.</w:t>
            </w:r>
            <w:r w:rsidR="00AC45A8">
              <w:rPr>
                <w:sz w:val="22"/>
                <w:szCs w:val="22"/>
              </w:rPr>
              <w:t>0</w:t>
            </w:r>
          </w:p>
        </w:tc>
        <w:tc>
          <w:tcPr>
            <w:tcW w:w="1135" w:type="dxa"/>
            <w:tcBorders>
              <w:top w:val="nil"/>
              <w:left w:val="nil"/>
              <w:bottom w:val="nil"/>
              <w:right w:val="nil"/>
            </w:tcBorders>
          </w:tcPr>
          <w:p w:rsidR="005274B5" w:rsidRPr="00AA3DBB" w:rsidRDefault="00AC45A8" w:rsidP="005274B5">
            <w:pPr>
              <w:jc w:val="center"/>
              <w:rPr>
                <w:sz w:val="22"/>
                <w:szCs w:val="22"/>
              </w:rPr>
            </w:pPr>
            <w:r>
              <w:rPr>
                <w:sz w:val="22"/>
                <w:szCs w:val="22"/>
              </w:rPr>
              <w:t>16.6</w:t>
            </w:r>
          </w:p>
        </w:tc>
        <w:tc>
          <w:tcPr>
            <w:tcW w:w="1135" w:type="dxa"/>
            <w:tcBorders>
              <w:top w:val="nil"/>
              <w:left w:val="nil"/>
              <w:bottom w:val="nil"/>
              <w:right w:val="nil"/>
            </w:tcBorders>
          </w:tcPr>
          <w:p w:rsidR="005274B5" w:rsidRPr="00AA3DBB" w:rsidRDefault="005274B5" w:rsidP="005274B5">
            <w:pPr>
              <w:jc w:val="center"/>
              <w:rPr>
                <w:sz w:val="22"/>
                <w:szCs w:val="22"/>
              </w:rPr>
            </w:pPr>
            <w:r w:rsidRPr="00AA3DBB">
              <w:rPr>
                <w:sz w:val="22"/>
                <w:szCs w:val="22"/>
              </w:rPr>
              <w:t>(6.2)</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14.9</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(18.5)</w:t>
            </w:r>
          </w:p>
        </w:tc>
      </w:tr>
    </w:tbl>
    <w:p w:rsidR="0064777E" w:rsidRPr="009B6E08" w:rsidRDefault="0064777E" w:rsidP="004C5C3E">
      <w:pPr>
        <w:jc w:val="both"/>
        <w:rPr>
          <w:b/>
          <w:sz w:val="22"/>
          <w:highlight w:val="yellow"/>
        </w:rPr>
      </w:pPr>
    </w:p>
    <w:p w:rsidR="001C03D5" w:rsidRPr="009B6E08" w:rsidRDefault="001C03D5" w:rsidP="004C5C3E">
      <w:pPr>
        <w:jc w:val="both"/>
        <w:rPr>
          <w:b/>
          <w:sz w:val="22"/>
          <w:highlight w:val="yellow"/>
        </w:rPr>
      </w:pPr>
    </w:p>
    <w:tbl>
      <w:tblPr>
        <w:tblW w:w="9498" w:type="dxa"/>
        <w:tblInd w:w="534"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827"/>
        <w:gridCol w:w="1133"/>
        <w:gridCol w:w="1135"/>
        <w:gridCol w:w="1135"/>
        <w:gridCol w:w="1134"/>
        <w:gridCol w:w="1134"/>
      </w:tblGrid>
      <w:tr w:rsidR="005274B5" w:rsidRPr="009B6E08" w:rsidTr="00CD62E6">
        <w:trPr>
          <w:cantSplit/>
        </w:trPr>
        <w:tc>
          <w:tcPr>
            <w:tcW w:w="3827" w:type="dxa"/>
            <w:tcBorders>
              <w:top w:val="nil"/>
              <w:left w:val="nil"/>
              <w:bottom w:val="nil"/>
              <w:right w:val="nil"/>
            </w:tcBorders>
          </w:tcPr>
          <w:p w:rsidR="005274B5" w:rsidRPr="00350247" w:rsidRDefault="005274B5" w:rsidP="004C3869">
            <w:pPr>
              <w:ind w:left="175"/>
              <w:jc w:val="both"/>
              <w:rPr>
                <w:b/>
                <w:sz w:val="22"/>
                <w:szCs w:val="22"/>
              </w:rPr>
            </w:pPr>
            <w:r w:rsidRPr="00350247">
              <w:rPr>
                <w:b/>
                <w:sz w:val="22"/>
                <w:szCs w:val="22"/>
              </w:rPr>
              <w:t>Firefighters Pension Scheme:</w:t>
            </w:r>
          </w:p>
        </w:tc>
        <w:tc>
          <w:tcPr>
            <w:tcW w:w="1133"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w:t>
            </w:r>
            <w:r>
              <w:rPr>
                <w:sz w:val="22"/>
                <w:szCs w:val="22"/>
              </w:rPr>
              <w:t>7</w:t>
            </w:r>
            <w:r w:rsidRPr="00350247">
              <w:rPr>
                <w:sz w:val="22"/>
                <w:szCs w:val="22"/>
              </w:rPr>
              <w:t>/1</w:t>
            </w:r>
            <w:r>
              <w:rPr>
                <w:sz w:val="22"/>
                <w:szCs w:val="22"/>
              </w:rPr>
              <w:t>8</w:t>
            </w:r>
          </w:p>
        </w:tc>
        <w:tc>
          <w:tcPr>
            <w:tcW w:w="1135"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w:t>
            </w:r>
            <w:r>
              <w:rPr>
                <w:sz w:val="22"/>
                <w:szCs w:val="22"/>
              </w:rPr>
              <w:t>6</w:t>
            </w:r>
            <w:r w:rsidRPr="00350247">
              <w:rPr>
                <w:sz w:val="22"/>
                <w:szCs w:val="22"/>
              </w:rPr>
              <w:t>/1</w:t>
            </w:r>
            <w:r>
              <w:rPr>
                <w:sz w:val="22"/>
                <w:szCs w:val="22"/>
              </w:rPr>
              <w:t>7</w:t>
            </w:r>
          </w:p>
        </w:tc>
        <w:tc>
          <w:tcPr>
            <w:tcW w:w="1135"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2015/16</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2014/15</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2013/14</w:t>
            </w:r>
          </w:p>
        </w:tc>
      </w:tr>
      <w:tr w:rsidR="00350247" w:rsidRPr="009B6E08" w:rsidTr="00CD62E6">
        <w:tc>
          <w:tcPr>
            <w:tcW w:w="3827" w:type="dxa"/>
            <w:tcBorders>
              <w:top w:val="nil"/>
            </w:tcBorders>
          </w:tcPr>
          <w:p w:rsidR="00350247" w:rsidRPr="00350247" w:rsidRDefault="00350247" w:rsidP="0064777E">
            <w:pPr>
              <w:rPr>
                <w:sz w:val="22"/>
                <w:szCs w:val="22"/>
              </w:rPr>
            </w:pPr>
          </w:p>
        </w:tc>
        <w:tc>
          <w:tcPr>
            <w:tcW w:w="1133" w:type="dxa"/>
            <w:tcBorders>
              <w:top w:val="nil"/>
            </w:tcBorders>
          </w:tcPr>
          <w:p w:rsidR="00350247" w:rsidRPr="00350247" w:rsidRDefault="00350247" w:rsidP="0064777E">
            <w:pPr>
              <w:jc w:val="center"/>
              <w:rPr>
                <w:sz w:val="22"/>
                <w:szCs w:val="22"/>
              </w:rPr>
            </w:pPr>
            <w:r w:rsidRPr="00350247">
              <w:rPr>
                <w:sz w:val="22"/>
                <w:szCs w:val="22"/>
              </w:rPr>
              <w:t>%</w:t>
            </w:r>
          </w:p>
        </w:tc>
        <w:tc>
          <w:tcPr>
            <w:tcW w:w="1135" w:type="dxa"/>
            <w:tcBorders>
              <w:top w:val="nil"/>
            </w:tcBorders>
          </w:tcPr>
          <w:p w:rsidR="00350247" w:rsidRPr="00350247" w:rsidRDefault="00350247" w:rsidP="0024225A">
            <w:pPr>
              <w:jc w:val="center"/>
              <w:rPr>
                <w:sz w:val="22"/>
                <w:szCs w:val="22"/>
              </w:rPr>
            </w:pPr>
            <w:r w:rsidRPr="00350247">
              <w:rPr>
                <w:sz w:val="22"/>
                <w:szCs w:val="22"/>
              </w:rPr>
              <w:t>%</w:t>
            </w:r>
          </w:p>
        </w:tc>
        <w:tc>
          <w:tcPr>
            <w:tcW w:w="1135" w:type="dxa"/>
            <w:tcBorders>
              <w:top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tcBorders>
          </w:tcPr>
          <w:p w:rsidR="00350247" w:rsidRPr="00350247" w:rsidRDefault="00350247" w:rsidP="0024225A">
            <w:pPr>
              <w:jc w:val="center"/>
              <w:rPr>
                <w:sz w:val="22"/>
                <w:szCs w:val="22"/>
              </w:rPr>
            </w:pPr>
            <w:r w:rsidRPr="00350247">
              <w:rPr>
                <w:sz w:val="22"/>
                <w:szCs w:val="22"/>
              </w:rPr>
              <w:t>%</w:t>
            </w:r>
          </w:p>
        </w:tc>
      </w:tr>
      <w:tr w:rsidR="00350247" w:rsidRPr="009B6E08" w:rsidTr="00CD62E6">
        <w:tc>
          <w:tcPr>
            <w:tcW w:w="3827" w:type="dxa"/>
            <w:tcBorders>
              <w:bottom w:val="nil"/>
            </w:tcBorders>
          </w:tcPr>
          <w:p w:rsidR="00350247" w:rsidRPr="00350247" w:rsidRDefault="00350247" w:rsidP="00D96766">
            <w:pPr>
              <w:ind w:left="175"/>
              <w:jc w:val="both"/>
              <w:rPr>
                <w:sz w:val="22"/>
                <w:szCs w:val="22"/>
              </w:rPr>
            </w:pPr>
            <w:r w:rsidRPr="00350247">
              <w:rPr>
                <w:sz w:val="22"/>
                <w:szCs w:val="22"/>
              </w:rPr>
              <w:t>Experience Gains and losses on assets</w:t>
            </w:r>
          </w:p>
        </w:tc>
        <w:tc>
          <w:tcPr>
            <w:tcW w:w="1133" w:type="dxa"/>
            <w:tcBorders>
              <w:bottom w:val="nil"/>
            </w:tcBorders>
          </w:tcPr>
          <w:p w:rsidR="00350247" w:rsidRPr="00C91A47" w:rsidRDefault="00350247" w:rsidP="0064777E">
            <w:pPr>
              <w:jc w:val="center"/>
              <w:rPr>
                <w:sz w:val="22"/>
                <w:szCs w:val="22"/>
              </w:rPr>
            </w:pPr>
            <w:r w:rsidRPr="00C91A47">
              <w:rPr>
                <w:sz w:val="22"/>
                <w:szCs w:val="22"/>
              </w:rPr>
              <w:t>-</w:t>
            </w:r>
          </w:p>
        </w:tc>
        <w:tc>
          <w:tcPr>
            <w:tcW w:w="1135" w:type="dxa"/>
            <w:tcBorders>
              <w:bottom w:val="nil"/>
            </w:tcBorders>
          </w:tcPr>
          <w:p w:rsidR="00350247" w:rsidRPr="00350247" w:rsidRDefault="00350247" w:rsidP="0024225A">
            <w:pPr>
              <w:jc w:val="center"/>
              <w:rPr>
                <w:sz w:val="22"/>
                <w:szCs w:val="22"/>
              </w:rPr>
            </w:pPr>
            <w:r w:rsidRPr="00350247">
              <w:rPr>
                <w:sz w:val="22"/>
                <w:szCs w:val="22"/>
              </w:rPr>
              <w:t>-</w:t>
            </w:r>
          </w:p>
        </w:tc>
        <w:tc>
          <w:tcPr>
            <w:tcW w:w="1135" w:type="dxa"/>
            <w:tcBorders>
              <w:bottom w:val="nil"/>
            </w:tcBorders>
          </w:tcPr>
          <w:p w:rsidR="00350247" w:rsidRPr="00350247" w:rsidRDefault="00350247" w:rsidP="0024225A">
            <w:pPr>
              <w:jc w:val="center"/>
              <w:rPr>
                <w:sz w:val="22"/>
                <w:szCs w:val="22"/>
              </w:rPr>
            </w:pPr>
            <w:r w:rsidRPr="00350247">
              <w:rPr>
                <w:sz w:val="22"/>
                <w:szCs w:val="22"/>
              </w:rPr>
              <w:t>-</w:t>
            </w:r>
          </w:p>
        </w:tc>
        <w:tc>
          <w:tcPr>
            <w:tcW w:w="1134" w:type="dxa"/>
            <w:tcBorders>
              <w:bottom w:val="nil"/>
            </w:tcBorders>
          </w:tcPr>
          <w:p w:rsidR="00350247" w:rsidRPr="00350247" w:rsidRDefault="00350247" w:rsidP="0024225A">
            <w:pPr>
              <w:jc w:val="center"/>
              <w:rPr>
                <w:sz w:val="22"/>
                <w:szCs w:val="22"/>
              </w:rPr>
            </w:pPr>
            <w:r w:rsidRPr="00350247">
              <w:rPr>
                <w:sz w:val="22"/>
                <w:szCs w:val="22"/>
              </w:rPr>
              <w:t>-</w:t>
            </w:r>
          </w:p>
        </w:tc>
        <w:tc>
          <w:tcPr>
            <w:tcW w:w="1134" w:type="dxa"/>
            <w:tcBorders>
              <w:bottom w:val="nil"/>
            </w:tcBorders>
          </w:tcPr>
          <w:p w:rsidR="00350247" w:rsidRPr="00350247" w:rsidRDefault="00350247" w:rsidP="0024225A">
            <w:pPr>
              <w:jc w:val="center"/>
              <w:rPr>
                <w:sz w:val="22"/>
                <w:szCs w:val="22"/>
              </w:rPr>
            </w:pPr>
            <w:r w:rsidRPr="00350247">
              <w:rPr>
                <w:sz w:val="22"/>
                <w:szCs w:val="22"/>
              </w:rPr>
              <w:t>-</w:t>
            </w:r>
          </w:p>
        </w:tc>
      </w:tr>
      <w:tr w:rsidR="005274B5" w:rsidRPr="009B6E08" w:rsidTr="00CD62E6">
        <w:tc>
          <w:tcPr>
            <w:tcW w:w="3827" w:type="dxa"/>
            <w:tcBorders>
              <w:top w:val="nil"/>
              <w:left w:val="nil"/>
              <w:bottom w:val="nil"/>
              <w:right w:val="nil"/>
            </w:tcBorders>
          </w:tcPr>
          <w:p w:rsidR="005274B5" w:rsidRPr="00350247" w:rsidRDefault="005274B5" w:rsidP="00D96766">
            <w:pPr>
              <w:ind w:left="175"/>
              <w:jc w:val="both"/>
              <w:rPr>
                <w:sz w:val="22"/>
                <w:szCs w:val="22"/>
              </w:rPr>
            </w:pPr>
            <w:r w:rsidRPr="00350247">
              <w:rPr>
                <w:sz w:val="22"/>
                <w:szCs w:val="22"/>
              </w:rPr>
              <w:t>Gains and losses on liabilities</w:t>
            </w:r>
          </w:p>
        </w:tc>
        <w:tc>
          <w:tcPr>
            <w:tcW w:w="1133" w:type="dxa"/>
            <w:tcBorders>
              <w:top w:val="nil"/>
              <w:left w:val="nil"/>
              <w:bottom w:val="nil"/>
              <w:right w:val="nil"/>
            </w:tcBorders>
          </w:tcPr>
          <w:p w:rsidR="005274B5" w:rsidRPr="00C91A47" w:rsidRDefault="0026378B" w:rsidP="001625BC">
            <w:pPr>
              <w:jc w:val="center"/>
              <w:rPr>
                <w:sz w:val="22"/>
                <w:szCs w:val="22"/>
              </w:rPr>
            </w:pPr>
            <w:r>
              <w:rPr>
                <w:sz w:val="22"/>
                <w:szCs w:val="22"/>
              </w:rPr>
              <w:t>(0.9)</w:t>
            </w:r>
          </w:p>
        </w:tc>
        <w:tc>
          <w:tcPr>
            <w:tcW w:w="1135" w:type="dxa"/>
            <w:tcBorders>
              <w:top w:val="nil"/>
              <w:left w:val="nil"/>
              <w:bottom w:val="nil"/>
              <w:right w:val="nil"/>
            </w:tcBorders>
          </w:tcPr>
          <w:p w:rsidR="005274B5" w:rsidRPr="00C91A47" w:rsidRDefault="005274B5" w:rsidP="005274B5">
            <w:pPr>
              <w:jc w:val="center"/>
              <w:rPr>
                <w:sz w:val="22"/>
                <w:szCs w:val="22"/>
              </w:rPr>
            </w:pPr>
            <w:r>
              <w:rPr>
                <w:sz w:val="22"/>
                <w:szCs w:val="22"/>
              </w:rPr>
              <w:t>14.4</w:t>
            </w:r>
          </w:p>
        </w:tc>
        <w:tc>
          <w:tcPr>
            <w:tcW w:w="1135" w:type="dxa"/>
            <w:tcBorders>
              <w:top w:val="nil"/>
              <w:left w:val="nil"/>
              <w:bottom w:val="nil"/>
              <w:right w:val="nil"/>
            </w:tcBorders>
          </w:tcPr>
          <w:p w:rsidR="005274B5" w:rsidRPr="00C91A47" w:rsidRDefault="005274B5" w:rsidP="005274B5">
            <w:pPr>
              <w:jc w:val="center"/>
              <w:rPr>
                <w:sz w:val="22"/>
                <w:szCs w:val="22"/>
              </w:rPr>
            </w:pPr>
            <w:r w:rsidRPr="006C28D2">
              <w:rPr>
                <w:sz w:val="22"/>
                <w:szCs w:val="22"/>
              </w:rPr>
              <w:t>(4.8)</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11.0</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(3.3)</w:t>
            </w:r>
          </w:p>
        </w:tc>
      </w:tr>
    </w:tbl>
    <w:p w:rsidR="00D90216" w:rsidRPr="009B6E08" w:rsidRDefault="00D90216" w:rsidP="0064777E">
      <w:pPr>
        <w:rPr>
          <w:sz w:val="22"/>
          <w:szCs w:val="22"/>
          <w:highlight w:val="yellow"/>
        </w:rPr>
      </w:pPr>
    </w:p>
    <w:p w:rsidR="001C03D5" w:rsidRPr="009B6E08" w:rsidRDefault="001C03D5" w:rsidP="0064777E">
      <w:pPr>
        <w:rPr>
          <w:sz w:val="22"/>
          <w:szCs w:val="22"/>
          <w:highlight w:val="yellow"/>
        </w:rPr>
      </w:pPr>
    </w:p>
    <w:tbl>
      <w:tblPr>
        <w:tblW w:w="9498" w:type="dxa"/>
        <w:tblInd w:w="534"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827"/>
        <w:gridCol w:w="1133"/>
        <w:gridCol w:w="1135"/>
        <w:gridCol w:w="1135"/>
        <w:gridCol w:w="1134"/>
        <w:gridCol w:w="1134"/>
      </w:tblGrid>
      <w:tr w:rsidR="005274B5" w:rsidRPr="009B6E08" w:rsidTr="00CD62E6">
        <w:tc>
          <w:tcPr>
            <w:tcW w:w="3827" w:type="dxa"/>
            <w:tcBorders>
              <w:top w:val="nil"/>
              <w:left w:val="nil"/>
              <w:bottom w:val="nil"/>
              <w:right w:val="nil"/>
            </w:tcBorders>
          </w:tcPr>
          <w:p w:rsidR="005274B5" w:rsidRPr="00350247" w:rsidRDefault="005274B5" w:rsidP="004C3869">
            <w:pPr>
              <w:ind w:left="175"/>
              <w:jc w:val="both"/>
              <w:rPr>
                <w:b/>
                <w:sz w:val="22"/>
                <w:szCs w:val="22"/>
              </w:rPr>
            </w:pPr>
            <w:r w:rsidRPr="00350247">
              <w:rPr>
                <w:b/>
                <w:sz w:val="22"/>
                <w:szCs w:val="22"/>
              </w:rPr>
              <w:t>Total of LGPS and Fire Pension Schemes:</w:t>
            </w:r>
          </w:p>
        </w:tc>
        <w:tc>
          <w:tcPr>
            <w:tcW w:w="1133"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w:t>
            </w:r>
            <w:r>
              <w:rPr>
                <w:sz w:val="22"/>
                <w:szCs w:val="22"/>
              </w:rPr>
              <w:t>7</w:t>
            </w:r>
            <w:r w:rsidRPr="00350247">
              <w:rPr>
                <w:sz w:val="22"/>
                <w:szCs w:val="22"/>
              </w:rPr>
              <w:t>/1</w:t>
            </w:r>
            <w:r>
              <w:rPr>
                <w:sz w:val="22"/>
                <w:szCs w:val="22"/>
              </w:rPr>
              <w:t>8</w:t>
            </w:r>
          </w:p>
        </w:tc>
        <w:tc>
          <w:tcPr>
            <w:tcW w:w="1135"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w:t>
            </w:r>
            <w:r>
              <w:rPr>
                <w:sz w:val="22"/>
                <w:szCs w:val="22"/>
              </w:rPr>
              <w:t>6</w:t>
            </w:r>
            <w:r w:rsidRPr="00350247">
              <w:rPr>
                <w:sz w:val="22"/>
                <w:szCs w:val="22"/>
              </w:rPr>
              <w:t>/1</w:t>
            </w:r>
            <w:r>
              <w:rPr>
                <w:sz w:val="22"/>
                <w:szCs w:val="22"/>
              </w:rPr>
              <w:t>7</w:t>
            </w:r>
          </w:p>
        </w:tc>
        <w:tc>
          <w:tcPr>
            <w:tcW w:w="1135"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2015/16</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2014/15</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2013/14</w:t>
            </w:r>
          </w:p>
        </w:tc>
      </w:tr>
      <w:tr w:rsidR="00350247" w:rsidRPr="009B6E08" w:rsidTr="00CD62E6">
        <w:tc>
          <w:tcPr>
            <w:tcW w:w="3827" w:type="dxa"/>
            <w:tcBorders>
              <w:top w:val="nil"/>
              <w:left w:val="nil"/>
              <w:bottom w:val="nil"/>
              <w:right w:val="nil"/>
            </w:tcBorders>
          </w:tcPr>
          <w:p w:rsidR="00350247" w:rsidRPr="00350247" w:rsidRDefault="00350247" w:rsidP="004C3869">
            <w:pPr>
              <w:ind w:left="175"/>
              <w:jc w:val="both"/>
              <w:rPr>
                <w:sz w:val="22"/>
                <w:szCs w:val="22"/>
              </w:rPr>
            </w:pPr>
          </w:p>
        </w:tc>
        <w:tc>
          <w:tcPr>
            <w:tcW w:w="1133" w:type="dxa"/>
            <w:tcBorders>
              <w:top w:val="nil"/>
              <w:left w:val="nil"/>
              <w:bottom w:val="nil"/>
              <w:right w:val="nil"/>
            </w:tcBorders>
          </w:tcPr>
          <w:p w:rsidR="00350247" w:rsidRPr="00350247" w:rsidRDefault="00350247" w:rsidP="008D531E">
            <w:pPr>
              <w:jc w:val="center"/>
              <w:rPr>
                <w:sz w:val="22"/>
                <w:szCs w:val="22"/>
              </w:rPr>
            </w:pPr>
            <w:r w:rsidRPr="00350247">
              <w:rPr>
                <w:sz w:val="22"/>
                <w:szCs w:val="22"/>
              </w:rPr>
              <w:t>%</w:t>
            </w:r>
          </w:p>
        </w:tc>
        <w:tc>
          <w:tcPr>
            <w:tcW w:w="1135" w:type="dxa"/>
            <w:tcBorders>
              <w:top w:val="nil"/>
              <w:left w:val="nil"/>
              <w:bottom w:val="nil"/>
              <w:right w:val="nil"/>
            </w:tcBorders>
          </w:tcPr>
          <w:p w:rsidR="00350247" w:rsidRPr="00350247" w:rsidRDefault="00350247" w:rsidP="0024225A">
            <w:pPr>
              <w:jc w:val="center"/>
              <w:rPr>
                <w:sz w:val="22"/>
                <w:szCs w:val="22"/>
              </w:rPr>
            </w:pPr>
            <w:r w:rsidRPr="00350247">
              <w:rPr>
                <w:sz w:val="22"/>
                <w:szCs w:val="22"/>
              </w:rPr>
              <w:t>%</w:t>
            </w:r>
          </w:p>
        </w:tc>
        <w:tc>
          <w:tcPr>
            <w:tcW w:w="1135" w:type="dxa"/>
            <w:tcBorders>
              <w:top w:val="nil"/>
              <w:left w:val="nil"/>
              <w:bottom w:val="nil"/>
              <w:right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left w:val="nil"/>
              <w:bottom w:val="nil"/>
              <w:right w:val="nil"/>
            </w:tcBorders>
          </w:tcPr>
          <w:p w:rsidR="00350247" w:rsidRPr="00350247" w:rsidRDefault="00350247" w:rsidP="0024225A">
            <w:pPr>
              <w:jc w:val="center"/>
              <w:rPr>
                <w:sz w:val="22"/>
                <w:szCs w:val="22"/>
              </w:rPr>
            </w:pPr>
            <w:r w:rsidRPr="00350247">
              <w:rPr>
                <w:sz w:val="22"/>
                <w:szCs w:val="22"/>
              </w:rPr>
              <w:t>%</w:t>
            </w:r>
          </w:p>
        </w:tc>
        <w:tc>
          <w:tcPr>
            <w:tcW w:w="1134" w:type="dxa"/>
            <w:tcBorders>
              <w:top w:val="nil"/>
              <w:left w:val="nil"/>
              <w:bottom w:val="nil"/>
              <w:right w:val="nil"/>
            </w:tcBorders>
          </w:tcPr>
          <w:p w:rsidR="00350247" w:rsidRPr="00350247" w:rsidRDefault="00350247" w:rsidP="0024225A">
            <w:pPr>
              <w:jc w:val="center"/>
              <w:rPr>
                <w:sz w:val="22"/>
                <w:szCs w:val="22"/>
              </w:rPr>
            </w:pPr>
            <w:r w:rsidRPr="00350247">
              <w:rPr>
                <w:sz w:val="22"/>
                <w:szCs w:val="22"/>
              </w:rPr>
              <w:t>%</w:t>
            </w:r>
          </w:p>
        </w:tc>
      </w:tr>
      <w:tr w:rsidR="005274B5" w:rsidRPr="009B6E08" w:rsidTr="00350247">
        <w:trPr>
          <w:trHeight w:val="87"/>
        </w:trPr>
        <w:tc>
          <w:tcPr>
            <w:tcW w:w="3827" w:type="dxa"/>
            <w:tcBorders>
              <w:top w:val="nil"/>
              <w:left w:val="nil"/>
              <w:bottom w:val="nil"/>
              <w:right w:val="nil"/>
            </w:tcBorders>
          </w:tcPr>
          <w:p w:rsidR="005274B5" w:rsidRPr="00350247" w:rsidRDefault="005274B5" w:rsidP="00D96766">
            <w:pPr>
              <w:ind w:left="175"/>
              <w:jc w:val="both"/>
              <w:rPr>
                <w:sz w:val="22"/>
                <w:szCs w:val="22"/>
              </w:rPr>
            </w:pPr>
            <w:r w:rsidRPr="00350247">
              <w:rPr>
                <w:sz w:val="22"/>
                <w:szCs w:val="22"/>
              </w:rPr>
              <w:t>Experience Gains and losses on assets</w:t>
            </w:r>
          </w:p>
        </w:tc>
        <w:tc>
          <w:tcPr>
            <w:tcW w:w="1133" w:type="dxa"/>
            <w:tcBorders>
              <w:top w:val="nil"/>
              <w:left w:val="nil"/>
              <w:bottom w:val="nil"/>
              <w:right w:val="nil"/>
            </w:tcBorders>
          </w:tcPr>
          <w:p w:rsidR="005274B5" w:rsidRPr="006F1A92" w:rsidRDefault="0026378B" w:rsidP="00AC45A8">
            <w:pPr>
              <w:jc w:val="center"/>
              <w:rPr>
                <w:sz w:val="22"/>
                <w:szCs w:val="22"/>
              </w:rPr>
            </w:pPr>
            <w:r>
              <w:rPr>
                <w:sz w:val="22"/>
                <w:szCs w:val="22"/>
              </w:rPr>
              <w:t>1.</w:t>
            </w:r>
            <w:r w:rsidR="00AC45A8">
              <w:rPr>
                <w:sz w:val="22"/>
                <w:szCs w:val="22"/>
              </w:rPr>
              <w:t>0</w:t>
            </w:r>
          </w:p>
        </w:tc>
        <w:tc>
          <w:tcPr>
            <w:tcW w:w="1135" w:type="dxa"/>
            <w:tcBorders>
              <w:top w:val="nil"/>
              <w:left w:val="nil"/>
              <w:bottom w:val="nil"/>
              <w:right w:val="nil"/>
            </w:tcBorders>
          </w:tcPr>
          <w:p w:rsidR="005274B5" w:rsidRPr="006F1A92" w:rsidRDefault="005274B5" w:rsidP="00AC45A8">
            <w:pPr>
              <w:jc w:val="center"/>
              <w:rPr>
                <w:sz w:val="22"/>
                <w:szCs w:val="22"/>
              </w:rPr>
            </w:pPr>
            <w:r>
              <w:rPr>
                <w:sz w:val="22"/>
                <w:szCs w:val="22"/>
              </w:rPr>
              <w:t>12.</w:t>
            </w:r>
            <w:r w:rsidR="00AC45A8">
              <w:rPr>
                <w:sz w:val="22"/>
                <w:szCs w:val="22"/>
              </w:rPr>
              <w:t>3</w:t>
            </w:r>
          </w:p>
        </w:tc>
        <w:tc>
          <w:tcPr>
            <w:tcW w:w="1135" w:type="dxa"/>
            <w:tcBorders>
              <w:top w:val="nil"/>
              <w:left w:val="nil"/>
              <w:bottom w:val="nil"/>
              <w:right w:val="nil"/>
            </w:tcBorders>
          </w:tcPr>
          <w:p w:rsidR="005274B5" w:rsidRPr="006F1A92" w:rsidRDefault="005274B5" w:rsidP="005274B5">
            <w:pPr>
              <w:jc w:val="center"/>
              <w:rPr>
                <w:sz w:val="22"/>
                <w:szCs w:val="22"/>
              </w:rPr>
            </w:pPr>
            <w:r w:rsidRPr="006F1A92">
              <w:rPr>
                <w:sz w:val="22"/>
                <w:szCs w:val="22"/>
              </w:rPr>
              <w:t>1.3</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6.9</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(2.0)</w:t>
            </w:r>
          </w:p>
        </w:tc>
      </w:tr>
      <w:tr w:rsidR="005274B5" w:rsidRPr="0064777E" w:rsidTr="00CD62E6">
        <w:tc>
          <w:tcPr>
            <w:tcW w:w="3827" w:type="dxa"/>
            <w:tcBorders>
              <w:top w:val="nil"/>
              <w:left w:val="nil"/>
              <w:bottom w:val="nil"/>
              <w:right w:val="nil"/>
            </w:tcBorders>
          </w:tcPr>
          <w:p w:rsidR="005274B5" w:rsidRPr="00350247" w:rsidRDefault="005274B5" w:rsidP="00D96766">
            <w:pPr>
              <w:ind w:left="175"/>
              <w:jc w:val="both"/>
              <w:rPr>
                <w:sz w:val="22"/>
                <w:szCs w:val="22"/>
              </w:rPr>
            </w:pPr>
            <w:r w:rsidRPr="00350247">
              <w:rPr>
                <w:sz w:val="22"/>
                <w:szCs w:val="22"/>
              </w:rPr>
              <w:t>Gains and losses on liabilities</w:t>
            </w:r>
          </w:p>
        </w:tc>
        <w:tc>
          <w:tcPr>
            <w:tcW w:w="1133" w:type="dxa"/>
            <w:tcBorders>
              <w:top w:val="nil"/>
              <w:left w:val="nil"/>
              <w:bottom w:val="nil"/>
              <w:right w:val="nil"/>
            </w:tcBorders>
          </w:tcPr>
          <w:p w:rsidR="005274B5" w:rsidRPr="00C91A47" w:rsidRDefault="0026378B" w:rsidP="00AC45A8">
            <w:pPr>
              <w:jc w:val="center"/>
              <w:rPr>
                <w:sz w:val="22"/>
                <w:szCs w:val="22"/>
              </w:rPr>
            </w:pPr>
            <w:r>
              <w:rPr>
                <w:sz w:val="22"/>
                <w:szCs w:val="22"/>
              </w:rPr>
              <w:t>(0.</w:t>
            </w:r>
            <w:r w:rsidR="00AC45A8">
              <w:rPr>
                <w:sz w:val="22"/>
                <w:szCs w:val="22"/>
              </w:rPr>
              <w:t>5</w:t>
            </w:r>
            <w:r>
              <w:rPr>
                <w:sz w:val="22"/>
                <w:szCs w:val="22"/>
              </w:rPr>
              <w:t>)</w:t>
            </w:r>
          </w:p>
        </w:tc>
        <w:tc>
          <w:tcPr>
            <w:tcW w:w="1135" w:type="dxa"/>
            <w:tcBorders>
              <w:top w:val="nil"/>
              <w:left w:val="nil"/>
              <w:bottom w:val="nil"/>
              <w:right w:val="nil"/>
            </w:tcBorders>
          </w:tcPr>
          <w:p w:rsidR="005274B5" w:rsidRPr="00C91A47" w:rsidRDefault="005274B5" w:rsidP="00AC45A8">
            <w:pPr>
              <w:jc w:val="center"/>
              <w:rPr>
                <w:sz w:val="22"/>
                <w:szCs w:val="22"/>
              </w:rPr>
            </w:pPr>
            <w:r>
              <w:rPr>
                <w:sz w:val="22"/>
                <w:szCs w:val="22"/>
              </w:rPr>
              <w:t>14.</w:t>
            </w:r>
            <w:r w:rsidR="00AC45A8">
              <w:rPr>
                <w:sz w:val="22"/>
                <w:szCs w:val="22"/>
              </w:rPr>
              <w:t>6</w:t>
            </w:r>
          </w:p>
        </w:tc>
        <w:tc>
          <w:tcPr>
            <w:tcW w:w="1135" w:type="dxa"/>
            <w:tcBorders>
              <w:top w:val="nil"/>
              <w:left w:val="nil"/>
              <w:bottom w:val="nil"/>
              <w:right w:val="nil"/>
            </w:tcBorders>
          </w:tcPr>
          <w:p w:rsidR="005274B5" w:rsidRPr="00C91A47" w:rsidRDefault="005274B5" w:rsidP="005274B5">
            <w:pPr>
              <w:jc w:val="center"/>
              <w:rPr>
                <w:sz w:val="22"/>
                <w:szCs w:val="22"/>
              </w:rPr>
            </w:pPr>
            <w:r w:rsidRPr="006C28D2">
              <w:rPr>
                <w:sz w:val="22"/>
                <w:szCs w:val="22"/>
              </w:rPr>
              <w:t>(4.9)</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11.2</w:t>
            </w:r>
          </w:p>
        </w:tc>
        <w:tc>
          <w:tcPr>
            <w:tcW w:w="1134" w:type="dxa"/>
            <w:tcBorders>
              <w:top w:val="nil"/>
              <w:left w:val="nil"/>
              <w:bottom w:val="nil"/>
              <w:right w:val="nil"/>
            </w:tcBorders>
          </w:tcPr>
          <w:p w:rsidR="005274B5" w:rsidRPr="00350247" w:rsidRDefault="005274B5" w:rsidP="005274B5">
            <w:pPr>
              <w:jc w:val="center"/>
              <w:rPr>
                <w:sz w:val="22"/>
                <w:szCs w:val="22"/>
              </w:rPr>
            </w:pPr>
            <w:r w:rsidRPr="00350247">
              <w:rPr>
                <w:sz w:val="22"/>
                <w:szCs w:val="22"/>
              </w:rPr>
              <w:t>(4.2)</w:t>
            </w:r>
          </w:p>
        </w:tc>
      </w:tr>
    </w:tbl>
    <w:p w:rsidR="00D90216" w:rsidRDefault="00D90216" w:rsidP="00D90216">
      <w:pPr>
        <w:ind w:left="709" w:hanging="709"/>
        <w:rPr>
          <w:b/>
          <w:sz w:val="22"/>
          <w:highlight w:val="cyan"/>
        </w:rPr>
      </w:pPr>
    </w:p>
    <w:p w:rsidR="00D90216" w:rsidRPr="00190D40" w:rsidRDefault="00674936" w:rsidP="00674936">
      <w:pPr>
        <w:ind w:left="709"/>
        <w:rPr>
          <w:b/>
          <w:sz w:val="22"/>
        </w:rPr>
      </w:pPr>
      <w:r w:rsidRPr="00674936">
        <w:rPr>
          <w:sz w:val="22"/>
        </w:rPr>
        <w:t xml:space="preserve">The 2016/17 note has been restated to include the balances of the North West </w:t>
      </w:r>
      <w:proofErr w:type="spellStart"/>
      <w:r w:rsidRPr="00674936">
        <w:rPr>
          <w:sz w:val="22"/>
        </w:rPr>
        <w:t>FireControl</w:t>
      </w:r>
      <w:proofErr w:type="spellEnd"/>
      <w:r w:rsidRPr="00674936">
        <w:rPr>
          <w:sz w:val="22"/>
        </w:rPr>
        <w:t xml:space="preserve"> LGPS.</w:t>
      </w:r>
      <w:r w:rsidR="00C672AD" w:rsidRPr="00190D40">
        <w:rPr>
          <w:b/>
          <w:sz w:val="22"/>
        </w:rPr>
        <w:br w:type="page"/>
      </w:r>
      <w:r w:rsidR="00FE0A63" w:rsidRPr="00190D40">
        <w:rPr>
          <w:b/>
          <w:sz w:val="22"/>
        </w:rPr>
        <w:lastRenderedPageBreak/>
        <w:t>1</w:t>
      </w:r>
      <w:r w:rsidR="005274B5" w:rsidRPr="00190D40">
        <w:rPr>
          <w:b/>
          <w:sz w:val="22"/>
        </w:rPr>
        <w:t>6</w:t>
      </w:r>
      <w:r w:rsidR="00D96A83" w:rsidRPr="00190D40">
        <w:rPr>
          <w:b/>
          <w:sz w:val="22"/>
        </w:rPr>
        <w:tab/>
      </w:r>
      <w:r w:rsidR="00D90216" w:rsidRPr="00190D40">
        <w:rPr>
          <w:b/>
          <w:sz w:val="22"/>
        </w:rPr>
        <w:t>Usable Reserves</w:t>
      </w:r>
    </w:p>
    <w:p w:rsidR="00D90216" w:rsidRPr="00971029" w:rsidRDefault="00D90216" w:rsidP="00D90216">
      <w:pPr>
        <w:ind w:left="360"/>
        <w:rPr>
          <w:sz w:val="22"/>
        </w:rPr>
      </w:pPr>
    </w:p>
    <w:p w:rsidR="00A45B68" w:rsidRDefault="00D90216" w:rsidP="00D96A83">
      <w:pPr>
        <w:ind w:left="709"/>
        <w:jc w:val="both"/>
        <w:rPr>
          <w:sz w:val="22"/>
          <w:szCs w:val="22"/>
        </w:rPr>
      </w:pPr>
      <w:r w:rsidRPr="000C58A7">
        <w:rPr>
          <w:sz w:val="22"/>
          <w:szCs w:val="22"/>
        </w:rPr>
        <w:t>Movements in the Authority’s usable reserves are detailed in the Movement in Reserves Statement</w:t>
      </w:r>
      <w:r w:rsidR="00E2639F">
        <w:rPr>
          <w:sz w:val="22"/>
          <w:szCs w:val="22"/>
        </w:rPr>
        <w:t>s</w:t>
      </w:r>
      <w:r w:rsidRPr="000C58A7">
        <w:rPr>
          <w:sz w:val="22"/>
          <w:szCs w:val="22"/>
        </w:rPr>
        <w:t xml:space="preserve">, </w:t>
      </w:r>
      <w:r w:rsidR="004545C4" w:rsidRPr="00F1593F">
        <w:rPr>
          <w:sz w:val="22"/>
          <w:szCs w:val="22"/>
        </w:rPr>
        <w:t xml:space="preserve">on </w:t>
      </w:r>
      <w:r w:rsidR="004545C4" w:rsidRPr="00C41A00">
        <w:rPr>
          <w:sz w:val="22"/>
          <w:szCs w:val="22"/>
        </w:rPr>
        <w:t>page</w:t>
      </w:r>
      <w:r w:rsidR="00D96A83" w:rsidRPr="00C41A00">
        <w:rPr>
          <w:sz w:val="22"/>
          <w:szCs w:val="22"/>
        </w:rPr>
        <w:t>s</w:t>
      </w:r>
      <w:r w:rsidR="008B3EDE" w:rsidRPr="00C41A00">
        <w:rPr>
          <w:sz w:val="22"/>
          <w:szCs w:val="22"/>
        </w:rPr>
        <w:t xml:space="preserve"> </w:t>
      </w:r>
      <w:r w:rsidR="00853343">
        <w:rPr>
          <w:sz w:val="22"/>
          <w:szCs w:val="22"/>
        </w:rPr>
        <w:t>20</w:t>
      </w:r>
      <w:r w:rsidR="00853343" w:rsidRPr="00C41A00">
        <w:rPr>
          <w:sz w:val="22"/>
          <w:szCs w:val="22"/>
        </w:rPr>
        <w:t xml:space="preserve"> </w:t>
      </w:r>
      <w:r w:rsidR="00D96A83" w:rsidRPr="00C41A00">
        <w:rPr>
          <w:sz w:val="22"/>
          <w:szCs w:val="22"/>
        </w:rPr>
        <w:t xml:space="preserve">and </w:t>
      </w:r>
      <w:r w:rsidR="00853343" w:rsidRPr="00C41A00">
        <w:rPr>
          <w:sz w:val="22"/>
          <w:szCs w:val="22"/>
        </w:rPr>
        <w:t>2</w:t>
      </w:r>
      <w:r w:rsidR="00853343">
        <w:rPr>
          <w:sz w:val="22"/>
          <w:szCs w:val="22"/>
        </w:rPr>
        <w:t>1</w:t>
      </w:r>
      <w:r w:rsidRPr="00343EF2">
        <w:rPr>
          <w:sz w:val="22"/>
          <w:szCs w:val="22"/>
        </w:rPr>
        <w:t>.</w:t>
      </w:r>
    </w:p>
    <w:tbl>
      <w:tblPr>
        <w:tblW w:w="8223" w:type="dxa"/>
        <w:tblInd w:w="817" w:type="dxa"/>
        <w:tblLayout w:type="fixed"/>
        <w:tblLook w:val="01E0" w:firstRow="1" w:lastRow="1" w:firstColumn="1" w:lastColumn="1" w:noHBand="0" w:noVBand="0"/>
      </w:tblPr>
      <w:tblGrid>
        <w:gridCol w:w="3544"/>
        <w:gridCol w:w="1046"/>
        <w:gridCol w:w="1222"/>
        <w:gridCol w:w="1222"/>
        <w:gridCol w:w="1189"/>
      </w:tblGrid>
      <w:tr w:rsidR="00A96416" w:rsidRPr="009B6E08" w:rsidTr="00582B7C">
        <w:tc>
          <w:tcPr>
            <w:tcW w:w="3544" w:type="dxa"/>
            <w:shd w:val="clear" w:color="auto" w:fill="auto"/>
          </w:tcPr>
          <w:p w:rsidR="00A96416" w:rsidRPr="00D72DD9" w:rsidRDefault="00A96416" w:rsidP="00003462">
            <w:pPr>
              <w:rPr>
                <w:sz w:val="22"/>
                <w:szCs w:val="22"/>
              </w:rPr>
            </w:pPr>
          </w:p>
        </w:tc>
        <w:tc>
          <w:tcPr>
            <w:tcW w:w="2268" w:type="dxa"/>
            <w:gridSpan w:val="2"/>
            <w:shd w:val="clear" w:color="auto" w:fill="auto"/>
          </w:tcPr>
          <w:p w:rsidR="00A96416" w:rsidRPr="001844B0" w:rsidRDefault="00A96416" w:rsidP="005274B5">
            <w:pPr>
              <w:jc w:val="center"/>
              <w:rPr>
                <w:sz w:val="22"/>
                <w:szCs w:val="22"/>
              </w:rPr>
            </w:pPr>
            <w:r w:rsidRPr="001844B0">
              <w:rPr>
                <w:sz w:val="22"/>
                <w:szCs w:val="22"/>
              </w:rPr>
              <w:t>201</w:t>
            </w:r>
            <w:r w:rsidR="005274B5">
              <w:rPr>
                <w:sz w:val="22"/>
                <w:szCs w:val="22"/>
              </w:rPr>
              <w:t>7</w:t>
            </w:r>
            <w:r w:rsidRPr="001844B0">
              <w:rPr>
                <w:sz w:val="22"/>
                <w:szCs w:val="22"/>
              </w:rPr>
              <w:t>/1</w:t>
            </w:r>
            <w:r w:rsidR="005274B5">
              <w:rPr>
                <w:sz w:val="22"/>
                <w:szCs w:val="22"/>
              </w:rPr>
              <w:t>8</w:t>
            </w:r>
          </w:p>
        </w:tc>
        <w:tc>
          <w:tcPr>
            <w:tcW w:w="2411" w:type="dxa"/>
            <w:gridSpan w:val="2"/>
            <w:shd w:val="clear" w:color="auto" w:fill="auto"/>
          </w:tcPr>
          <w:p w:rsidR="00A96416" w:rsidRDefault="005274B5" w:rsidP="00F77632">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p w:rsidR="007061E6" w:rsidRPr="001844B0" w:rsidRDefault="007061E6" w:rsidP="00F77632">
            <w:pPr>
              <w:jc w:val="center"/>
              <w:rPr>
                <w:sz w:val="22"/>
                <w:szCs w:val="22"/>
              </w:rPr>
            </w:pPr>
            <w:r>
              <w:rPr>
                <w:sz w:val="22"/>
                <w:szCs w:val="22"/>
              </w:rPr>
              <w:t>Restated</w:t>
            </w:r>
          </w:p>
        </w:tc>
      </w:tr>
      <w:tr w:rsidR="000B21BE" w:rsidRPr="009B6E08" w:rsidTr="00582B7C">
        <w:tc>
          <w:tcPr>
            <w:tcW w:w="3544" w:type="dxa"/>
            <w:shd w:val="clear" w:color="auto" w:fill="auto"/>
          </w:tcPr>
          <w:p w:rsidR="000B21BE" w:rsidRPr="009B6E08" w:rsidRDefault="000B21BE" w:rsidP="00003462">
            <w:pPr>
              <w:rPr>
                <w:sz w:val="22"/>
                <w:szCs w:val="22"/>
                <w:highlight w:val="yellow"/>
              </w:rPr>
            </w:pPr>
          </w:p>
        </w:tc>
        <w:tc>
          <w:tcPr>
            <w:tcW w:w="1046" w:type="dxa"/>
            <w:shd w:val="clear" w:color="auto" w:fill="auto"/>
          </w:tcPr>
          <w:p w:rsidR="000B21BE" w:rsidRPr="001844B0" w:rsidRDefault="000B21BE" w:rsidP="00D72DD9">
            <w:pPr>
              <w:jc w:val="center"/>
              <w:rPr>
                <w:sz w:val="22"/>
              </w:rPr>
            </w:pPr>
            <w:r w:rsidRPr="001844B0">
              <w:rPr>
                <w:sz w:val="22"/>
              </w:rPr>
              <w:t>£000</w:t>
            </w:r>
          </w:p>
        </w:tc>
        <w:tc>
          <w:tcPr>
            <w:tcW w:w="1222" w:type="dxa"/>
            <w:shd w:val="clear" w:color="auto" w:fill="auto"/>
          </w:tcPr>
          <w:p w:rsidR="000B21BE" w:rsidRPr="001844B0" w:rsidRDefault="000B21BE" w:rsidP="00D72DD9">
            <w:pPr>
              <w:jc w:val="center"/>
              <w:rPr>
                <w:sz w:val="22"/>
              </w:rPr>
            </w:pPr>
            <w:r w:rsidRPr="001844B0">
              <w:rPr>
                <w:sz w:val="22"/>
              </w:rPr>
              <w:t>£000</w:t>
            </w:r>
          </w:p>
        </w:tc>
        <w:tc>
          <w:tcPr>
            <w:tcW w:w="1222" w:type="dxa"/>
            <w:shd w:val="clear" w:color="auto" w:fill="auto"/>
          </w:tcPr>
          <w:p w:rsidR="000B21BE" w:rsidRPr="001844B0" w:rsidRDefault="000B21BE" w:rsidP="00D72DD9">
            <w:pPr>
              <w:jc w:val="center"/>
              <w:rPr>
                <w:sz w:val="22"/>
              </w:rPr>
            </w:pPr>
            <w:r w:rsidRPr="001844B0">
              <w:rPr>
                <w:sz w:val="22"/>
              </w:rPr>
              <w:t>£000</w:t>
            </w:r>
          </w:p>
        </w:tc>
        <w:tc>
          <w:tcPr>
            <w:tcW w:w="1189" w:type="dxa"/>
            <w:shd w:val="clear" w:color="auto" w:fill="auto"/>
          </w:tcPr>
          <w:p w:rsidR="000B21BE" w:rsidRPr="001844B0" w:rsidRDefault="000B21BE" w:rsidP="00D72DD9">
            <w:pPr>
              <w:jc w:val="center"/>
              <w:rPr>
                <w:sz w:val="22"/>
              </w:rPr>
            </w:pPr>
            <w:r w:rsidRPr="001844B0">
              <w:rPr>
                <w:sz w:val="22"/>
              </w:rPr>
              <w:t>£000</w:t>
            </w:r>
          </w:p>
        </w:tc>
      </w:tr>
      <w:tr w:rsidR="000B21BE" w:rsidRPr="009B6E08" w:rsidTr="00582B7C">
        <w:tc>
          <w:tcPr>
            <w:tcW w:w="3544" w:type="dxa"/>
            <w:shd w:val="clear" w:color="auto" w:fill="auto"/>
          </w:tcPr>
          <w:p w:rsidR="000B21BE" w:rsidRPr="001844B0" w:rsidRDefault="000B21BE" w:rsidP="00003462">
            <w:pPr>
              <w:rPr>
                <w:sz w:val="22"/>
                <w:szCs w:val="22"/>
              </w:rPr>
            </w:pPr>
            <w:r w:rsidRPr="001844B0">
              <w:rPr>
                <w:sz w:val="22"/>
                <w:szCs w:val="22"/>
              </w:rPr>
              <w:t>Revenue Reserves:</w:t>
            </w:r>
          </w:p>
        </w:tc>
        <w:tc>
          <w:tcPr>
            <w:tcW w:w="1046" w:type="dxa"/>
            <w:shd w:val="clear" w:color="auto" w:fill="auto"/>
          </w:tcPr>
          <w:p w:rsidR="000B21BE" w:rsidRPr="009B6E08" w:rsidRDefault="000B21BE" w:rsidP="00003462">
            <w:pPr>
              <w:rPr>
                <w:sz w:val="22"/>
                <w:szCs w:val="22"/>
                <w:highlight w:val="yellow"/>
              </w:rPr>
            </w:pPr>
          </w:p>
        </w:tc>
        <w:tc>
          <w:tcPr>
            <w:tcW w:w="1222" w:type="dxa"/>
            <w:shd w:val="clear" w:color="auto" w:fill="auto"/>
          </w:tcPr>
          <w:p w:rsidR="000B21BE" w:rsidRPr="009B6E08" w:rsidRDefault="000B21BE" w:rsidP="00D72DD9">
            <w:pPr>
              <w:tabs>
                <w:tab w:val="decimal" w:pos="1220"/>
              </w:tabs>
              <w:ind w:right="34"/>
              <w:rPr>
                <w:sz w:val="22"/>
                <w:szCs w:val="22"/>
                <w:highlight w:val="yellow"/>
              </w:rPr>
            </w:pPr>
          </w:p>
        </w:tc>
        <w:tc>
          <w:tcPr>
            <w:tcW w:w="1222" w:type="dxa"/>
            <w:shd w:val="clear" w:color="auto" w:fill="auto"/>
          </w:tcPr>
          <w:p w:rsidR="000B21BE" w:rsidRPr="009B6E08" w:rsidRDefault="000B21BE" w:rsidP="00D72DD9">
            <w:pPr>
              <w:tabs>
                <w:tab w:val="decimal" w:pos="1026"/>
              </w:tabs>
              <w:rPr>
                <w:sz w:val="22"/>
                <w:szCs w:val="22"/>
                <w:highlight w:val="yellow"/>
              </w:rPr>
            </w:pPr>
          </w:p>
        </w:tc>
        <w:tc>
          <w:tcPr>
            <w:tcW w:w="1189" w:type="dxa"/>
            <w:shd w:val="clear" w:color="auto" w:fill="auto"/>
          </w:tcPr>
          <w:p w:rsidR="000B21BE" w:rsidRPr="009B6E08" w:rsidRDefault="000B21BE" w:rsidP="00D72DD9">
            <w:pPr>
              <w:tabs>
                <w:tab w:val="decimal" w:pos="1220"/>
              </w:tabs>
              <w:rPr>
                <w:sz w:val="22"/>
                <w:szCs w:val="22"/>
                <w:highlight w:val="yellow"/>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General Fund</w:t>
            </w:r>
          </w:p>
        </w:tc>
        <w:tc>
          <w:tcPr>
            <w:tcW w:w="1046" w:type="dxa"/>
            <w:shd w:val="clear" w:color="auto" w:fill="auto"/>
          </w:tcPr>
          <w:p w:rsidR="005274B5" w:rsidRPr="009B6E08" w:rsidRDefault="005274B5" w:rsidP="00003462">
            <w:pPr>
              <w:rPr>
                <w:sz w:val="22"/>
                <w:szCs w:val="22"/>
                <w:highlight w:val="yellow"/>
              </w:rPr>
            </w:pPr>
          </w:p>
        </w:tc>
        <w:tc>
          <w:tcPr>
            <w:tcW w:w="1222" w:type="dxa"/>
            <w:shd w:val="clear" w:color="auto" w:fill="auto"/>
          </w:tcPr>
          <w:p w:rsidR="005274B5" w:rsidRPr="001844B0" w:rsidRDefault="00A33B49" w:rsidP="003E1908">
            <w:pPr>
              <w:tabs>
                <w:tab w:val="decimal" w:pos="830"/>
              </w:tabs>
              <w:ind w:right="176"/>
              <w:rPr>
                <w:sz w:val="22"/>
                <w:szCs w:val="22"/>
              </w:rPr>
            </w:pPr>
            <w:r>
              <w:rPr>
                <w:sz w:val="22"/>
                <w:szCs w:val="22"/>
              </w:rPr>
              <w:t>(7,</w:t>
            </w:r>
            <w:r w:rsidR="003E1908">
              <w:rPr>
                <w:sz w:val="22"/>
                <w:szCs w:val="22"/>
              </w:rPr>
              <w:t>899</w:t>
            </w:r>
            <w:r>
              <w:rPr>
                <w:sz w:val="22"/>
                <w:szCs w:val="22"/>
              </w:rPr>
              <w:t>)</w:t>
            </w:r>
          </w:p>
        </w:tc>
        <w:tc>
          <w:tcPr>
            <w:tcW w:w="1222" w:type="dxa"/>
            <w:shd w:val="clear" w:color="auto" w:fill="auto"/>
          </w:tcPr>
          <w:p w:rsidR="005274B5" w:rsidRPr="009B6E08" w:rsidRDefault="005274B5" w:rsidP="005274B5">
            <w:pPr>
              <w:rPr>
                <w:sz w:val="22"/>
                <w:szCs w:val="22"/>
                <w:highlight w:val="yellow"/>
              </w:rPr>
            </w:pPr>
          </w:p>
        </w:tc>
        <w:tc>
          <w:tcPr>
            <w:tcW w:w="1189" w:type="dxa"/>
            <w:shd w:val="clear" w:color="auto" w:fill="auto"/>
          </w:tcPr>
          <w:p w:rsidR="005274B5" w:rsidRPr="001844B0" w:rsidRDefault="005274B5" w:rsidP="003E1908">
            <w:pPr>
              <w:tabs>
                <w:tab w:val="decimal" w:pos="830"/>
              </w:tabs>
              <w:ind w:right="176"/>
              <w:rPr>
                <w:sz w:val="22"/>
                <w:szCs w:val="22"/>
              </w:rPr>
            </w:pPr>
            <w:r>
              <w:rPr>
                <w:sz w:val="22"/>
                <w:szCs w:val="22"/>
              </w:rPr>
              <w:t>(10,</w:t>
            </w:r>
            <w:r w:rsidR="003E1908">
              <w:rPr>
                <w:sz w:val="22"/>
                <w:szCs w:val="22"/>
              </w:rPr>
              <w:t>512</w:t>
            </w:r>
            <w:r>
              <w:rPr>
                <w:sz w:val="22"/>
                <w:szCs w:val="22"/>
              </w:rPr>
              <w:t>)</w:t>
            </w:r>
          </w:p>
        </w:tc>
      </w:tr>
      <w:tr w:rsidR="005274B5" w:rsidRPr="009B6E08" w:rsidTr="00582B7C">
        <w:tc>
          <w:tcPr>
            <w:tcW w:w="3544" w:type="dxa"/>
            <w:shd w:val="clear" w:color="auto" w:fill="auto"/>
          </w:tcPr>
          <w:p w:rsidR="005274B5" w:rsidRPr="001844B0" w:rsidRDefault="005274B5" w:rsidP="00003462">
            <w:pPr>
              <w:rPr>
                <w:sz w:val="22"/>
                <w:szCs w:val="22"/>
              </w:rPr>
            </w:pPr>
          </w:p>
        </w:tc>
        <w:tc>
          <w:tcPr>
            <w:tcW w:w="1046" w:type="dxa"/>
            <w:shd w:val="clear" w:color="auto" w:fill="auto"/>
          </w:tcPr>
          <w:p w:rsidR="005274B5" w:rsidRPr="009B6E08" w:rsidRDefault="005274B5" w:rsidP="00D72DD9">
            <w:pPr>
              <w:tabs>
                <w:tab w:val="decimal" w:pos="931"/>
              </w:tabs>
              <w:rPr>
                <w:sz w:val="22"/>
                <w:szCs w:val="22"/>
                <w:highlight w:val="yellow"/>
              </w:rPr>
            </w:pPr>
          </w:p>
        </w:tc>
        <w:tc>
          <w:tcPr>
            <w:tcW w:w="1222" w:type="dxa"/>
            <w:shd w:val="clear" w:color="auto" w:fill="auto"/>
          </w:tcPr>
          <w:p w:rsidR="005274B5" w:rsidRPr="009B6E08" w:rsidRDefault="005274B5" w:rsidP="004F2645">
            <w:pPr>
              <w:tabs>
                <w:tab w:val="decimal" w:pos="689"/>
                <w:tab w:val="decimal" w:pos="1220"/>
              </w:tabs>
              <w:rPr>
                <w:sz w:val="22"/>
                <w:szCs w:val="22"/>
                <w:highlight w:val="yellow"/>
              </w:rPr>
            </w:pPr>
          </w:p>
        </w:tc>
        <w:tc>
          <w:tcPr>
            <w:tcW w:w="1222" w:type="dxa"/>
            <w:shd w:val="clear" w:color="auto" w:fill="auto"/>
          </w:tcPr>
          <w:p w:rsidR="005274B5" w:rsidRPr="009B6E08" w:rsidRDefault="005274B5" w:rsidP="005274B5">
            <w:pPr>
              <w:tabs>
                <w:tab w:val="decimal" w:pos="931"/>
              </w:tabs>
              <w:rPr>
                <w:sz w:val="22"/>
                <w:szCs w:val="22"/>
                <w:highlight w:val="yellow"/>
              </w:rPr>
            </w:pPr>
          </w:p>
        </w:tc>
        <w:tc>
          <w:tcPr>
            <w:tcW w:w="1189" w:type="dxa"/>
            <w:shd w:val="clear" w:color="auto" w:fill="auto"/>
          </w:tcPr>
          <w:p w:rsidR="005274B5" w:rsidRPr="009B6E08" w:rsidRDefault="005274B5" w:rsidP="005274B5">
            <w:pPr>
              <w:tabs>
                <w:tab w:val="decimal" w:pos="689"/>
                <w:tab w:val="decimal" w:pos="1220"/>
              </w:tabs>
              <w:rPr>
                <w:sz w:val="22"/>
                <w:szCs w:val="22"/>
                <w:highlight w:val="yellow"/>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Earmarked Reserves</w:t>
            </w:r>
          </w:p>
        </w:tc>
        <w:tc>
          <w:tcPr>
            <w:tcW w:w="1046" w:type="dxa"/>
            <w:shd w:val="clear" w:color="auto" w:fill="auto"/>
          </w:tcPr>
          <w:p w:rsidR="005274B5" w:rsidRPr="001844B0" w:rsidRDefault="00A33B49" w:rsidP="00B80B30">
            <w:pPr>
              <w:tabs>
                <w:tab w:val="decimal" w:pos="742"/>
              </w:tabs>
              <w:rPr>
                <w:sz w:val="22"/>
                <w:szCs w:val="22"/>
              </w:rPr>
            </w:pPr>
            <w:r>
              <w:rPr>
                <w:sz w:val="22"/>
                <w:szCs w:val="22"/>
              </w:rPr>
              <w:t>(3,</w:t>
            </w:r>
            <w:r w:rsidR="00B80B30">
              <w:rPr>
                <w:sz w:val="22"/>
                <w:szCs w:val="22"/>
              </w:rPr>
              <w:t>556</w:t>
            </w:r>
            <w:r>
              <w:rPr>
                <w:sz w:val="22"/>
                <w:szCs w:val="22"/>
              </w:rPr>
              <w:t>)</w:t>
            </w:r>
          </w:p>
        </w:tc>
        <w:tc>
          <w:tcPr>
            <w:tcW w:w="1222" w:type="dxa"/>
            <w:shd w:val="clear" w:color="auto" w:fill="auto"/>
          </w:tcPr>
          <w:p w:rsidR="005274B5" w:rsidRPr="001844B0" w:rsidRDefault="005274B5" w:rsidP="004F2645">
            <w:pPr>
              <w:tabs>
                <w:tab w:val="decimal" w:pos="689"/>
                <w:tab w:val="decimal" w:pos="1220"/>
              </w:tabs>
              <w:rPr>
                <w:sz w:val="22"/>
                <w:szCs w:val="22"/>
              </w:rPr>
            </w:pPr>
          </w:p>
        </w:tc>
        <w:tc>
          <w:tcPr>
            <w:tcW w:w="1222" w:type="dxa"/>
            <w:shd w:val="clear" w:color="auto" w:fill="auto"/>
          </w:tcPr>
          <w:p w:rsidR="005274B5" w:rsidRPr="001844B0" w:rsidRDefault="005274B5" w:rsidP="00B80B30">
            <w:pPr>
              <w:tabs>
                <w:tab w:val="decimal" w:pos="742"/>
              </w:tabs>
              <w:rPr>
                <w:sz w:val="22"/>
                <w:szCs w:val="22"/>
              </w:rPr>
            </w:pPr>
            <w:r>
              <w:rPr>
                <w:sz w:val="22"/>
                <w:szCs w:val="22"/>
              </w:rPr>
              <w:t>(3,</w:t>
            </w:r>
            <w:r w:rsidR="00B80B30">
              <w:rPr>
                <w:sz w:val="22"/>
                <w:szCs w:val="22"/>
              </w:rPr>
              <w:t>919</w:t>
            </w:r>
            <w:r>
              <w:rPr>
                <w:sz w:val="22"/>
                <w:szCs w:val="22"/>
              </w:rPr>
              <w:t>)</w:t>
            </w:r>
          </w:p>
        </w:tc>
        <w:tc>
          <w:tcPr>
            <w:tcW w:w="1189" w:type="dxa"/>
            <w:shd w:val="clear" w:color="auto" w:fill="auto"/>
          </w:tcPr>
          <w:p w:rsidR="005274B5" w:rsidRPr="001844B0" w:rsidRDefault="005274B5" w:rsidP="005274B5">
            <w:pPr>
              <w:tabs>
                <w:tab w:val="decimal" w:pos="689"/>
                <w:tab w:val="decimal" w:pos="1220"/>
              </w:tabs>
              <w:rPr>
                <w:sz w:val="22"/>
                <w:szCs w:val="22"/>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PFI Equalisation</w:t>
            </w:r>
            <w:r w:rsidR="00B80B30">
              <w:rPr>
                <w:sz w:val="22"/>
                <w:szCs w:val="22"/>
              </w:rPr>
              <w:t xml:space="preserve"> Reserve</w:t>
            </w:r>
          </w:p>
        </w:tc>
        <w:tc>
          <w:tcPr>
            <w:tcW w:w="1046" w:type="dxa"/>
            <w:tcBorders>
              <w:bottom w:val="single" w:sz="4" w:space="0" w:color="auto"/>
            </w:tcBorders>
            <w:shd w:val="clear" w:color="auto" w:fill="auto"/>
          </w:tcPr>
          <w:p w:rsidR="005274B5" w:rsidRPr="001844B0" w:rsidRDefault="00A33B49" w:rsidP="00582B7C">
            <w:pPr>
              <w:tabs>
                <w:tab w:val="decimal" w:pos="742"/>
              </w:tabs>
              <w:rPr>
                <w:sz w:val="22"/>
                <w:szCs w:val="22"/>
              </w:rPr>
            </w:pPr>
            <w:r>
              <w:rPr>
                <w:sz w:val="22"/>
                <w:szCs w:val="22"/>
              </w:rPr>
              <w:t>(</w:t>
            </w:r>
            <w:r w:rsidR="00331C86">
              <w:rPr>
                <w:sz w:val="22"/>
                <w:szCs w:val="22"/>
              </w:rPr>
              <w:t>4,327)</w:t>
            </w:r>
          </w:p>
        </w:tc>
        <w:tc>
          <w:tcPr>
            <w:tcW w:w="1222" w:type="dxa"/>
            <w:shd w:val="clear" w:color="auto" w:fill="auto"/>
          </w:tcPr>
          <w:p w:rsidR="005274B5" w:rsidRPr="001844B0" w:rsidRDefault="005274B5" w:rsidP="004F2645">
            <w:pPr>
              <w:tabs>
                <w:tab w:val="decimal" w:pos="689"/>
                <w:tab w:val="decimal" w:pos="1220"/>
              </w:tabs>
              <w:rPr>
                <w:sz w:val="22"/>
                <w:szCs w:val="22"/>
              </w:rPr>
            </w:pPr>
          </w:p>
        </w:tc>
        <w:tc>
          <w:tcPr>
            <w:tcW w:w="1222" w:type="dxa"/>
            <w:tcBorders>
              <w:bottom w:val="single" w:sz="4" w:space="0" w:color="auto"/>
            </w:tcBorders>
            <w:shd w:val="clear" w:color="auto" w:fill="auto"/>
          </w:tcPr>
          <w:p w:rsidR="005274B5" w:rsidRPr="001844B0" w:rsidRDefault="005274B5" w:rsidP="005274B5">
            <w:pPr>
              <w:tabs>
                <w:tab w:val="decimal" w:pos="742"/>
              </w:tabs>
              <w:rPr>
                <w:sz w:val="22"/>
                <w:szCs w:val="22"/>
              </w:rPr>
            </w:pPr>
            <w:r>
              <w:rPr>
                <w:sz w:val="22"/>
                <w:szCs w:val="22"/>
              </w:rPr>
              <w:t>(3,537)</w:t>
            </w:r>
          </w:p>
        </w:tc>
        <w:tc>
          <w:tcPr>
            <w:tcW w:w="1189" w:type="dxa"/>
            <w:shd w:val="clear" w:color="auto" w:fill="auto"/>
          </w:tcPr>
          <w:p w:rsidR="005274B5" w:rsidRPr="001844B0" w:rsidRDefault="005274B5" w:rsidP="005274B5">
            <w:pPr>
              <w:tabs>
                <w:tab w:val="decimal" w:pos="689"/>
                <w:tab w:val="decimal" w:pos="1220"/>
              </w:tabs>
              <w:rPr>
                <w:sz w:val="22"/>
                <w:szCs w:val="22"/>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Total Earmarked Reserves</w:t>
            </w:r>
          </w:p>
        </w:tc>
        <w:tc>
          <w:tcPr>
            <w:tcW w:w="1046" w:type="dxa"/>
            <w:tcBorders>
              <w:top w:val="single" w:sz="4" w:space="0" w:color="auto"/>
            </w:tcBorders>
            <w:shd w:val="clear" w:color="auto" w:fill="auto"/>
          </w:tcPr>
          <w:p w:rsidR="005274B5" w:rsidRPr="001844B0" w:rsidRDefault="005274B5" w:rsidP="00D72DD9">
            <w:pPr>
              <w:tabs>
                <w:tab w:val="decimal" w:pos="1220"/>
              </w:tabs>
              <w:rPr>
                <w:sz w:val="22"/>
                <w:szCs w:val="22"/>
              </w:rPr>
            </w:pPr>
          </w:p>
        </w:tc>
        <w:tc>
          <w:tcPr>
            <w:tcW w:w="1222" w:type="dxa"/>
            <w:shd w:val="clear" w:color="auto" w:fill="auto"/>
          </w:tcPr>
          <w:p w:rsidR="005274B5" w:rsidRPr="001844B0" w:rsidRDefault="00331C86" w:rsidP="00727BB2">
            <w:pPr>
              <w:tabs>
                <w:tab w:val="decimal" w:pos="830"/>
              </w:tabs>
              <w:ind w:right="176"/>
              <w:rPr>
                <w:sz w:val="22"/>
                <w:szCs w:val="22"/>
              </w:rPr>
            </w:pPr>
            <w:r>
              <w:rPr>
                <w:sz w:val="22"/>
                <w:szCs w:val="22"/>
              </w:rPr>
              <w:t>(7,88</w:t>
            </w:r>
            <w:r w:rsidR="00727BB2">
              <w:rPr>
                <w:sz w:val="22"/>
                <w:szCs w:val="22"/>
              </w:rPr>
              <w:t>3</w:t>
            </w:r>
            <w:r>
              <w:rPr>
                <w:sz w:val="22"/>
                <w:szCs w:val="22"/>
              </w:rPr>
              <w:t>)</w:t>
            </w:r>
          </w:p>
        </w:tc>
        <w:tc>
          <w:tcPr>
            <w:tcW w:w="1222" w:type="dxa"/>
            <w:tcBorders>
              <w:top w:val="single" w:sz="4" w:space="0" w:color="auto"/>
            </w:tcBorders>
            <w:shd w:val="clear" w:color="auto" w:fill="auto"/>
          </w:tcPr>
          <w:p w:rsidR="005274B5" w:rsidRPr="001844B0" w:rsidRDefault="005274B5" w:rsidP="005274B5">
            <w:pPr>
              <w:tabs>
                <w:tab w:val="decimal" w:pos="1220"/>
              </w:tabs>
              <w:rPr>
                <w:sz w:val="22"/>
                <w:szCs w:val="22"/>
              </w:rPr>
            </w:pPr>
          </w:p>
        </w:tc>
        <w:tc>
          <w:tcPr>
            <w:tcW w:w="1189" w:type="dxa"/>
            <w:shd w:val="clear" w:color="auto" w:fill="auto"/>
          </w:tcPr>
          <w:p w:rsidR="005274B5" w:rsidRPr="001844B0" w:rsidRDefault="005274B5" w:rsidP="005274B5">
            <w:pPr>
              <w:tabs>
                <w:tab w:val="decimal" w:pos="830"/>
              </w:tabs>
              <w:ind w:right="176"/>
              <w:rPr>
                <w:sz w:val="22"/>
                <w:szCs w:val="22"/>
              </w:rPr>
            </w:pPr>
            <w:r w:rsidRPr="00901ED7">
              <w:rPr>
                <w:sz w:val="22"/>
                <w:szCs w:val="22"/>
              </w:rPr>
              <w:t>(7,</w:t>
            </w:r>
            <w:r>
              <w:rPr>
                <w:sz w:val="22"/>
                <w:szCs w:val="22"/>
              </w:rPr>
              <w:t>456)</w:t>
            </w:r>
          </w:p>
        </w:tc>
      </w:tr>
      <w:tr w:rsidR="005274B5" w:rsidRPr="009B6E08" w:rsidTr="00582B7C">
        <w:tc>
          <w:tcPr>
            <w:tcW w:w="3544" w:type="dxa"/>
            <w:shd w:val="clear" w:color="auto" w:fill="auto"/>
          </w:tcPr>
          <w:p w:rsidR="005274B5" w:rsidRPr="001844B0" w:rsidRDefault="005274B5" w:rsidP="00003462">
            <w:pPr>
              <w:rPr>
                <w:sz w:val="22"/>
                <w:szCs w:val="22"/>
              </w:rPr>
            </w:pPr>
          </w:p>
        </w:tc>
        <w:tc>
          <w:tcPr>
            <w:tcW w:w="1046" w:type="dxa"/>
            <w:shd w:val="clear" w:color="auto" w:fill="auto"/>
          </w:tcPr>
          <w:p w:rsidR="005274B5" w:rsidRPr="001844B0" w:rsidRDefault="005274B5" w:rsidP="00D72DD9">
            <w:pPr>
              <w:tabs>
                <w:tab w:val="decimal" w:pos="1220"/>
              </w:tabs>
              <w:rPr>
                <w:sz w:val="22"/>
                <w:szCs w:val="22"/>
              </w:rPr>
            </w:pPr>
          </w:p>
        </w:tc>
        <w:tc>
          <w:tcPr>
            <w:tcW w:w="1222" w:type="dxa"/>
            <w:tcBorders>
              <w:bottom w:val="single" w:sz="4" w:space="0" w:color="auto"/>
            </w:tcBorders>
            <w:shd w:val="clear" w:color="auto" w:fill="auto"/>
          </w:tcPr>
          <w:p w:rsidR="005274B5" w:rsidRPr="001844B0" w:rsidRDefault="005274B5" w:rsidP="004F2645">
            <w:pPr>
              <w:tabs>
                <w:tab w:val="decimal" w:pos="689"/>
              </w:tabs>
              <w:ind w:right="176"/>
              <w:rPr>
                <w:sz w:val="22"/>
                <w:szCs w:val="22"/>
              </w:rPr>
            </w:pPr>
          </w:p>
        </w:tc>
        <w:tc>
          <w:tcPr>
            <w:tcW w:w="1222" w:type="dxa"/>
            <w:shd w:val="clear" w:color="auto" w:fill="auto"/>
          </w:tcPr>
          <w:p w:rsidR="005274B5" w:rsidRPr="001844B0" w:rsidRDefault="005274B5" w:rsidP="005274B5">
            <w:pPr>
              <w:tabs>
                <w:tab w:val="decimal" w:pos="1220"/>
              </w:tabs>
              <w:rPr>
                <w:sz w:val="22"/>
                <w:szCs w:val="22"/>
              </w:rPr>
            </w:pPr>
          </w:p>
        </w:tc>
        <w:tc>
          <w:tcPr>
            <w:tcW w:w="1189" w:type="dxa"/>
            <w:tcBorders>
              <w:bottom w:val="single" w:sz="4" w:space="0" w:color="auto"/>
            </w:tcBorders>
            <w:shd w:val="clear" w:color="auto" w:fill="auto"/>
          </w:tcPr>
          <w:p w:rsidR="005274B5" w:rsidRPr="001844B0" w:rsidRDefault="005274B5" w:rsidP="005274B5">
            <w:pPr>
              <w:tabs>
                <w:tab w:val="decimal" w:pos="689"/>
              </w:tabs>
              <w:ind w:right="176"/>
              <w:rPr>
                <w:sz w:val="22"/>
                <w:szCs w:val="22"/>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Total Revenue Reserves</w:t>
            </w:r>
          </w:p>
        </w:tc>
        <w:tc>
          <w:tcPr>
            <w:tcW w:w="1046" w:type="dxa"/>
            <w:shd w:val="clear" w:color="auto" w:fill="auto"/>
          </w:tcPr>
          <w:p w:rsidR="005274B5" w:rsidRPr="001844B0" w:rsidRDefault="005274B5" w:rsidP="00D72DD9">
            <w:pPr>
              <w:tabs>
                <w:tab w:val="decimal" w:pos="1220"/>
              </w:tabs>
              <w:rPr>
                <w:sz w:val="22"/>
                <w:szCs w:val="22"/>
              </w:rPr>
            </w:pPr>
          </w:p>
        </w:tc>
        <w:tc>
          <w:tcPr>
            <w:tcW w:w="1222" w:type="dxa"/>
            <w:tcBorders>
              <w:top w:val="single" w:sz="4" w:space="0" w:color="auto"/>
            </w:tcBorders>
            <w:shd w:val="clear" w:color="auto" w:fill="auto"/>
          </w:tcPr>
          <w:p w:rsidR="005274B5" w:rsidRPr="001844B0" w:rsidRDefault="00331C86" w:rsidP="00261A8E">
            <w:pPr>
              <w:tabs>
                <w:tab w:val="decimal" w:pos="830"/>
              </w:tabs>
              <w:ind w:right="176"/>
              <w:rPr>
                <w:sz w:val="22"/>
                <w:szCs w:val="22"/>
              </w:rPr>
            </w:pPr>
            <w:r w:rsidRPr="00331C86">
              <w:rPr>
                <w:sz w:val="22"/>
                <w:szCs w:val="22"/>
              </w:rPr>
              <w:t>(15,</w:t>
            </w:r>
            <w:r w:rsidR="003E1908">
              <w:rPr>
                <w:sz w:val="22"/>
                <w:szCs w:val="22"/>
              </w:rPr>
              <w:t>78</w:t>
            </w:r>
            <w:r w:rsidR="00261A8E">
              <w:rPr>
                <w:sz w:val="22"/>
                <w:szCs w:val="22"/>
              </w:rPr>
              <w:t>4</w:t>
            </w:r>
            <w:r w:rsidRPr="00331C86">
              <w:rPr>
                <w:sz w:val="22"/>
                <w:szCs w:val="22"/>
              </w:rPr>
              <w:t>)</w:t>
            </w:r>
          </w:p>
        </w:tc>
        <w:tc>
          <w:tcPr>
            <w:tcW w:w="1222" w:type="dxa"/>
            <w:shd w:val="clear" w:color="auto" w:fill="auto"/>
          </w:tcPr>
          <w:p w:rsidR="005274B5" w:rsidRPr="001844B0" w:rsidRDefault="005274B5" w:rsidP="005274B5">
            <w:pPr>
              <w:tabs>
                <w:tab w:val="decimal" w:pos="1220"/>
              </w:tabs>
              <w:rPr>
                <w:sz w:val="22"/>
                <w:szCs w:val="22"/>
              </w:rPr>
            </w:pPr>
          </w:p>
        </w:tc>
        <w:tc>
          <w:tcPr>
            <w:tcW w:w="1189" w:type="dxa"/>
            <w:tcBorders>
              <w:top w:val="single" w:sz="4" w:space="0" w:color="auto"/>
            </w:tcBorders>
            <w:shd w:val="clear" w:color="auto" w:fill="auto"/>
          </w:tcPr>
          <w:p w:rsidR="005274B5" w:rsidRPr="001844B0" w:rsidRDefault="005274B5" w:rsidP="003E1908">
            <w:pPr>
              <w:tabs>
                <w:tab w:val="decimal" w:pos="830"/>
              </w:tabs>
              <w:ind w:right="176"/>
              <w:rPr>
                <w:sz w:val="22"/>
                <w:szCs w:val="22"/>
              </w:rPr>
            </w:pPr>
            <w:r>
              <w:rPr>
                <w:sz w:val="22"/>
                <w:szCs w:val="22"/>
              </w:rPr>
              <w:t>(17,</w:t>
            </w:r>
            <w:r w:rsidR="003E1908">
              <w:rPr>
                <w:sz w:val="22"/>
                <w:szCs w:val="22"/>
              </w:rPr>
              <w:t>967</w:t>
            </w:r>
            <w:r>
              <w:rPr>
                <w:sz w:val="22"/>
                <w:szCs w:val="22"/>
              </w:rPr>
              <w:t>)</w:t>
            </w:r>
          </w:p>
        </w:tc>
      </w:tr>
      <w:tr w:rsidR="005274B5" w:rsidRPr="009B6E08" w:rsidTr="00582B7C">
        <w:tc>
          <w:tcPr>
            <w:tcW w:w="3544" w:type="dxa"/>
            <w:shd w:val="clear" w:color="auto" w:fill="auto"/>
          </w:tcPr>
          <w:p w:rsidR="005274B5" w:rsidRPr="001844B0" w:rsidRDefault="005274B5" w:rsidP="00003462">
            <w:pPr>
              <w:rPr>
                <w:sz w:val="22"/>
                <w:szCs w:val="22"/>
              </w:rPr>
            </w:pP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shd w:val="clear" w:color="auto" w:fill="auto"/>
          </w:tcPr>
          <w:p w:rsidR="005274B5" w:rsidRPr="00582B7C" w:rsidRDefault="005274B5" w:rsidP="00582B7C">
            <w:pPr>
              <w:tabs>
                <w:tab w:val="decimal" w:pos="830"/>
              </w:tabs>
              <w:ind w:right="176"/>
              <w:rPr>
                <w:sz w:val="22"/>
                <w:szCs w:val="22"/>
              </w:rPr>
            </w:pP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shd w:val="clear" w:color="auto" w:fill="auto"/>
          </w:tcPr>
          <w:p w:rsidR="005274B5" w:rsidRPr="00582B7C" w:rsidRDefault="005274B5" w:rsidP="005274B5">
            <w:pPr>
              <w:tabs>
                <w:tab w:val="decimal" w:pos="830"/>
              </w:tabs>
              <w:ind w:right="176"/>
              <w:rPr>
                <w:sz w:val="22"/>
                <w:szCs w:val="22"/>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Capital Reserves:</w:t>
            </w: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shd w:val="clear" w:color="auto" w:fill="auto"/>
          </w:tcPr>
          <w:p w:rsidR="005274B5" w:rsidRPr="00582B7C" w:rsidRDefault="005274B5" w:rsidP="00582B7C">
            <w:pPr>
              <w:tabs>
                <w:tab w:val="decimal" w:pos="830"/>
              </w:tabs>
              <w:ind w:right="176"/>
              <w:rPr>
                <w:sz w:val="22"/>
                <w:szCs w:val="22"/>
              </w:rPr>
            </w:pP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shd w:val="clear" w:color="auto" w:fill="auto"/>
          </w:tcPr>
          <w:p w:rsidR="005274B5" w:rsidRPr="00582B7C" w:rsidRDefault="005274B5" w:rsidP="005274B5">
            <w:pPr>
              <w:tabs>
                <w:tab w:val="decimal" w:pos="830"/>
              </w:tabs>
              <w:ind w:right="176"/>
              <w:rPr>
                <w:sz w:val="22"/>
                <w:szCs w:val="22"/>
              </w:rPr>
            </w:pP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Capital Funding Reserve</w:t>
            </w: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shd w:val="clear" w:color="auto" w:fill="auto"/>
          </w:tcPr>
          <w:p w:rsidR="005274B5" w:rsidRPr="001844B0" w:rsidRDefault="00945A5F" w:rsidP="00582B7C">
            <w:pPr>
              <w:tabs>
                <w:tab w:val="decimal" w:pos="830"/>
              </w:tabs>
              <w:ind w:right="176"/>
              <w:rPr>
                <w:sz w:val="22"/>
                <w:szCs w:val="22"/>
              </w:rPr>
            </w:pPr>
            <w:r>
              <w:rPr>
                <w:sz w:val="22"/>
                <w:szCs w:val="22"/>
              </w:rPr>
              <w:t>(17,745)</w:t>
            </w: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shd w:val="clear" w:color="auto" w:fill="auto"/>
          </w:tcPr>
          <w:p w:rsidR="005274B5" w:rsidRPr="001844B0" w:rsidRDefault="005274B5" w:rsidP="005274B5">
            <w:pPr>
              <w:tabs>
                <w:tab w:val="decimal" w:pos="830"/>
              </w:tabs>
              <w:ind w:right="176"/>
              <w:rPr>
                <w:sz w:val="22"/>
                <w:szCs w:val="22"/>
              </w:rPr>
            </w:pPr>
            <w:r>
              <w:rPr>
                <w:sz w:val="22"/>
                <w:szCs w:val="22"/>
              </w:rPr>
              <w:t>(16,633)</w:t>
            </w: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Capital Grants Unapplied</w:t>
            </w: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shd w:val="clear" w:color="auto" w:fill="auto"/>
          </w:tcPr>
          <w:p w:rsidR="005274B5" w:rsidRPr="001844B0" w:rsidRDefault="003E1908" w:rsidP="00582B7C">
            <w:pPr>
              <w:tabs>
                <w:tab w:val="decimal" w:pos="830"/>
              </w:tabs>
              <w:ind w:right="176"/>
              <w:rPr>
                <w:sz w:val="22"/>
                <w:szCs w:val="22"/>
              </w:rPr>
            </w:pPr>
            <w:r>
              <w:rPr>
                <w:sz w:val="22"/>
                <w:szCs w:val="22"/>
              </w:rPr>
              <w:t>(121)</w:t>
            </w: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shd w:val="clear" w:color="auto" w:fill="auto"/>
          </w:tcPr>
          <w:p w:rsidR="005274B5" w:rsidRPr="001844B0" w:rsidRDefault="005274B5" w:rsidP="003E1908">
            <w:pPr>
              <w:tabs>
                <w:tab w:val="decimal" w:pos="830"/>
              </w:tabs>
              <w:ind w:right="176"/>
              <w:rPr>
                <w:sz w:val="22"/>
                <w:szCs w:val="22"/>
              </w:rPr>
            </w:pPr>
            <w:r>
              <w:rPr>
                <w:sz w:val="22"/>
                <w:szCs w:val="22"/>
              </w:rPr>
              <w:t>(</w:t>
            </w:r>
            <w:r w:rsidR="003E1908">
              <w:rPr>
                <w:sz w:val="22"/>
                <w:szCs w:val="22"/>
              </w:rPr>
              <w:t>947</w:t>
            </w:r>
            <w:r>
              <w:rPr>
                <w:sz w:val="22"/>
                <w:szCs w:val="22"/>
              </w:rPr>
              <w:t>)</w:t>
            </w:r>
          </w:p>
        </w:tc>
      </w:tr>
      <w:tr w:rsidR="005274B5" w:rsidRPr="009B6E08" w:rsidTr="00582B7C">
        <w:tc>
          <w:tcPr>
            <w:tcW w:w="3544" w:type="dxa"/>
            <w:shd w:val="clear" w:color="auto" w:fill="auto"/>
          </w:tcPr>
          <w:p w:rsidR="005274B5" w:rsidRPr="001844B0" w:rsidRDefault="005274B5" w:rsidP="00003462">
            <w:pPr>
              <w:rPr>
                <w:sz w:val="22"/>
                <w:szCs w:val="22"/>
              </w:rPr>
            </w:pPr>
            <w:r w:rsidRPr="001844B0">
              <w:rPr>
                <w:sz w:val="22"/>
                <w:szCs w:val="22"/>
              </w:rPr>
              <w:t>Usable Capital Receipts</w:t>
            </w: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shd w:val="clear" w:color="auto" w:fill="auto"/>
          </w:tcPr>
          <w:p w:rsidR="005274B5" w:rsidRPr="001844B0" w:rsidRDefault="00945A5F" w:rsidP="00582B7C">
            <w:pPr>
              <w:tabs>
                <w:tab w:val="decimal" w:pos="830"/>
              </w:tabs>
              <w:ind w:right="176"/>
              <w:rPr>
                <w:sz w:val="22"/>
                <w:szCs w:val="22"/>
              </w:rPr>
            </w:pPr>
            <w:r>
              <w:rPr>
                <w:sz w:val="22"/>
                <w:szCs w:val="22"/>
              </w:rPr>
              <w:t>(1,582)</w:t>
            </w: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shd w:val="clear" w:color="auto" w:fill="auto"/>
          </w:tcPr>
          <w:p w:rsidR="005274B5" w:rsidRPr="001844B0" w:rsidRDefault="005274B5" w:rsidP="005274B5">
            <w:pPr>
              <w:tabs>
                <w:tab w:val="decimal" w:pos="830"/>
              </w:tabs>
              <w:ind w:right="176"/>
              <w:rPr>
                <w:sz w:val="22"/>
                <w:szCs w:val="22"/>
              </w:rPr>
            </w:pPr>
            <w:r>
              <w:rPr>
                <w:sz w:val="22"/>
                <w:szCs w:val="22"/>
              </w:rPr>
              <w:t>(1,501)</w:t>
            </w:r>
          </w:p>
        </w:tc>
      </w:tr>
      <w:tr w:rsidR="005274B5" w:rsidRPr="009B6E08" w:rsidTr="00582B7C">
        <w:tc>
          <w:tcPr>
            <w:tcW w:w="3544" w:type="dxa"/>
            <w:shd w:val="clear" w:color="auto" w:fill="auto"/>
          </w:tcPr>
          <w:p w:rsidR="005274B5" w:rsidRPr="001844B0" w:rsidRDefault="005274B5" w:rsidP="00003462">
            <w:pPr>
              <w:rPr>
                <w:sz w:val="22"/>
                <w:szCs w:val="22"/>
              </w:rPr>
            </w:pP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tcBorders>
              <w:bottom w:val="single" w:sz="4" w:space="0" w:color="auto"/>
            </w:tcBorders>
            <w:shd w:val="clear" w:color="auto" w:fill="auto"/>
          </w:tcPr>
          <w:p w:rsidR="005274B5" w:rsidRPr="00582B7C" w:rsidRDefault="005274B5" w:rsidP="00582B7C">
            <w:pPr>
              <w:tabs>
                <w:tab w:val="decimal" w:pos="830"/>
              </w:tabs>
              <w:ind w:right="176"/>
              <w:rPr>
                <w:sz w:val="22"/>
                <w:szCs w:val="22"/>
              </w:rPr>
            </w:pP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tcBorders>
              <w:bottom w:val="single" w:sz="4" w:space="0" w:color="auto"/>
            </w:tcBorders>
            <w:shd w:val="clear" w:color="auto" w:fill="auto"/>
          </w:tcPr>
          <w:p w:rsidR="005274B5" w:rsidRPr="00582B7C" w:rsidRDefault="005274B5" w:rsidP="005274B5">
            <w:pPr>
              <w:tabs>
                <w:tab w:val="decimal" w:pos="830"/>
              </w:tabs>
              <w:ind w:right="176"/>
              <w:rPr>
                <w:sz w:val="22"/>
                <w:szCs w:val="22"/>
              </w:rPr>
            </w:pPr>
          </w:p>
        </w:tc>
      </w:tr>
      <w:tr w:rsidR="005274B5" w:rsidRPr="00D72DD9" w:rsidTr="00582B7C">
        <w:tc>
          <w:tcPr>
            <w:tcW w:w="3544" w:type="dxa"/>
            <w:shd w:val="clear" w:color="auto" w:fill="auto"/>
          </w:tcPr>
          <w:p w:rsidR="005274B5" w:rsidRPr="001844B0" w:rsidRDefault="005274B5" w:rsidP="00003462">
            <w:pPr>
              <w:rPr>
                <w:sz w:val="22"/>
                <w:szCs w:val="22"/>
              </w:rPr>
            </w:pPr>
            <w:r w:rsidRPr="001844B0">
              <w:rPr>
                <w:sz w:val="22"/>
                <w:szCs w:val="22"/>
              </w:rPr>
              <w:t>Total Usable Reserves</w:t>
            </w:r>
          </w:p>
        </w:tc>
        <w:tc>
          <w:tcPr>
            <w:tcW w:w="1046" w:type="dxa"/>
            <w:shd w:val="clear" w:color="auto" w:fill="auto"/>
          </w:tcPr>
          <w:p w:rsidR="005274B5" w:rsidRPr="009B6E08" w:rsidRDefault="005274B5" w:rsidP="00D72DD9">
            <w:pPr>
              <w:tabs>
                <w:tab w:val="decimal" w:pos="1220"/>
              </w:tabs>
              <w:rPr>
                <w:sz w:val="22"/>
                <w:szCs w:val="22"/>
                <w:highlight w:val="yellow"/>
              </w:rPr>
            </w:pPr>
          </w:p>
        </w:tc>
        <w:tc>
          <w:tcPr>
            <w:tcW w:w="1222" w:type="dxa"/>
            <w:tcBorders>
              <w:top w:val="single" w:sz="4" w:space="0" w:color="auto"/>
              <w:bottom w:val="double" w:sz="4" w:space="0" w:color="auto"/>
            </w:tcBorders>
            <w:shd w:val="clear" w:color="auto" w:fill="auto"/>
          </w:tcPr>
          <w:p w:rsidR="005274B5" w:rsidRPr="001844B0" w:rsidRDefault="00945A5F" w:rsidP="00261A8E">
            <w:pPr>
              <w:tabs>
                <w:tab w:val="decimal" w:pos="830"/>
              </w:tabs>
              <w:ind w:right="176"/>
              <w:rPr>
                <w:sz w:val="22"/>
                <w:szCs w:val="22"/>
              </w:rPr>
            </w:pPr>
            <w:r>
              <w:rPr>
                <w:sz w:val="22"/>
                <w:szCs w:val="22"/>
              </w:rPr>
              <w:t>(35,</w:t>
            </w:r>
            <w:r w:rsidR="003E1908">
              <w:rPr>
                <w:sz w:val="22"/>
                <w:szCs w:val="22"/>
              </w:rPr>
              <w:t>23</w:t>
            </w:r>
            <w:r w:rsidR="00261A8E">
              <w:rPr>
                <w:sz w:val="22"/>
                <w:szCs w:val="22"/>
              </w:rPr>
              <w:t>1</w:t>
            </w:r>
            <w:r>
              <w:rPr>
                <w:sz w:val="22"/>
                <w:szCs w:val="22"/>
              </w:rPr>
              <w:t>)</w:t>
            </w:r>
          </w:p>
        </w:tc>
        <w:tc>
          <w:tcPr>
            <w:tcW w:w="1222" w:type="dxa"/>
            <w:shd w:val="clear" w:color="auto" w:fill="auto"/>
          </w:tcPr>
          <w:p w:rsidR="005274B5" w:rsidRPr="009B6E08" w:rsidRDefault="005274B5" w:rsidP="005274B5">
            <w:pPr>
              <w:tabs>
                <w:tab w:val="decimal" w:pos="1220"/>
              </w:tabs>
              <w:rPr>
                <w:sz w:val="22"/>
                <w:szCs w:val="22"/>
                <w:highlight w:val="yellow"/>
              </w:rPr>
            </w:pPr>
          </w:p>
        </w:tc>
        <w:tc>
          <w:tcPr>
            <w:tcW w:w="1189" w:type="dxa"/>
            <w:tcBorders>
              <w:top w:val="single" w:sz="4" w:space="0" w:color="auto"/>
              <w:bottom w:val="double" w:sz="4" w:space="0" w:color="auto"/>
            </w:tcBorders>
            <w:shd w:val="clear" w:color="auto" w:fill="auto"/>
          </w:tcPr>
          <w:p w:rsidR="005274B5" w:rsidRPr="001844B0" w:rsidRDefault="005274B5" w:rsidP="003E1908">
            <w:pPr>
              <w:tabs>
                <w:tab w:val="decimal" w:pos="830"/>
              </w:tabs>
              <w:ind w:right="176"/>
              <w:rPr>
                <w:sz w:val="22"/>
                <w:szCs w:val="22"/>
              </w:rPr>
            </w:pPr>
            <w:r>
              <w:rPr>
                <w:sz w:val="22"/>
                <w:szCs w:val="22"/>
              </w:rPr>
              <w:t>(</w:t>
            </w:r>
            <w:r w:rsidR="003E1908">
              <w:rPr>
                <w:sz w:val="22"/>
                <w:szCs w:val="22"/>
              </w:rPr>
              <w:t>37</w:t>
            </w:r>
            <w:r>
              <w:rPr>
                <w:sz w:val="22"/>
                <w:szCs w:val="22"/>
              </w:rPr>
              <w:t>,</w:t>
            </w:r>
            <w:r w:rsidR="003E1908">
              <w:rPr>
                <w:sz w:val="22"/>
                <w:szCs w:val="22"/>
              </w:rPr>
              <w:t>048</w:t>
            </w:r>
            <w:r>
              <w:rPr>
                <w:sz w:val="22"/>
                <w:szCs w:val="22"/>
              </w:rPr>
              <w:t>)</w:t>
            </w:r>
          </w:p>
        </w:tc>
      </w:tr>
    </w:tbl>
    <w:p w:rsidR="00AF3C89" w:rsidRDefault="00AF3C89" w:rsidP="00D90216">
      <w:pPr>
        <w:ind w:left="709"/>
        <w:rPr>
          <w:sz w:val="22"/>
          <w:szCs w:val="22"/>
        </w:rPr>
      </w:pPr>
    </w:p>
    <w:p w:rsidR="00AF3C89" w:rsidRDefault="00FE0A63" w:rsidP="001429DE">
      <w:pPr>
        <w:rPr>
          <w:b/>
          <w:sz w:val="22"/>
          <w:szCs w:val="22"/>
        </w:rPr>
      </w:pPr>
      <w:r>
        <w:rPr>
          <w:b/>
          <w:sz w:val="22"/>
          <w:szCs w:val="22"/>
        </w:rPr>
        <w:t>1</w:t>
      </w:r>
      <w:r w:rsidR="005274B5">
        <w:rPr>
          <w:b/>
          <w:sz w:val="22"/>
          <w:szCs w:val="22"/>
        </w:rPr>
        <w:t>7</w:t>
      </w:r>
      <w:r w:rsidR="001429DE">
        <w:rPr>
          <w:b/>
          <w:sz w:val="22"/>
          <w:szCs w:val="22"/>
        </w:rPr>
        <w:tab/>
      </w:r>
      <w:r w:rsidR="00AF3C89">
        <w:rPr>
          <w:b/>
          <w:sz w:val="22"/>
          <w:szCs w:val="22"/>
        </w:rPr>
        <w:t>Transfers (to)/from Earmarked Reserves</w:t>
      </w:r>
    </w:p>
    <w:p w:rsidR="00D90216" w:rsidRDefault="00D90216" w:rsidP="00D90216">
      <w:pPr>
        <w:ind w:left="709"/>
        <w:rPr>
          <w:sz w:val="22"/>
          <w:szCs w:val="22"/>
        </w:rPr>
      </w:pPr>
    </w:p>
    <w:tbl>
      <w:tblPr>
        <w:tblW w:w="0" w:type="auto"/>
        <w:tblInd w:w="392" w:type="dxa"/>
        <w:tblLayout w:type="fixed"/>
        <w:tblLook w:val="01E0" w:firstRow="1" w:lastRow="1" w:firstColumn="1" w:lastColumn="1" w:noHBand="0" w:noVBand="0"/>
      </w:tblPr>
      <w:tblGrid>
        <w:gridCol w:w="2197"/>
        <w:gridCol w:w="1172"/>
        <w:gridCol w:w="1242"/>
        <w:gridCol w:w="1168"/>
        <w:gridCol w:w="1133"/>
        <w:gridCol w:w="1236"/>
        <w:gridCol w:w="1170"/>
        <w:gridCol w:w="1138"/>
      </w:tblGrid>
      <w:tr w:rsidR="005274B5" w:rsidRPr="00397070" w:rsidTr="00397070">
        <w:tc>
          <w:tcPr>
            <w:tcW w:w="2197" w:type="dxa"/>
            <w:shd w:val="clear" w:color="auto" w:fill="auto"/>
          </w:tcPr>
          <w:p w:rsidR="005274B5" w:rsidRPr="00397070" w:rsidRDefault="005274B5" w:rsidP="00D90216">
            <w:pPr>
              <w:rPr>
                <w:sz w:val="22"/>
                <w:szCs w:val="22"/>
              </w:rPr>
            </w:pPr>
          </w:p>
        </w:tc>
        <w:tc>
          <w:tcPr>
            <w:tcW w:w="1172" w:type="dxa"/>
            <w:shd w:val="clear" w:color="auto" w:fill="auto"/>
          </w:tcPr>
          <w:p w:rsidR="005274B5" w:rsidRDefault="005274B5" w:rsidP="005274B5">
            <w:pPr>
              <w:rPr>
                <w:sz w:val="22"/>
                <w:szCs w:val="22"/>
              </w:rPr>
            </w:pPr>
            <w:r w:rsidRPr="0024225A">
              <w:rPr>
                <w:sz w:val="22"/>
                <w:szCs w:val="22"/>
              </w:rPr>
              <w:t>Balance at 31.3.16</w:t>
            </w:r>
          </w:p>
          <w:p w:rsidR="007061E6" w:rsidRPr="0024225A" w:rsidRDefault="007061E6" w:rsidP="005274B5">
            <w:pPr>
              <w:rPr>
                <w:sz w:val="22"/>
                <w:szCs w:val="22"/>
              </w:rPr>
            </w:pPr>
            <w:r>
              <w:rPr>
                <w:sz w:val="22"/>
                <w:szCs w:val="22"/>
              </w:rPr>
              <w:t>Restated</w:t>
            </w:r>
          </w:p>
        </w:tc>
        <w:tc>
          <w:tcPr>
            <w:tcW w:w="1242" w:type="dxa"/>
            <w:shd w:val="clear" w:color="auto" w:fill="auto"/>
          </w:tcPr>
          <w:p w:rsidR="005274B5" w:rsidRPr="0024225A" w:rsidRDefault="005274B5" w:rsidP="005274B5">
            <w:r w:rsidRPr="0024225A">
              <w:rPr>
                <w:sz w:val="22"/>
                <w:szCs w:val="22"/>
              </w:rPr>
              <w:t>Transfers in 201</w:t>
            </w:r>
            <w:r>
              <w:rPr>
                <w:sz w:val="22"/>
                <w:szCs w:val="22"/>
              </w:rPr>
              <w:t>6</w:t>
            </w:r>
            <w:r w:rsidRPr="0024225A">
              <w:rPr>
                <w:sz w:val="22"/>
                <w:szCs w:val="22"/>
              </w:rPr>
              <w:t>/1</w:t>
            </w:r>
            <w:r>
              <w:rPr>
                <w:sz w:val="22"/>
                <w:szCs w:val="22"/>
              </w:rPr>
              <w:t>7</w:t>
            </w:r>
            <w:r w:rsidR="007061E6">
              <w:rPr>
                <w:sz w:val="22"/>
                <w:szCs w:val="22"/>
              </w:rPr>
              <w:t xml:space="preserve"> Restated</w:t>
            </w:r>
          </w:p>
        </w:tc>
        <w:tc>
          <w:tcPr>
            <w:tcW w:w="1168" w:type="dxa"/>
            <w:shd w:val="clear" w:color="auto" w:fill="auto"/>
          </w:tcPr>
          <w:p w:rsidR="005274B5" w:rsidRPr="0024225A" w:rsidRDefault="005274B5" w:rsidP="005274B5">
            <w:r w:rsidRPr="0024225A">
              <w:rPr>
                <w:sz w:val="22"/>
                <w:szCs w:val="22"/>
              </w:rPr>
              <w:t>Transfers out 201</w:t>
            </w:r>
            <w:r>
              <w:rPr>
                <w:sz w:val="22"/>
                <w:szCs w:val="22"/>
              </w:rPr>
              <w:t>6/17</w:t>
            </w:r>
            <w:r w:rsidR="007061E6">
              <w:rPr>
                <w:sz w:val="22"/>
                <w:szCs w:val="22"/>
              </w:rPr>
              <w:t xml:space="preserve"> Restated</w:t>
            </w:r>
          </w:p>
        </w:tc>
        <w:tc>
          <w:tcPr>
            <w:tcW w:w="1133" w:type="dxa"/>
            <w:shd w:val="clear" w:color="auto" w:fill="auto"/>
          </w:tcPr>
          <w:p w:rsidR="005274B5" w:rsidRPr="0024225A" w:rsidRDefault="005274B5" w:rsidP="005274B5">
            <w:pPr>
              <w:rPr>
                <w:sz w:val="22"/>
                <w:szCs w:val="22"/>
              </w:rPr>
            </w:pPr>
            <w:r>
              <w:rPr>
                <w:sz w:val="22"/>
                <w:szCs w:val="22"/>
              </w:rPr>
              <w:t>Balance at 31.3.17</w:t>
            </w:r>
            <w:r w:rsidR="007061E6">
              <w:rPr>
                <w:sz w:val="22"/>
                <w:szCs w:val="22"/>
              </w:rPr>
              <w:t xml:space="preserve"> Restated</w:t>
            </w:r>
          </w:p>
        </w:tc>
        <w:tc>
          <w:tcPr>
            <w:tcW w:w="1236" w:type="dxa"/>
            <w:shd w:val="clear" w:color="auto" w:fill="auto"/>
          </w:tcPr>
          <w:p w:rsidR="005274B5" w:rsidRPr="0024225A" w:rsidRDefault="005274B5" w:rsidP="005274B5">
            <w:r w:rsidRPr="0024225A">
              <w:rPr>
                <w:sz w:val="22"/>
                <w:szCs w:val="22"/>
              </w:rPr>
              <w:t>Transfers in 201</w:t>
            </w:r>
            <w:r>
              <w:rPr>
                <w:sz w:val="22"/>
                <w:szCs w:val="22"/>
              </w:rPr>
              <w:t>7</w:t>
            </w:r>
            <w:r w:rsidRPr="0024225A">
              <w:rPr>
                <w:sz w:val="22"/>
                <w:szCs w:val="22"/>
              </w:rPr>
              <w:t>/1</w:t>
            </w:r>
            <w:r>
              <w:rPr>
                <w:sz w:val="22"/>
                <w:szCs w:val="22"/>
              </w:rPr>
              <w:t>8</w:t>
            </w:r>
          </w:p>
        </w:tc>
        <w:tc>
          <w:tcPr>
            <w:tcW w:w="1170" w:type="dxa"/>
            <w:shd w:val="clear" w:color="auto" w:fill="auto"/>
          </w:tcPr>
          <w:p w:rsidR="005274B5" w:rsidRPr="0024225A" w:rsidRDefault="005274B5" w:rsidP="005274B5">
            <w:r w:rsidRPr="0024225A">
              <w:rPr>
                <w:sz w:val="22"/>
                <w:szCs w:val="22"/>
              </w:rPr>
              <w:t>Transfers out 201</w:t>
            </w:r>
            <w:r>
              <w:rPr>
                <w:sz w:val="22"/>
                <w:szCs w:val="22"/>
              </w:rPr>
              <w:t>7/18</w:t>
            </w:r>
          </w:p>
        </w:tc>
        <w:tc>
          <w:tcPr>
            <w:tcW w:w="1138" w:type="dxa"/>
            <w:shd w:val="clear" w:color="auto" w:fill="auto"/>
          </w:tcPr>
          <w:p w:rsidR="005274B5" w:rsidRPr="0024225A" w:rsidRDefault="005274B5" w:rsidP="005274B5">
            <w:pPr>
              <w:rPr>
                <w:sz w:val="22"/>
                <w:szCs w:val="22"/>
              </w:rPr>
            </w:pPr>
            <w:r>
              <w:rPr>
                <w:sz w:val="22"/>
                <w:szCs w:val="22"/>
              </w:rPr>
              <w:t>Balance at 31.3.18</w:t>
            </w:r>
          </w:p>
        </w:tc>
      </w:tr>
      <w:tr w:rsidR="005274B5" w:rsidRPr="00397070" w:rsidTr="00397070">
        <w:tc>
          <w:tcPr>
            <w:tcW w:w="2197" w:type="dxa"/>
            <w:shd w:val="clear" w:color="auto" w:fill="auto"/>
          </w:tcPr>
          <w:p w:rsidR="005274B5" w:rsidRPr="00397070" w:rsidRDefault="005274B5" w:rsidP="00D90216">
            <w:pPr>
              <w:rPr>
                <w:sz w:val="22"/>
                <w:szCs w:val="22"/>
              </w:rPr>
            </w:pPr>
          </w:p>
        </w:tc>
        <w:tc>
          <w:tcPr>
            <w:tcW w:w="1172" w:type="dxa"/>
            <w:shd w:val="clear" w:color="auto" w:fill="auto"/>
          </w:tcPr>
          <w:p w:rsidR="005274B5" w:rsidRPr="009B6E08" w:rsidRDefault="005274B5" w:rsidP="005274B5">
            <w:pPr>
              <w:rPr>
                <w:sz w:val="22"/>
                <w:szCs w:val="22"/>
                <w:highlight w:val="yellow"/>
              </w:rPr>
            </w:pPr>
          </w:p>
        </w:tc>
        <w:tc>
          <w:tcPr>
            <w:tcW w:w="1242" w:type="dxa"/>
            <w:shd w:val="clear" w:color="auto" w:fill="auto"/>
          </w:tcPr>
          <w:p w:rsidR="005274B5" w:rsidRPr="009B6E08" w:rsidRDefault="005274B5" w:rsidP="005274B5">
            <w:pPr>
              <w:rPr>
                <w:sz w:val="22"/>
                <w:szCs w:val="22"/>
                <w:highlight w:val="yellow"/>
              </w:rPr>
            </w:pPr>
          </w:p>
        </w:tc>
        <w:tc>
          <w:tcPr>
            <w:tcW w:w="1168" w:type="dxa"/>
            <w:shd w:val="clear" w:color="auto" w:fill="auto"/>
          </w:tcPr>
          <w:p w:rsidR="005274B5" w:rsidRPr="009B6E08" w:rsidRDefault="005274B5" w:rsidP="005274B5">
            <w:pPr>
              <w:rPr>
                <w:sz w:val="22"/>
                <w:szCs w:val="22"/>
                <w:highlight w:val="yellow"/>
              </w:rPr>
            </w:pPr>
          </w:p>
        </w:tc>
        <w:tc>
          <w:tcPr>
            <w:tcW w:w="1133" w:type="dxa"/>
            <w:shd w:val="clear" w:color="auto" w:fill="auto"/>
          </w:tcPr>
          <w:p w:rsidR="005274B5" w:rsidRPr="009B6E08" w:rsidRDefault="005274B5" w:rsidP="005274B5">
            <w:pPr>
              <w:rPr>
                <w:sz w:val="22"/>
                <w:szCs w:val="22"/>
                <w:highlight w:val="yellow"/>
              </w:rPr>
            </w:pPr>
          </w:p>
        </w:tc>
        <w:tc>
          <w:tcPr>
            <w:tcW w:w="1236" w:type="dxa"/>
            <w:shd w:val="clear" w:color="auto" w:fill="auto"/>
          </w:tcPr>
          <w:p w:rsidR="005274B5" w:rsidRPr="009B6E08" w:rsidRDefault="005274B5" w:rsidP="00D90216">
            <w:pPr>
              <w:rPr>
                <w:sz w:val="22"/>
                <w:szCs w:val="22"/>
                <w:highlight w:val="yellow"/>
              </w:rPr>
            </w:pPr>
          </w:p>
        </w:tc>
        <w:tc>
          <w:tcPr>
            <w:tcW w:w="1170" w:type="dxa"/>
            <w:shd w:val="clear" w:color="auto" w:fill="auto"/>
          </w:tcPr>
          <w:p w:rsidR="005274B5" w:rsidRPr="009B6E08" w:rsidRDefault="005274B5" w:rsidP="00D90216">
            <w:pPr>
              <w:rPr>
                <w:sz w:val="22"/>
                <w:szCs w:val="22"/>
                <w:highlight w:val="yellow"/>
              </w:rPr>
            </w:pPr>
          </w:p>
        </w:tc>
        <w:tc>
          <w:tcPr>
            <w:tcW w:w="1138" w:type="dxa"/>
            <w:shd w:val="clear" w:color="auto" w:fill="auto"/>
          </w:tcPr>
          <w:p w:rsidR="005274B5" w:rsidRPr="009B6E08" w:rsidRDefault="005274B5" w:rsidP="00D90216">
            <w:pPr>
              <w:rPr>
                <w:sz w:val="22"/>
                <w:szCs w:val="22"/>
                <w:highlight w:val="yellow"/>
              </w:rPr>
            </w:pPr>
          </w:p>
        </w:tc>
      </w:tr>
      <w:tr w:rsidR="005274B5" w:rsidRPr="00397070" w:rsidTr="00397070">
        <w:tc>
          <w:tcPr>
            <w:tcW w:w="2197" w:type="dxa"/>
            <w:shd w:val="clear" w:color="auto" w:fill="auto"/>
          </w:tcPr>
          <w:p w:rsidR="005274B5" w:rsidRPr="00397070" w:rsidRDefault="005274B5" w:rsidP="00D90216">
            <w:pPr>
              <w:rPr>
                <w:sz w:val="22"/>
                <w:szCs w:val="22"/>
              </w:rPr>
            </w:pPr>
            <w:r w:rsidRPr="00397070">
              <w:rPr>
                <w:sz w:val="22"/>
                <w:szCs w:val="22"/>
              </w:rPr>
              <w:t>General fund</w:t>
            </w:r>
          </w:p>
        </w:tc>
        <w:tc>
          <w:tcPr>
            <w:tcW w:w="1172" w:type="dxa"/>
            <w:shd w:val="clear" w:color="auto" w:fill="auto"/>
          </w:tcPr>
          <w:p w:rsidR="005274B5" w:rsidRPr="0024225A" w:rsidRDefault="005274B5" w:rsidP="007061E6">
            <w:pPr>
              <w:tabs>
                <w:tab w:val="decimal" w:pos="884"/>
              </w:tabs>
              <w:rPr>
                <w:sz w:val="22"/>
                <w:szCs w:val="22"/>
              </w:rPr>
            </w:pPr>
            <w:r w:rsidRPr="0024225A">
              <w:rPr>
                <w:sz w:val="22"/>
                <w:szCs w:val="22"/>
              </w:rPr>
              <w:t>(10,</w:t>
            </w:r>
            <w:r w:rsidR="007061E6">
              <w:rPr>
                <w:sz w:val="22"/>
                <w:szCs w:val="22"/>
              </w:rPr>
              <w:t>246</w:t>
            </w:r>
            <w:r w:rsidRPr="0024225A">
              <w:rPr>
                <w:sz w:val="22"/>
                <w:szCs w:val="22"/>
              </w:rPr>
              <w:t>)</w:t>
            </w:r>
          </w:p>
        </w:tc>
        <w:tc>
          <w:tcPr>
            <w:tcW w:w="1242" w:type="dxa"/>
            <w:shd w:val="clear" w:color="auto" w:fill="auto"/>
          </w:tcPr>
          <w:p w:rsidR="005274B5" w:rsidRPr="0024225A" w:rsidRDefault="005274B5" w:rsidP="007061E6">
            <w:pPr>
              <w:tabs>
                <w:tab w:val="decimal" w:pos="884"/>
              </w:tabs>
              <w:rPr>
                <w:sz w:val="22"/>
                <w:szCs w:val="22"/>
              </w:rPr>
            </w:pPr>
            <w:r>
              <w:rPr>
                <w:sz w:val="22"/>
                <w:szCs w:val="22"/>
              </w:rPr>
              <w:t>(</w:t>
            </w:r>
            <w:r w:rsidR="007061E6">
              <w:rPr>
                <w:sz w:val="22"/>
                <w:szCs w:val="22"/>
              </w:rPr>
              <w:t>266</w:t>
            </w:r>
            <w:r>
              <w:rPr>
                <w:sz w:val="22"/>
                <w:szCs w:val="22"/>
              </w:rPr>
              <w:t>)</w:t>
            </w:r>
          </w:p>
        </w:tc>
        <w:tc>
          <w:tcPr>
            <w:tcW w:w="1168" w:type="dxa"/>
            <w:shd w:val="clear" w:color="auto" w:fill="auto"/>
          </w:tcPr>
          <w:p w:rsidR="005274B5" w:rsidRPr="0024225A" w:rsidRDefault="005274B5" w:rsidP="005274B5">
            <w:pPr>
              <w:tabs>
                <w:tab w:val="decimal" w:pos="884"/>
              </w:tabs>
              <w:rPr>
                <w:sz w:val="22"/>
                <w:szCs w:val="22"/>
              </w:rPr>
            </w:pPr>
            <w:r>
              <w:rPr>
                <w:sz w:val="22"/>
                <w:szCs w:val="22"/>
              </w:rPr>
              <w:t>-</w:t>
            </w:r>
          </w:p>
        </w:tc>
        <w:tc>
          <w:tcPr>
            <w:tcW w:w="1133" w:type="dxa"/>
            <w:shd w:val="clear" w:color="auto" w:fill="auto"/>
          </w:tcPr>
          <w:p w:rsidR="005274B5" w:rsidRPr="0024225A" w:rsidRDefault="005274B5" w:rsidP="007061E6">
            <w:pPr>
              <w:tabs>
                <w:tab w:val="decimal" w:pos="884"/>
              </w:tabs>
              <w:rPr>
                <w:sz w:val="22"/>
                <w:szCs w:val="22"/>
              </w:rPr>
            </w:pPr>
            <w:r>
              <w:rPr>
                <w:sz w:val="22"/>
                <w:szCs w:val="22"/>
              </w:rPr>
              <w:t>(10,</w:t>
            </w:r>
            <w:r w:rsidR="007061E6">
              <w:rPr>
                <w:sz w:val="22"/>
                <w:szCs w:val="22"/>
              </w:rPr>
              <w:t>512</w:t>
            </w:r>
            <w:r>
              <w:rPr>
                <w:sz w:val="22"/>
                <w:szCs w:val="22"/>
              </w:rPr>
              <w:t>)</w:t>
            </w:r>
          </w:p>
        </w:tc>
        <w:tc>
          <w:tcPr>
            <w:tcW w:w="1236" w:type="dxa"/>
            <w:shd w:val="clear" w:color="auto" w:fill="auto"/>
          </w:tcPr>
          <w:p w:rsidR="005274B5" w:rsidRPr="0024225A" w:rsidRDefault="00945A5F" w:rsidP="007061E6">
            <w:pPr>
              <w:tabs>
                <w:tab w:val="decimal" w:pos="884"/>
              </w:tabs>
              <w:rPr>
                <w:sz w:val="22"/>
                <w:szCs w:val="22"/>
              </w:rPr>
            </w:pPr>
            <w:r>
              <w:rPr>
                <w:sz w:val="22"/>
                <w:szCs w:val="22"/>
              </w:rPr>
              <w:t>(</w:t>
            </w:r>
            <w:r w:rsidR="007061E6">
              <w:rPr>
                <w:sz w:val="22"/>
                <w:szCs w:val="22"/>
              </w:rPr>
              <w:t>16</w:t>
            </w:r>
            <w:r>
              <w:rPr>
                <w:sz w:val="22"/>
                <w:szCs w:val="22"/>
              </w:rPr>
              <w:t>)</w:t>
            </w:r>
          </w:p>
        </w:tc>
        <w:tc>
          <w:tcPr>
            <w:tcW w:w="1170" w:type="dxa"/>
            <w:shd w:val="clear" w:color="auto" w:fill="auto"/>
          </w:tcPr>
          <w:p w:rsidR="005274B5" w:rsidRPr="0024225A" w:rsidRDefault="00945A5F" w:rsidP="00045E3F">
            <w:pPr>
              <w:tabs>
                <w:tab w:val="decimal" w:pos="884"/>
              </w:tabs>
              <w:rPr>
                <w:sz w:val="22"/>
                <w:szCs w:val="22"/>
              </w:rPr>
            </w:pPr>
            <w:r>
              <w:rPr>
                <w:sz w:val="22"/>
                <w:szCs w:val="22"/>
              </w:rPr>
              <w:t>2,62</w:t>
            </w:r>
            <w:r w:rsidR="00045E3F">
              <w:rPr>
                <w:sz w:val="22"/>
                <w:szCs w:val="22"/>
              </w:rPr>
              <w:t>9</w:t>
            </w:r>
          </w:p>
        </w:tc>
        <w:tc>
          <w:tcPr>
            <w:tcW w:w="1138" w:type="dxa"/>
            <w:shd w:val="clear" w:color="auto" w:fill="auto"/>
          </w:tcPr>
          <w:p w:rsidR="005274B5" w:rsidRPr="0024225A" w:rsidRDefault="00945A5F" w:rsidP="007061E6">
            <w:pPr>
              <w:tabs>
                <w:tab w:val="decimal" w:pos="884"/>
              </w:tabs>
              <w:rPr>
                <w:sz w:val="22"/>
                <w:szCs w:val="22"/>
              </w:rPr>
            </w:pPr>
            <w:r>
              <w:rPr>
                <w:sz w:val="22"/>
                <w:szCs w:val="22"/>
              </w:rPr>
              <w:t>(7,</w:t>
            </w:r>
            <w:r w:rsidR="007061E6">
              <w:rPr>
                <w:sz w:val="22"/>
                <w:szCs w:val="22"/>
              </w:rPr>
              <w:t>899</w:t>
            </w:r>
            <w:r>
              <w:rPr>
                <w:sz w:val="22"/>
                <w:szCs w:val="22"/>
              </w:rPr>
              <w:t>)</w:t>
            </w:r>
          </w:p>
        </w:tc>
      </w:tr>
      <w:tr w:rsidR="005274B5" w:rsidRPr="00397070" w:rsidTr="00397070">
        <w:tc>
          <w:tcPr>
            <w:tcW w:w="2197" w:type="dxa"/>
            <w:shd w:val="clear" w:color="auto" w:fill="auto"/>
          </w:tcPr>
          <w:p w:rsidR="005274B5" w:rsidRPr="00397070" w:rsidRDefault="005274B5" w:rsidP="00D90216">
            <w:pPr>
              <w:rPr>
                <w:sz w:val="22"/>
                <w:szCs w:val="22"/>
              </w:rPr>
            </w:pPr>
          </w:p>
        </w:tc>
        <w:tc>
          <w:tcPr>
            <w:tcW w:w="1172" w:type="dxa"/>
            <w:shd w:val="clear" w:color="auto" w:fill="auto"/>
          </w:tcPr>
          <w:p w:rsidR="005274B5" w:rsidRPr="009B6E08" w:rsidRDefault="005274B5" w:rsidP="005274B5">
            <w:pPr>
              <w:tabs>
                <w:tab w:val="decimal" w:pos="884"/>
              </w:tabs>
              <w:rPr>
                <w:sz w:val="22"/>
                <w:szCs w:val="22"/>
                <w:highlight w:val="yellow"/>
              </w:rPr>
            </w:pPr>
          </w:p>
        </w:tc>
        <w:tc>
          <w:tcPr>
            <w:tcW w:w="1242" w:type="dxa"/>
            <w:shd w:val="clear" w:color="auto" w:fill="auto"/>
          </w:tcPr>
          <w:p w:rsidR="005274B5" w:rsidRPr="009B6E08" w:rsidRDefault="005274B5" w:rsidP="005274B5">
            <w:pPr>
              <w:tabs>
                <w:tab w:val="decimal" w:pos="884"/>
              </w:tabs>
              <w:rPr>
                <w:sz w:val="22"/>
                <w:szCs w:val="22"/>
                <w:highlight w:val="yellow"/>
              </w:rPr>
            </w:pPr>
          </w:p>
        </w:tc>
        <w:tc>
          <w:tcPr>
            <w:tcW w:w="1168" w:type="dxa"/>
            <w:shd w:val="clear" w:color="auto" w:fill="auto"/>
          </w:tcPr>
          <w:p w:rsidR="005274B5" w:rsidRPr="009B6E08" w:rsidRDefault="005274B5" w:rsidP="005274B5">
            <w:pPr>
              <w:tabs>
                <w:tab w:val="decimal" w:pos="884"/>
              </w:tabs>
              <w:rPr>
                <w:sz w:val="22"/>
                <w:szCs w:val="22"/>
                <w:highlight w:val="yellow"/>
              </w:rPr>
            </w:pPr>
          </w:p>
        </w:tc>
        <w:tc>
          <w:tcPr>
            <w:tcW w:w="1133" w:type="dxa"/>
            <w:shd w:val="clear" w:color="auto" w:fill="auto"/>
          </w:tcPr>
          <w:p w:rsidR="005274B5" w:rsidRPr="009B6E08" w:rsidRDefault="005274B5" w:rsidP="005274B5">
            <w:pPr>
              <w:tabs>
                <w:tab w:val="decimal" w:pos="884"/>
              </w:tabs>
              <w:rPr>
                <w:sz w:val="22"/>
                <w:szCs w:val="22"/>
                <w:highlight w:val="yellow"/>
              </w:rPr>
            </w:pPr>
          </w:p>
        </w:tc>
        <w:tc>
          <w:tcPr>
            <w:tcW w:w="1236" w:type="dxa"/>
            <w:shd w:val="clear" w:color="auto" w:fill="auto"/>
          </w:tcPr>
          <w:p w:rsidR="005274B5" w:rsidRPr="009B6E08" w:rsidRDefault="005274B5" w:rsidP="00397070">
            <w:pPr>
              <w:tabs>
                <w:tab w:val="decimal" w:pos="884"/>
              </w:tabs>
              <w:rPr>
                <w:sz w:val="22"/>
                <w:szCs w:val="22"/>
                <w:highlight w:val="yellow"/>
              </w:rPr>
            </w:pPr>
          </w:p>
        </w:tc>
        <w:tc>
          <w:tcPr>
            <w:tcW w:w="1170" w:type="dxa"/>
            <w:shd w:val="clear" w:color="auto" w:fill="auto"/>
          </w:tcPr>
          <w:p w:rsidR="005274B5" w:rsidRPr="009B6E08" w:rsidRDefault="005274B5" w:rsidP="00397070">
            <w:pPr>
              <w:tabs>
                <w:tab w:val="decimal" w:pos="884"/>
              </w:tabs>
              <w:rPr>
                <w:sz w:val="22"/>
                <w:szCs w:val="22"/>
                <w:highlight w:val="yellow"/>
              </w:rPr>
            </w:pPr>
          </w:p>
        </w:tc>
        <w:tc>
          <w:tcPr>
            <w:tcW w:w="1138" w:type="dxa"/>
            <w:shd w:val="clear" w:color="auto" w:fill="auto"/>
          </w:tcPr>
          <w:p w:rsidR="005274B5" w:rsidRPr="009B6E08" w:rsidRDefault="005274B5" w:rsidP="00397070">
            <w:pPr>
              <w:tabs>
                <w:tab w:val="decimal" w:pos="884"/>
              </w:tabs>
              <w:rPr>
                <w:sz w:val="22"/>
                <w:szCs w:val="22"/>
                <w:highlight w:val="yellow"/>
              </w:rPr>
            </w:pPr>
          </w:p>
        </w:tc>
      </w:tr>
      <w:tr w:rsidR="005274B5" w:rsidRPr="00397070" w:rsidTr="00397070">
        <w:tc>
          <w:tcPr>
            <w:tcW w:w="2197" w:type="dxa"/>
            <w:shd w:val="clear" w:color="auto" w:fill="auto"/>
          </w:tcPr>
          <w:p w:rsidR="005274B5" w:rsidRPr="00397070" w:rsidRDefault="005274B5" w:rsidP="00397070">
            <w:pPr>
              <w:ind w:left="142"/>
              <w:rPr>
                <w:sz w:val="22"/>
                <w:szCs w:val="22"/>
              </w:rPr>
            </w:pPr>
            <w:r w:rsidRPr="00397070">
              <w:rPr>
                <w:sz w:val="22"/>
                <w:szCs w:val="22"/>
              </w:rPr>
              <w:t>Earmarked Reserves</w:t>
            </w:r>
          </w:p>
        </w:tc>
        <w:tc>
          <w:tcPr>
            <w:tcW w:w="1172" w:type="dxa"/>
            <w:shd w:val="clear" w:color="auto" w:fill="auto"/>
          </w:tcPr>
          <w:p w:rsidR="005274B5" w:rsidRPr="0024225A" w:rsidRDefault="005274B5" w:rsidP="005274B5">
            <w:pPr>
              <w:tabs>
                <w:tab w:val="decimal" w:pos="884"/>
              </w:tabs>
              <w:rPr>
                <w:sz w:val="22"/>
                <w:szCs w:val="22"/>
              </w:rPr>
            </w:pPr>
          </w:p>
          <w:p w:rsidR="005274B5" w:rsidRPr="0024225A" w:rsidRDefault="005274B5" w:rsidP="00D232FD">
            <w:pPr>
              <w:tabs>
                <w:tab w:val="decimal" w:pos="884"/>
              </w:tabs>
              <w:rPr>
                <w:sz w:val="22"/>
                <w:szCs w:val="22"/>
              </w:rPr>
            </w:pPr>
            <w:r w:rsidRPr="0024225A">
              <w:rPr>
                <w:sz w:val="22"/>
                <w:szCs w:val="22"/>
              </w:rPr>
              <w:t>(</w:t>
            </w:r>
            <w:r w:rsidR="00D232FD">
              <w:rPr>
                <w:sz w:val="22"/>
                <w:szCs w:val="22"/>
              </w:rPr>
              <w:t>6</w:t>
            </w:r>
            <w:r w:rsidRPr="0024225A">
              <w:rPr>
                <w:sz w:val="22"/>
                <w:szCs w:val="22"/>
              </w:rPr>
              <w:t>,</w:t>
            </w:r>
            <w:r w:rsidR="00D232FD">
              <w:rPr>
                <w:sz w:val="22"/>
                <w:szCs w:val="22"/>
              </w:rPr>
              <w:t>078</w:t>
            </w:r>
            <w:r w:rsidRPr="0024225A">
              <w:rPr>
                <w:sz w:val="22"/>
                <w:szCs w:val="22"/>
              </w:rPr>
              <w:t>)</w:t>
            </w:r>
          </w:p>
        </w:tc>
        <w:tc>
          <w:tcPr>
            <w:tcW w:w="1242" w:type="dxa"/>
            <w:shd w:val="clear" w:color="auto" w:fill="auto"/>
          </w:tcPr>
          <w:p w:rsidR="005274B5" w:rsidRDefault="005274B5" w:rsidP="005274B5">
            <w:pPr>
              <w:tabs>
                <w:tab w:val="decimal" w:pos="884"/>
              </w:tabs>
              <w:rPr>
                <w:sz w:val="22"/>
                <w:szCs w:val="22"/>
              </w:rPr>
            </w:pPr>
          </w:p>
          <w:p w:rsidR="005274B5" w:rsidRPr="00253F6A" w:rsidRDefault="005274B5" w:rsidP="00D232FD">
            <w:pPr>
              <w:tabs>
                <w:tab w:val="decimal" w:pos="884"/>
              </w:tabs>
              <w:rPr>
                <w:sz w:val="22"/>
                <w:szCs w:val="22"/>
              </w:rPr>
            </w:pPr>
            <w:r>
              <w:rPr>
                <w:sz w:val="22"/>
                <w:szCs w:val="22"/>
              </w:rPr>
              <w:t>(</w:t>
            </w:r>
            <w:r w:rsidR="00D232FD">
              <w:rPr>
                <w:sz w:val="22"/>
                <w:szCs w:val="22"/>
              </w:rPr>
              <w:t>249</w:t>
            </w:r>
            <w:r>
              <w:rPr>
                <w:sz w:val="22"/>
                <w:szCs w:val="22"/>
              </w:rPr>
              <w:t>)</w:t>
            </w:r>
          </w:p>
        </w:tc>
        <w:tc>
          <w:tcPr>
            <w:tcW w:w="1168" w:type="dxa"/>
            <w:shd w:val="clear" w:color="auto" w:fill="auto"/>
          </w:tcPr>
          <w:p w:rsidR="005274B5" w:rsidRDefault="005274B5" w:rsidP="005274B5">
            <w:pPr>
              <w:tabs>
                <w:tab w:val="decimal" w:pos="884"/>
              </w:tabs>
              <w:rPr>
                <w:sz w:val="22"/>
                <w:szCs w:val="22"/>
              </w:rPr>
            </w:pPr>
          </w:p>
          <w:p w:rsidR="005274B5" w:rsidRPr="00253F6A" w:rsidRDefault="005274B5" w:rsidP="00D232FD">
            <w:pPr>
              <w:tabs>
                <w:tab w:val="decimal" w:pos="884"/>
              </w:tabs>
              <w:rPr>
                <w:sz w:val="22"/>
                <w:szCs w:val="22"/>
              </w:rPr>
            </w:pPr>
            <w:r>
              <w:rPr>
                <w:sz w:val="22"/>
                <w:szCs w:val="22"/>
              </w:rPr>
              <w:t>2,</w:t>
            </w:r>
            <w:r w:rsidR="00D232FD">
              <w:rPr>
                <w:sz w:val="22"/>
                <w:szCs w:val="22"/>
              </w:rPr>
              <w:t>408</w:t>
            </w:r>
          </w:p>
        </w:tc>
        <w:tc>
          <w:tcPr>
            <w:tcW w:w="1133" w:type="dxa"/>
            <w:shd w:val="clear" w:color="auto" w:fill="auto"/>
          </w:tcPr>
          <w:p w:rsidR="005274B5" w:rsidRDefault="005274B5" w:rsidP="005274B5">
            <w:pPr>
              <w:tabs>
                <w:tab w:val="decimal" w:pos="884"/>
              </w:tabs>
              <w:rPr>
                <w:sz w:val="22"/>
                <w:szCs w:val="22"/>
              </w:rPr>
            </w:pPr>
          </w:p>
          <w:p w:rsidR="005274B5" w:rsidRPr="0024225A" w:rsidRDefault="005274B5" w:rsidP="00D232FD">
            <w:pPr>
              <w:tabs>
                <w:tab w:val="decimal" w:pos="884"/>
              </w:tabs>
              <w:rPr>
                <w:sz w:val="22"/>
                <w:szCs w:val="22"/>
              </w:rPr>
            </w:pPr>
            <w:r>
              <w:rPr>
                <w:sz w:val="22"/>
                <w:szCs w:val="22"/>
              </w:rPr>
              <w:t>(3,</w:t>
            </w:r>
            <w:r w:rsidR="00D232FD">
              <w:rPr>
                <w:sz w:val="22"/>
                <w:szCs w:val="22"/>
              </w:rPr>
              <w:t>919</w:t>
            </w:r>
            <w:r>
              <w:rPr>
                <w:sz w:val="22"/>
                <w:szCs w:val="22"/>
              </w:rPr>
              <w:t>)</w:t>
            </w:r>
          </w:p>
        </w:tc>
        <w:tc>
          <w:tcPr>
            <w:tcW w:w="1236" w:type="dxa"/>
            <w:shd w:val="clear" w:color="auto" w:fill="auto"/>
          </w:tcPr>
          <w:p w:rsidR="005274B5" w:rsidRDefault="005274B5" w:rsidP="0024225A">
            <w:pPr>
              <w:tabs>
                <w:tab w:val="decimal" w:pos="884"/>
              </w:tabs>
              <w:rPr>
                <w:sz w:val="22"/>
                <w:szCs w:val="22"/>
              </w:rPr>
            </w:pPr>
          </w:p>
          <w:p w:rsidR="00945A5F" w:rsidRPr="00253F6A" w:rsidRDefault="00945A5F" w:rsidP="00D232FD">
            <w:pPr>
              <w:tabs>
                <w:tab w:val="decimal" w:pos="884"/>
              </w:tabs>
              <w:rPr>
                <w:sz w:val="22"/>
                <w:szCs w:val="22"/>
              </w:rPr>
            </w:pPr>
            <w:r>
              <w:rPr>
                <w:sz w:val="22"/>
                <w:szCs w:val="22"/>
              </w:rPr>
              <w:t>(1,0</w:t>
            </w:r>
            <w:r w:rsidR="00D232FD">
              <w:rPr>
                <w:sz w:val="22"/>
                <w:szCs w:val="22"/>
              </w:rPr>
              <w:t>5</w:t>
            </w:r>
            <w:r>
              <w:rPr>
                <w:sz w:val="22"/>
                <w:szCs w:val="22"/>
              </w:rPr>
              <w:t>4)</w:t>
            </w:r>
          </w:p>
        </w:tc>
        <w:tc>
          <w:tcPr>
            <w:tcW w:w="1170" w:type="dxa"/>
            <w:shd w:val="clear" w:color="auto" w:fill="auto"/>
          </w:tcPr>
          <w:p w:rsidR="005274B5" w:rsidRDefault="005274B5" w:rsidP="004A5304">
            <w:pPr>
              <w:tabs>
                <w:tab w:val="decimal" w:pos="884"/>
              </w:tabs>
              <w:rPr>
                <w:sz w:val="22"/>
                <w:szCs w:val="22"/>
              </w:rPr>
            </w:pPr>
          </w:p>
          <w:p w:rsidR="00945A5F" w:rsidRPr="00253F6A" w:rsidRDefault="00945A5F" w:rsidP="00D232FD">
            <w:pPr>
              <w:tabs>
                <w:tab w:val="decimal" w:pos="884"/>
              </w:tabs>
              <w:rPr>
                <w:sz w:val="22"/>
                <w:szCs w:val="22"/>
              </w:rPr>
            </w:pPr>
            <w:r>
              <w:rPr>
                <w:sz w:val="22"/>
                <w:szCs w:val="22"/>
              </w:rPr>
              <w:t>1,</w:t>
            </w:r>
            <w:r w:rsidR="00D232FD">
              <w:rPr>
                <w:sz w:val="22"/>
                <w:szCs w:val="22"/>
              </w:rPr>
              <w:t>417</w:t>
            </w:r>
          </w:p>
        </w:tc>
        <w:tc>
          <w:tcPr>
            <w:tcW w:w="1138" w:type="dxa"/>
            <w:shd w:val="clear" w:color="auto" w:fill="auto"/>
          </w:tcPr>
          <w:p w:rsidR="005274B5" w:rsidRDefault="005274B5" w:rsidP="0024225A">
            <w:pPr>
              <w:tabs>
                <w:tab w:val="decimal" w:pos="884"/>
              </w:tabs>
              <w:rPr>
                <w:sz w:val="22"/>
                <w:szCs w:val="22"/>
              </w:rPr>
            </w:pPr>
          </w:p>
          <w:p w:rsidR="00945A5F" w:rsidRPr="0024225A" w:rsidRDefault="00945A5F" w:rsidP="00D232FD">
            <w:pPr>
              <w:tabs>
                <w:tab w:val="decimal" w:pos="884"/>
              </w:tabs>
              <w:rPr>
                <w:sz w:val="22"/>
                <w:szCs w:val="22"/>
              </w:rPr>
            </w:pPr>
            <w:r>
              <w:rPr>
                <w:sz w:val="22"/>
                <w:szCs w:val="22"/>
              </w:rPr>
              <w:t>(3,</w:t>
            </w:r>
            <w:r w:rsidR="00D232FD">
              <w:rPr>
                <w:sz w:val="22"/>
                <w:szCs w:val="22"/>
              </w:rPr>
              <w:t>556</w:t>
            </w:r>
            <w:r>
              <w:rPr>
                <w:sz w:val="22"/>
                <w:szCs w:val="22"/>
              </w:rPr>
              <w:t>)</w:t>
            </w:r>
          </w:p>
        </w:tc>
      </w:tr>
      <w:tr w:rsidR="005274B5" w:rsidRPr="00397070" w:rsidTr="00397070">
        <w:tc>
          <w:tcPr>
            <w:tcW w:w="2197" w:type="dxa"/>
            <w:shd w:val="clear" w:color="auto" w:fill="auto"/>
          </w:tcPr>
          <w:p w:rsidR="005274B5" w:rsidRPr="00397070" w:rsidRDefault="005274B5" w:rsidP="00D232FD">
            <w:pPr>
              <w:ind w:left="142"/>
              <w:rPr>
                <w:sz w:val="22"/>
                <w:szCs w:val="22"/>
              </w:rPr>
            </w:pPr>
            <w:r w:rsidRPr="00397070">
              <w:rPr>
                <w:sz w:val="22"/>
                <w:szCs w:val="22"/>
              </w:rPr>
              <w:t xml:space="preserve">PFI Equalisation </w:t>
            </w:r>
            <w:r w:rsidR="00D232FD">
              <w:rPr>
                <w:sz w:val="22"/>
                <w:szCs w:val="22"/>
              </w:rPr>
              <w:t>Reserves</w:t>
            </w:r>
          </w:p>
        </w:tc>
        <w:tc>
          <w:tcPr>
            <w:tcW w:w="1172" w:type="dxa"/>
            <w:tcBorders>
              <w:bottom w:val="single" w:sz="4" w:space="0" w:color="auto"/>
            </w:tcBorders>
            <w:shd w:val="clear" w:color="auto" w:fill="auto"/>
          </w:tcPr>
          <w:p w:rsidR="005274B5" w:rsidRPr="0024225A" w:rsidRDefault="005274B5" w:rsidP="005274B5">
            <w:pPr>
              <w:tabs>
                <w:tab w:val="decimal" w:pos="884"/>
              </w:tabs>
              <w:rPr>
                <w:sz w:val="22"/>
                <w:szCs w:val="22"/>
              </w:rPr>
            </w:pPr>
          </w:p>
          <w:p w:rsidR="005274B5" w:rsidRPr="0024225A" w:rsidRDefault="005274B5" w:rsidP="005274B5">
            <w:pPr>
              <w:tabs>
                <w:tab w:val="decimal" w:pos="884"/>
              </w:tabs>
              <w:rPr>
                <w:sz w:val="22"/>
                <w:szCs w:val="22"/>
              </w:rPr>
            </w:pPr>
            <w:r w:rsidRPr="0024225A">
              <w:rPr>
                <w:sz w:val="22"/>
                <w:szCs w:val="22"/>
              </w:rPr>
              <w:t>(3,440)</w:t>
            </w:r>
          </w:p>
        </w:tc>
        <w:tc>
          <w:tcPr>
            <w:tcW w:w="1242" w:type="dxa"/>
            <w:tcBorders>
              <w:bottom w:val="single" w:sz="4" w:space="0" w:color="auto"/>
            </w:tcBorders>
            <w:shd w:val="clear" w:color="auto" w:fill="auto"/>
          </w:tcPr>
          <w:p w:rsidR="005274B5" w:rsidRDefault="005274B5" w:rsidP="005274B5">
            <w:pPr>
              <w:tabs>
                <w:tab w:val="decimal" w:pos="884"/>
              </w:tabs>
              <w:rPr>
                <w:sz w:val="22"/>
                <w:szCs w:val="22"/>
              </w:rPr>
            </w:pPr>
          </w:p>
          <w:p w:rsidR="005274B5" w:rsidRPr="00253F6A" w:rsidRDefault="005274B5" w:rsidP="005274B5">
            <w:pPr>
              <w:tabs>
                <w:tab w:val="decimal" w:pos="884"/>
              </w:tabs>
              <w:rPr>
                <w:sz w:val="22"/>
                <w:szCs w:val="22"/>
              </w:rPr>
            </w:pPr>
            <w:r>
              <w:rPr>
                <w:sz w:val="22"/>
                <w:szCs w:val="22"/>
              </w:rPr>
              <w:t>(125)</w:t>
            </w:r>
          </w:p>
        </w:tc>
        <w:tc>
          <w:tcPr>
            <w:tcW w:w="1168" w:type="dxa"/>
            <w:tcBorders>
              <w:bottom w:val="single" w:sz="4" w:space="0" w:color="auto"/>
            </w:tcBorders>
            <w:shd w:val="clear" w:color="auto" w:fill="auto"/>
          </w:tcPr>
          <w:p w:rsidR="005274B5" w:rsidRDefault="005274B5" w:rsidP="005274B5">
            <w:pPr>
              <w:tabs>
                <w:tab w:val="decimal" w:pos="884"/>
              </w:tabs>
              <w:rPr>
                <w:sz w:val="22"/>
                <w:szCs w:val="22"/>
              </w:rPr>
            </w:pPr>
          </w:p>
          <w:p w:rsidR="005274B5" w:rsidRPr="00253F6A" w:rsidRDefault="005274B5" w:rsidP="005274B5">
            <w:pPr>
              <w:tabs>
                <w:tab w:val="decimal" w:pos="884"/>
              </w:tabs>
              <w:rPr>
                <w:sz w:val="22"/>
                <w:szCs w:val="22"/>
              </w:rPr>
            </w:pPr>
            <w:r>
              <w:rPr>
                <w:sz w:val="22"/>
                <w:szCs w:val="22"/>
              </w:rPr>
              <w:t>28</w:t>
            </w:r>
          </w:p>
        </w:tc>
        <w:tc>
          <w:tcPr>
            <w:tcW w:w="1133" w:type="dxa"/>
            <w:tcBorders>
              <w:bottom w:val="single" w:sz="4" w:space="0" w:color="auto"/>
            </w:tcBorders>
            <w:shd w:val="clear" w:color="auto" w:fill="auto"/>
          </w:tcPr>
          <w:p w:rsidR="005274B5" w:rsidRDefault="005274B5" w:rsidP="005274B5">
            <w:pPr>
              <w:tabs>
                <w:tab w:val="decimal" w:pos="884"/>
              </w:tabs>
              <w:rPr>
                <w:sz w:val="22"/>
                <w:szCs w:val="22"/>
              </w:rPr>
            </w:pPr>
          </w:p>
          <w:p w:rsidR="005274B5" w:rsidRPr="0024225A" w:rsidRDefault="005274B5" w:rsidP="005274B5">
            <w:pPr>
              <w:tabs>
                <w:tab w:val="decimal" w:pos="884"/>
              </w:tabs>
              <w:rPr>
                <w:sz w:val="22"/>
                <w:szCs w:val="22"/>
              </w:rPr>
            </w:pPr>
            <w:r>
              <w:rPr>
                <w:sz w:val="22"/>
                <w:szCs w:val="22"/>
              </w:rPr>
              <w:t>(3,537)</w:t>
            </w:r>
          </w:p>
        </w:tc>
        <w:tc>
          <w:tcPr>
            <w:tcW w:w="1236" w:type="dxa"/>
            <w:tcBorders>
              <w:bottom w:val="single" w:sz="4" w:space="0" w:color="auto"/>
            </w:tcBorders>
            <w:shd w:val="clear" w:color="auto" w:fill="auto"/>
          </w:tcPr>
          <w:p w:rsidR="005274B5" w:rsidRDefault="005274B5" w:rsidP="00253F6A">
            <w:pPr>
              <w:tabs>
                <w:tab w:val="decimal" w:pos="884"/>
              </w:tabs>
              <w:rPr>
                <w:sz w:val="22"/>
                <w:szCs w:val="22"/>
              </w:rPr>
            </w:pPr>
          </w:p>
          <w:p w:rsidR="00945A5F" w:rsidRPr="00253F6A" w:rsidRDefault="00945A5F" w:rsidP="00253F6A">
            <w:pPr>
              <w:tabs>
                <w:tab w:val="decimal" w:pos="884"/>
              </w:tabs>
              <w:rPr>
                <w:sz w:val="22"/>
                <w:szCs w:val="22"/>
              </w:rPr>
            </w:pPr>
            <w:r>
              <w:rPr>
                <w:sz w:val="22"/>
                <w:szCs w:val="22"/>
              </w:rPr>
              <w:t>(1,061)</w:t>
            </w:r>
          </w:p>
        </w:tc>
        <w:tc>
          <w:tcPr>
            <w:tcW w:w="1170" w:type="dxa"/>
            <w:tcBorders>
              <w:bottom w:val="single" w:sz="4" w:space="0" w:color="auto"/>
            </w:tcBorders>
            <w:shd w:val="clear" w:color="auto" w:fill="auto"/>
          </w:tcPr>
          <w:p w:rsidR="005274B5" w:rsidRDefault="005274B5" w:rsidP="00397070">
            <w:pPr>
              <w:tabs>
                <w:tab w:val="decimal" w:pos="884"/>
              </w:tabs>
              <w:rPr>
                <w:sz w:val="22"/>
                <w:szCs w:val="22"/>
              </w:rPr>
            </w:pPr>
          </w:p>
          <w:p w:rsidR="00945A5F" w:rsidRPr="00253F6A" w:rsidRDefault="00945A5F" w:rsidP="00397070">
            <w:pPr>
              <w:tabs>
                <w:tab w:val="decimal" w:pos="884"/>
              </w:tabs>
              <w:rPr>
                <w:sz w:val="22"/>
                <w:szCs w:val="22"/>
              </w:rPr>
            </w:pPr>
            <w:r>
              <w:rPr>
                <w:sz w:val="22"/>
                <w:szCs w:val="22"/>
              </w:rPr>
              <w:t>271</w:t>
            </w:r>
          </w:p>
        </w:tc>
        <w:tc>
          <w:tcPr>
            <w:tcW w:w="1138" w:type="dxa"/>
            <w:tcBorders>
              <w:bottom w:val="single" w:sz="4" w:space="0" w:color="auto"/>
            </w:tcBorders>
            <w:shd w:val="clear" w:color="auto" w:fill="auto"/>
          </w:tcPr>
          <w:p w:rsidR="005274B5" w:rsidRDefault="005274B5" w:rsidP="00832859">
            <w:pPr>
              <w:tabs>
                <w:tab w:val="decimal" w:pos="884"/>
              </w:tabs>
              <w:rPr>
                <w:sz w:val="22"/>
                <w:szCs w:val="22"/>
              </w:rPr>
            </w:pPr>
          </w:p>
          <w:p w:rsidR="00945A5F" w:rsidRPr="0024225A" w:rsidRDefault="00945A5F" w:rsidP="00832859">
            <w:pPr>
              <w:tabs>
                <w:tab w:val="decimal" w:pos="884"/>
              </w:tabs>
              <w:rPr>
                <w:sz w:val="22"/>
                <w:szCs w:val="22"/>
              </w:rPr>
            </w:pPr>
            <w:r>
              <w:rPr>
                <w:sz w:val="22"/>
                <w:szCs w:val="22"/>
              </w:rPr>
              <w:t>(4,327)</w:t>
            </w:r>
          </w:p>
        </w:tc>
      </w:tr>
      <w:tr w:rsidR="005274B5" w:rsidRPr="00397070" w:rsidTr="00397070">
        <w:tc>
          <w:tcPr>
            <w:tcW w:w="2197" w:type="dxa"/>
            <w:shd w:val="clear" w:color="auto" w:fill="auto"/>
          </w:tcPr>
          <w:p w:rsidR="005274B5" w:rsidRPr="00397070" w:rsidRDefault="005274B5" w:rsidP="00D90216">
            <w:pPr>
              <w:rPr>
                <w:sz w:val="22"/>
                <w:szCs w:val="22"/>
              </w:rPr>
            </w:pPr>
            <w:r w:rsidRPr="00397070">
              <w:rPr>
                <w:sz w:val="22"/>
                <w:szCs w:val="22"/>
              </w:rPr>
              <w:t>Total Earmarked Reserves</w:t>
            </w:r>
          </w:p>
        </w:tc>
        <w:tc>
          <w:tcPr>
            <w:tcW w:w="1172" w:type="dxa"/>
            <w:tcBorders>
              <w:top w:val="single" w:sz="4" w:space="0" w:color="auto"/>
            </w:tcBorders>
            <w:shd w:val="clear" w:color="auto" w:fill="auto"/>
          </w:tcPr>
          <w:p w:rsidR="005274B5" w:rsidRPr="0024225A" w:rsidRDefault="005274B5" w:rsidP="005274B5">
            <w:pPr>
              <w:tabs>
                <w:tab w:val="decimal" w:pos="884"/>
              </w:tabs>
              <w:rPr>
                <w:sz w:val="22"/>
                <w:szCs w:val="22"/>
              </w:rPr>
            </w:pPr>
          </w:p>
          <w:p w:rsidR="005274B5" w:rsidRPr="0024225A" w:rsidRDefault="005274B5" w:rsidP="005274B5">
            <w:pPr>
              <w:tabs>
                <w:tab w:val="decimal" w:pos="884"/>
              </w:tabs>
              <w:rPr>
                <w:sz w:val="22"/>
                <w:szCs w:val="22"/>
              </w:rPr>
            </w:pPr>
            <w:r w:rsidRPr="0024225A">
              <w:rPr>
                <w:sz w:val="22"/>
                <w:szCs w:val="22"/>
              </w:rPr>
              <w:t>(9,518)</w:t>
            </w:r>
          </w:p>
        </w:tc>
        <w:tc>
          <w:tcPr>
            <w:tcW w:w="1242" w:type="dxa"/>
            <w:tcBorders>
              <w:top w:val="single" w:sz="4" w:space="0" w:color="auto"/>
            </w:tcBorders>
            <w:shd w:val="clear" w:color="auto" w:fill="auto"/>
          </w:tcPr>
          <w:p w:rsidR="005274B5" w:rsidRDefault="005274B5" w:rsidP="005274B5">
            <w:pPr>
              <w:tabs>
                <w:tab w:val="decimal" w:pos="884"/>
              </w:tabs>
              <w:rPr>
                <w:sz w:val="22"/>
                <w:szCs w:val="22"/>
              </w:rPr>
            </w:pPr>
          </w:p>
          <w:p w:rsidR="005274B5" w:rsidRPr="009629F3" w:rsidRDefault="005274B5" w:rsidP="005274B5">
            <w:pPr>
              <w:tabs>
                <w:tab w:val="decimal" w:pos="884"/>
              </w:tabs>
              <w:rPr>
                <w:sz w:val="22"/>
                <w:szCs w:val="22"/>
              </w:rPr>
            </w:pPr>
            <w:r>
              <w:rPr>
                <w:sz w:val="22"/>
                <w:szCs w:val="22"/>
              </w:rPr>
              <w:t>(374)</w:t>
            </w:r>
          </w:p>
        </w:tc>
        <w:tc>
          <w:tcPr>
            <w:tcW w:w="1168" w:type="dxa"/>
            <w:tcBorders>
              <w:top w:val="single" w:sz="4" w:space="0" w:color="auto"/>
            </w:tcBorders>
            <w:shd w:val="clear" w:color="auto" w:fill="auto"/>
          </w:tcPr>
          <w:p w:rsidR="005274B5" w:rsidRDefault="005274B5" w:rsidP="005274B5">
            <w:pPr>
              <w:tabs>
                <w:tab w:val="decimal" w:pos="884"/>
              </w:tabs>
              <w:rPr>
                <w:sz w:val="22"/>
                <w:szCs w:val="22"/>
              </w:rPr>
            </w:pPr>
          </w:p>
          <w:p w:rsidR="005274B5" w:rsidRPr="009629F3" w:rsidRDefault="005274B5" w:rsidP="005274B5">
            <w:pPr>
              <w:tabs>
                <w:tab w:val="decimal" w:pos="884"/>
              </w:tabs>
              <w:rPr>
                <w:sz w:val="22"/>
                <w:szCs w:val="22"/>
              </w:rPr>
            </w:pPr>
            <w:r>
              <w:rPr>
                <w:sz w:val="22"/>
                <w:szCs w:val="22"/>
              </w:rPr>
              <w:t>2,436</w:t>
            </w:r>
          </w:p>
        </w:tc>
        <w:tc>
          <w:tcPr>
            <w:tcW w:w="1133" w:type="dxa"/>
            <w:tcBorders>
              <w:top w:val="single" w:sz="4" w:space="0" w:color="auto"/>
            </w:tcBorders>
            <w:shd w:val="clear" w:color="auto" w:fill="auto"/>
          </w:tcPr>
          <w:p w:rsidR="005274B5" w:rsidRDefault="005274B5" w:rsidP="005274B5">
            <w:pPr>
              <w:tabs>
                <w:tab w:val="decimal" w:pos="884"/>
              </w:tabs>
              <w:rPr>
                <w:sz w:val="22"/>
                <w:szCs w:val="22"/>
              </w:rPr>
            </w:pPr>
          </w:p>
          <w:p w:rsidR="005274B5" w:rsidRPr="0024225A" w:rsidRDefault="005274B5" w:rsidP="005274B5">
            <w:pPr>
              <w:tabs>
                <w:tab w:val="decimal" w:pos="884"/>
              </w:tabs>
              <w:rPr>
                <w:sz w:val="22"/>
                <w:szCs w:val="22"/>
              </w:rPr>
            </w:pPr>
            <w:r w:rsidRPr="006B67AB">
              <w:rPr>
                <w:sz w:val="22"/>
                <w:szCs w:val="22"/>
              </w:rPr>
              <w:t>(7,456)</w:t>
            </w:r>
          </w:p>
        </w:tc>
        <w:tc>
          <w:tcPr>
            <w:tcW w:w="1236" w:type="dxa"/>
            <w:tcBorders>
              <w:top w:val="single" w:sz="4" w:space="0" w:color="auto"/>
            </w:tcBorders>
            <w:shd w:val="clear" w:color="auto" w:fill="auto"/>
          </w:tcPr>
          <w:p w:rsidR="005274B5" w:rsidRPr="0030408D" w:rsidRDefault="005274B5" w:rsidP="00F1136A">
            <w:pPr>
              <w:tabs>
                <w:tab w:val="decimal" w:pos="884"/>
              </w:tabs>
              <w:rPr>
                <w:sz w:val="22"/>
                <w:szCs w:val="22"/>
              </w:rPr>
            </w:pPr>
          </w:p>
          <w:p w:rsidR="00945A5F" w:rsidRPr="0030408D" w:rsidRDefault="00945A5F" w:rsidP="0030408D">
            <w:pPr>
              <w:tabs>
                <w:tab w:val="decimal" w:pos="884"/>
              </w:tabs>
              <w:rPr>
                <w:sz w:val="22"/>
                <w:szCs w:val="22"/>
              </w:rPr>
            </w:pPr>
            <w:r w:rsidRPr="0030408D">
              <w:rPr>
                <w:sz w:val="22"/>
                <w:szCs w:val="22"/>
              </w:rPr>
              <w:t>(2,11</w:t>
            </w:r>
            <w:r w:rsidR="0030408D" w:rsidRPr="0030408D">
              <w:rPr>
                <w:sz w:val="22"/>
                <w:szCs w:val="22"/>
              </w:rPr>
              <w:t>5</w:t>
            </w:r>
            <w:r w:rsidRPr="0030408D">
              <w:rPr>
                <w:sz w:val="22"/>
                <w:szCs w:val="22"/>
              </w:rPr>
              <w:t>)</w:t>
            </w:r>
          </w:p>
        </w:tc>
        <w:tc>
          <w:tcPr>
            <w:tcW w:w="1170" w:type="dxa"/>
            <w:tcBorders>
              <w:top w:val="single" w:sz="4" w:space="0" w:color="auto"/>
            </w:tcBorders>
            <w:shd w:val="clear" w:color="auto" w:fill="auto"/>
          </w:tcPr>
          <w:p w:rsidR="00945A5F" w:rsidRPr="0030408D" w:rsidRDefault="00945A5F" w:rsidP="00397070">
            <w:pPr>
              <w:tabs>
                <w:tab w:val="decimal" w:pos="884"/>
              </w:tabs>
              <w:rPr>
                <w:sz w:val="22"/>
                <w:szCs w:val="22"/>
              </w:rPr>
            </w:pPr>
          </w:p>
          <w:p w:rsidR="00945A5F" w:rsidRPr="0030408D" w:rsidRDefault="00945A5F" w:rsidP="00397070">
            <w:pPr>
              <w:tabs>
                <w:tab w:val="decimal" w:pos="884"/>
              </w:tabs>
              <w:rPr>
                <w:sz w:val="22"/>
                <w:szCs w:val="22"/>
              </w:rPr>
            </w:pPr>
            <w:r w:rsidRPr="0030408D">
              <w:rPr>
                <w:sz w:val="22"/>
                <w:szCs w:val="22"/>
              </w:rPr>
              <w:t>1,688</w:t>
            </w:r>
          </w:p>
        </w:tc>
        <w:tc>
          <w:tcPr>
            <w:tcW w:w="1138" w:type="dxa"/>
            <w:tcBorders>
              <w:top w:val="single" w:sz="4" w:space="0" w:color="auto"/>
            </w:tcBorders>
            <w:shd w:val="clear" w:color="auto" w:fill="auto"/>
          </w:tcPr>
          <w:p w:rsidR="005274B5" w:rsidRPr="0030408D" w:rsidRDefault="005274B5" w:rsidP="0024225A">
            <w:pPr>
              <w:tabs>
                <w:tab w:val="decimal" w:pos="884"/>
              </w:tabs>
              <w:rPr>
                <w:sz w:val="22"/>
                <w:szCs w:val="22"/>
              </w:rPr>
            </w:pPr>
          </w:p>
          <w:p w:rsidR="00945A5F" w:rsidRPr="0030408D" w:rsidRDefault="00945A5F" w:rsidP="00261A8E">
            <w:pPr>
              <w:tabs>
                <w:tab w:val="decimal" w:pos="884"/>
              </w:tabs>
              <w:rPr>
                <w:sz w:val="22"/>
                <w:szCs w:val="22"/>
              </w:rPr>
            </w:pPr>
            <w:r w:rsidRPr="0030408D">
              <w:rPr>
                <w:sz w:val="22"/>
                <w:szCs w:val="22"/>
              </w:rPr>
              <w:t>(7,</w:t>
            </w:r>
            <w:r w:rsidR="00261A8E" w:rsidRPr="0030408D">
              <w:rPr>
                <w:sz w:val="22"/>
                <w:szCs w:val="22"/>
              </w:rPr>
              <w:t>88</w:t>
            </w:r>
            <w:r w:rsidR="00261A8E">
              <w:rPr>
                <w:sz w:val="22"/>
                <w:szCs w:val="22"/>
              </w:rPr>
              <w:t>4</w:t>
            </w:r>
            <w:r w:rsidRPr="0030408D">
              <w:rPr>
                <w:sz w:val="22"/>
                <w:szCs w:val="22"/>
              </w:rPr>
              <w:t>)</w:t>
            </w:r>
          </w:p>
        </w:tc>
      </w:tr>
      <w:tr w:rsidR="005274B5" w:rsidRPr="00397070" w:rsidTr="00397070">
        <w:tc>
          <w:tcPr>
            <w:tcW w:w="2197" w:type="dxa"/>
            <w:shd w:val="clear" w:color="auto" w:fill="auto"/>
          </w:tcPr>
          <w:p w:rsidR="005274B5" w:rsidRPr="00397070" w:rsidRDefault="005274B5" w:rsidP="00D90216">
            <w:pPr>
              <w:rPr>
                <w:sz w:val="22"/>
                <w:szCs w:val="22"/>
              </w:rPr>
            </w:pPr>
          </w:p>
        </w:tc>
        <w:tc>
          <w:tcPr>
            <w:tcW w:w="1172" w:type="dxa"/>
            <w:shd w:val="clear" w:color="auto" w:fill="auto"/>
          </w:tcPr>
          <w:p w:rsidR="005274B5" w:rsidRPr="009B6E08" w:rsidRDefault="005274B5" w:rsidP="005274B5">
            <w:pPr>
              <w:tabs>
                <w:tab w:val="decimal" w:pos="884"/>
              </w:tabs>
              <w:rPr>
                <w:sz w:val="22"/>
                <w:szCs w:val="22"/>
                <w:highlight w:val="yellow"/>
              </w:rPr>
            </w:pPr>
          </w:p>
        </w:tc>
        <w:tc>
          <w:tcPr>
            <w:tcW w:w="1242" w:type="dxa"/>
            <w:shd w:val="clear" w:color="auto" w:fill="auto"/>
          </w:tcPr>
          <w:p w:rsidR="005274B5" w:rsidRPr="009B6E08" w:rsidRDefault="005274B5" w:rsidP="005274B5">
            <w:pPr>
              <w:tabs>
                <w:tab w:val="decimal" w:pos="884"/>
              </w:tabs>
              <w:rPr>
                <w:sz w:val="22"/>
                <w:szCs w:val="22"/>
                <w:highlight w:val="yellow"/>
              </w:rPr>
            </w:pPr>
          </w:p>
        </w:tc>
        <w:tc>
          <w:tcPr>
            <w:tcW w:w="1168" w:type="dxa"/>
            <w:shd w:val="clear" w:color="auto" w:fill="auto"/>
          </w:tcPr>
          <w:p w:rsidR="005274B5" w:rsidRPr="009B6E08" w:rsidRDefault="005274B5" w:rsidP="005274B5">
            <w:pPr>
              <w:tabs>
                <w:tab w:val="decimal" w:pos="884"/>
              </w:tabs>
              <w:rPr>
                <w:sz w:val="22"/>
                <w:szCs w:val="22"/>
                <w:highlight w:val="yellow"/>
              </w:rPr>
            </w:pPr>
          </w:p>
        </w:tc>
        <w:tc>
          <w:tcPr>
            <w:tcW w:w="1133" w:type="dxa"/>
            <w:shd w:val="clear" w:color="auto" w:fill="auto"/>
          </w:tcPr>
          <w:p w:rsidR="005274B5" w:rsidRPr="009B6E08" w:rsidRDefault="005274B5" w:rsidP="005274B5">
            <w:pPr>
              <w:tabs>
                <w:tab w:val="decimal" w:pos="884"/>
              </w:tabs>
              <w:rPr>
                <w:sz w:val="22"/>
                <w:szCs w:val="22"/>
                <w:highlight w:val="yellow"/>
              </w:rPr>
            </w:pPr>
          </w:p>
        </w:tc>
        <w:tc>
          <w:tcPr>
            <w:tcW w:w="1236" w:type="dxa"/>
            <w:shd w:val="clear" w:color="auto" w:fill="auto"/>
          </w:tcPr>
          <w:p w:rsidR="005274B5" w:rsidRPr="009B6E08" w:rsidRDefault="005274B5" w:rsidP="00397070">
            <w:pPr>
              <w:tabs>
                <w:tab w:val="decimal" w:pos="884"/>
              </w:tabs>
              <w:rPr>
                <w:sz w:val="22"/>
                <w:szCs w:val="22"/>
                <w:highlight w:val="yellow"/>
              </w:rPr>
            </w:pPr>
          </w:p>
        </w:tc>
        <w:tc>
          <w:tcPr>
            <w:tcW w:w="1170" w:type="dxa"/>
            <w:shd w:val="clear" w:color="auto" w:fill="auto"/>
          </w:tcPr>
          <w:p w:rsidR="005274B5" w:rsidRPr="009B6E08" w:rsidRDefault="005274B5" w:rsidP="00397070">
            <w:pPr>
              <w:tabs>
                <w:tab w:val="decimal" w:pos="884"/>
              </w:tabs>
              <w:rPr>
                <w:sz w:val="22"/>
                <w:szCs w:val="22"/>
                <w:highlight w:val="yellow"/>
              </w:rPr>
            </w:pPr>
          </w:p>
        </w:tc>
        <w:tc>
          <w:tcPr>
            <w:tcW w:w="1138" w:type="dxa"/>
            <w:shd w:val="clear" w:color="auto" w:fill="auto"/>
          </w:tcPr>
          <w:p w:rsidR="005274B5" w:rsidRPr="009B6E08" w:rsidRDefault="005274B5" w:rsidP="00397070">
            <w:pPr>
              <w:tabs>
                <w:tab w:val="decimal" w:pos="884"/>
              </w:tabs>
              <w:rPr>
                <w:sz w:val="22"/>
                <w:szCs w:val="22"/>
                <w:highlight w:val="yellow"/>
              </w:rPr>
            </w:pPr>
          </w:p>
        </w:tc>
      </w:tr>
      <w:tr w:rsidR="005274B5" w:rsidRPr="00397070" w:rsidTr="00397070">
        <w:tc>
          <w:tcPr>
            <w:tcW w:w="2197" w:type="dxa"/>
            <w:shd w:val="clear" w:color="auto" w:fill="auto"/>
          </w:tcPr>
          <w:p w:rsidR="005274B5" w:rsidRPr="00397070" w:rsidRDefault="005274B5" w:rsidP="00D90216">
            <w:pPr>
              <w:rPr>
                <w:sz w:val="22"/>
                <w:szCs w:val="22"/>
              </w:rPr>
            </w:pPr>
            <w:r w:rsidRPr="00397070">
              <w:rPr>
                <w:sz w:val="22"/>
                <w:szCs w:val="22"/>
              </w:rPr>
              <w:t>Capital funding reserve</w:t>
            </w:r>
          </w:p>
        </w:tc>
        <w:tc>
          <w:tcPr>
            <w:tcW w:w="1172" w:type="dxa"/>
            <w:shd w:val="clear" w:color="auto" w:fill="auto"/>
          </w:tcPr>
          <w:p w:rsidR="005274B5" w:rsidRPr="001A5E02"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sidRPr="001A5E02">
              <w:rPr>
                <w:sz w:val="22"/>
                <w:szCs w:val="22"/>
              </w:rPr>
              <w:t>(10,284)</w:t>
            </w:r>
          </w:p>
        </w:tc>
        <w:tc>
          <w:tcPr>
            <w:tcW w:w="1242"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(6,349)</w:t>
            </w:r>
          </w:p>
        </w:tc>
        <w:tc>
          <w:tcPr>
            <w:tcW w:w="1168"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w:t>
            </w:r>
          </w:p>
        </w:tc>
        <w:tc>
          <w:tcPr>
            <w:tcW w:w="1133"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(16,633)</w:t>
            </w:r>
          </w:p>
        </w:tc>
        <w:tc>
          <w:tcPr>
            <w:tcW w:w="1236" w:type="dxa"/>
            <w:shd w:val="clear" w:color="auto" w:fill="auto"/>
          </w:tcPr>
          <w:p w:rsidR="005274B5" w:rsidRDefault="005274B5" w:rsidP="001A5E02">
            <w:pPr>
              <w:tabs>
                <w:tab w:val="decimal" w:pos="884"/>
              </w:tabs>
              <w:rPr>
                <w:sz w:val="22"/>
                <w:szCs w:val="22"/>
              </w:rPr>
            </w:pPr>
          </w:p>
          <w:p w:rsidR="00945A5F" w:rsidRPr="001A5E02" w:rsidRDefault="00945A5F" w:rsidP="001A5E02">
            <w:pPr>
              <w:tabs>
                <w:tab w:val="decimal" w:pos="884"/>
              </w:tabs>
              <w:rPr>
                <w:sz w:val="22"/>
                <w:szCs w:val="22"/>
              </w:rPr>
            </w:pPr>
            <w:r>
              <w:rPr>
                <w:sz w:val="22"/>
                <w:szCs w:val="22"/>
              </w:rPr>
              <w:t>(3,528)</w:t>
            </w:r>
          </w:p>
        </w:tc>
        <w:tc>
          <w:tcPr>
            <w:tcW w:w="1170" w:type="dxa"/>
            <w:shd w:val="clear" w:color="auto" w:fill="auto"/>
          </w:tcPr>
          <w:p w:rsidR="005274B5" w:rsidRDefault="005274B5" w:rsidP="00B73A17">
            <w:pPr>
              <w:tabs>
                <w:tab w:val="decimal" w:pos="884"/>
              </w:tabs>
              <w:rPr>
                <w:sz w:val="22"/>
                <w:szCs w:val="22"/>
              </w:rPr>
            </w:pPr>
          </w:p>
          <w:p w:rsidR="00945A5F" w:rsidRPr="001A5E02" w:rsidRDefault="00945A5F" w:rsidP="00B73A17">
            <w:pPr>
              <w:tabs>
                <w:tab w:val="decimal" w:pos="884"/>
              </w:tabs>
              <w:rPr>
                <w:sz w:val="22"/>
                <w:szCs w:val="22"/>
              </w:rPr>
            </w:pPr>
            <w:r>
              <w:rPr>
                <w:sz w:val="22"/>
                <w:szCs w:val="22"/>
              </w:rPr>
              <w:t>2,416</w:t>
            </w:r>
          </w:p>
        </w:tc>
        <w:tc>
          <w:tcPr>
            <w:tcW w:w="1138" w:type="dxa"/>
            <w:shd w:val="clear" w:color="auto" w:fill="auto"/>
          </w:tcPr>
          <w:p w:rsidR="005274B5" w:rsidRDefault="005274B5" w:rsidP="001A5E02">
            <w:pPr>
              <w:tabs>
                <w:tab w:val="decimal" w:pos="884"/>
              </w:tabs>
              <w:rPr>
                <w:sz w:val="22"/>
                <w:szCs w:val="22"/>
              </w:rPr>
            </w:pPr>
          </w:p>
          <w:p w:rsidR="00945A5F" w:rsidRPr="001A5E02" w:rsidRDefault="00945A5F" w:rsidP="001A5E02">
            <w:pPr>
              <w:tabs>
                <w:tab w:val="decimal" w:pos="884"/>
              </w:tabs>
              <w:rPr>
                <w:sz w:val="22"/>
                <w:szCs w:val="22"/>
              </w:rPr>
            </w:pPr>
            <w:r>
              <w:rPr>
                <w:sz w:val="22"/>
                <w:szCs w:val="22"/>
              </w:rPr>
              <w:t>(17,745)</w:t>
            </w:r>
          </w:p>
        </w:tc>
      </w:tr>
      <w:tr w:rsidR="005274B5" w:rsidRPr="00397070" w:rsidTr="00397070">
        <w:tc>
          <w:tcPr>
            <w:tcW w:w="2197" w:type="dxa"/>
            <w:shd w:val="clear" w:color="auto" w:fill="auto"/>
          </w:tcPr>
          <w:p w:rsidR="005274B5" w:rsidRPr="00397070" w:rsidRDefault="005274B5" w:rsidP="00D90216">
            <w:pPr>
              <w:rPr>
                <w:sz w:val="22"/>
                <w:szCs w:val="22"/>
              </w:rPr>
            </w:pPr>
            <w:r>
              <w:rPr>
                <w:sz w:val="22"/>
                <w:szCs w:val="22"/>
              </w:rPr>
              <w:t>Capital grants unapplied</w:t>
            </w:r>
          </w:p>
        </w:tc>
        <w:tc>
          <w:tcPr>
            <w:tcW w:w="1172" w:type="dxa"/>
            <w:shd w:val="clear" w:color="auto" w:fill="auto"/>
          </w:tcPr>
          <w:p w:rsidR="005274B5" w:rsidRDefault="005274B5" w:rsidP="005274B5">
            <w:pPr>
              <w:tabs>
                <w:tab w:val="decimal" w:pos="884"/>
              </w:tabs>
              <w:rPr>
                <w:sz w:val="22"/>
                <w:szCs w:val="22"/>
              </w:rPr>
            </w:pPr>
          </w:p>
          <w:p w:rsidR="005274B5" w:rsidRPr="001A5E02" w:rsidRDefault="005274B5" w:rsidP="007061E6">
            <w:pPr>
              <w:tabs>
                <w:tab w:val="decimal" w:pos="884"/>
              </w:tabs>
              <w:rPr>
                <w:sz w:val="22"/>
                <w:szCs w:val="22"/>
              </w:rPr>
            </w:pPr>
            <w:r>
              <w:rPr>
                <w:sz w:val="22"/>
                <w:szCs w:val="22"/>
              </w:rPr>
              <w:t>(</w:t>
            </w:r>
            <w:r w:rsidR="007061E6">
              <w:rPr>
                <w:sz w:val="22"/>
                <w:szCs w:val="22"/>
              </w:rPr>
              <w:t>3,171</w:t>
            </w:r>
            <w:r>
              <w:rPr>
                <w:sz w:val="22"/>
                <w:szCs w:val="22"/>
              </w:rPr>
              <w:t>)</w:t>
            </w:r>
          </w:p>
        </w:tc>
        <w:tc>
          <w:tcPr>
            <w:tcW w:w="1242"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w:t>
            </w:r>
          </w:p>
        </w:tc>
        <w:tc>
          <w:tcPr>
            <w:tcW w:w="1168" w:type="dxa"/>
            <w:shd w:val="clear" w:color="auto" w:fill="auto"/>
          </w:tcPr>
          <w:p w:rsidR="005274B5" w:rsidRDefault="005274B5" w:rsidP="005274B5">
            <w:pPr>
              <w:tabs>
                <w:tab w:val="decimal" w:pos="884"/>
              </w:tabs>
              <w:rPr>
                <w:sz w:val="22"/>
                <w:szCs w:val="22"/>
              </w:rPr>
            </w:pPr>
          </w:p>
          <w:p w:rsidR="005274B5" w:rsidRPr="001A5E02" w:rsidRDefault="007061E6" w:rsidP="005274B5">
            <w:pPr>
              <w:tabs>
                <w:tab w:val="decimal" w:pos="884"/>
              </w:tabs>
              <w:rPr>
                <w:sz w:val="22"/>
                <w:szCs w:val="22"/>
              </w:rPr>
            </w:pPr>
            <w:r>
              <w:rPr>
                <w:sz w:val="22"/>
                <w:szCs w:val="22"/>
              </w:rPr>
              <w:t>2,224</w:t>
            </w:r>
          </w:p>
        </w:tc>
        <w:tc>
          <w:tcPr>
            <w:tcW w:w="1133" w:type="dxa"/>
            <w:shd w:val="clear" w:color="auto" w:fill="auto"/>
          </w:tcPr>
          <w:p w:rsidR="005274B5" w:rsidRDefault="005274B5" w:rsidP="005274B5">
            <w:pPr>
              <w:tabs>
                <w:tab w:val="decimal" w:pos="884"/>
              </w:tabs>
              <w:rPr>
                <w:sz w:val="22"/>
                <w:szCs w:val="22"/>
              </w:rPr>
            </w:pPr>
          </w:p>
          <w:p w:rsidR="005274B5" w:rsidRPr="001A5E02" w:rsidRDefault="005274B5" w:rsidP="007061E6">
            <w:pPr>
              <w:tabs>
                <w:tab w:val="decimal" w:pos="884"/>
              </w:tabs>
              <w:rPr>
                <w:sz w:val="22"/>
                <w:szCs w:val="22"/>
              </w:rPr>
            </w:pPr>
            <w:r>
              <w:rPr>
                <w:sz w:val="22"/>
                <w:szCs w:val="22"/>
              </w:rPr>
              <w:t>(</w:t>
            </w:r>
            <w:r w:rsidR="007061E6">
              <w:rPr>
                <w:sz w:val="22"/>
                <w:szCs w:val="22"/>
              </w:rPr>
              <w:t>947</w:t>
            </w:r>
            <w:r>
              <w:rPr>
                <w:sz w:val="22"/>
                <w:szCs w:val="22"/>
              </w:rPr>
              <w:t>)</w:t>
            </w:r>
          </w:p>
        </w:tc>
        <w:tc>
          <w:tcPr>
            <w:tcW w:w="1236" w:type="dxa"/>
            <w:shd w:val="clear" w:color="auto" w:fill="auto"/>
          </w:tcPr>
          <w:p w:rsidR="005274B5" w:rsidRDefault="005274B5" w:rsidP="00397070">
            <w:pPr>
              <w:tabs>
                <w:tab w:val="decimal" w:pos="884"/>
              </w:tabs>
              <w:rPr>
                <w:sz w:val="22"/>
                <w:szCs w:val="22"/>
              </w:rPr>
            </w:pPr>
          </w:p>
          <w:p w:rsidR="00945A5F" w:rsidRPr="001A5E02" w:rsidRDefault="00945A5F" w:rsidP="00397070">
            <w:pPr>
              <w:tabs>
                <w:tab w:val="decimal" w:pos="884"/>
              </w:tabs>
              <w:rPr>
                <w:sz w:val="22"/>
                <w:szCs w:val="22"/>
              </w:rPr>
            </w:pPr>
            <w:r>
              <w:rPr>
                <w:sz w:val="22"/>
                <w:szCs w:val="22"/>
              </w:rPr>
              <w:t>-</w:t>
            </w:r>
          </w:p>
        </w:tc>
        <w:tc>
          <w:tcPr>
            <w:tcW w:w="1170" w:type="dxa"/>
            <w:shd w:val="clear" w:color="auto" w:fill="auto"/>
          </w:tcPr>
          <w:p w:rsidR="005274B5" w:rsidRDefault="005274B5" w:rsidP="00397070">
            <w:pPr>
              <w:tabs>
                <w:tab w:val="decimal" w:pos="884"/>
              </w:tabs>
              <w:rPr>
                <w:sz w:val="22"/>
                <w:szCs w:val="22"/>
              </w:rPr>
            </w:pPr>
          </w:p>
          <w:p w:rsidR="00945A5F" w:rsidRPr="001A5E02" w:rsidRDefault="007061E6" w:rsidP="00397070">
            <w:pPr>
              <w:tabs>
                <w:tab w:val="decimal" w:pos="884"/>
              </w:tabs>
              <w:rPr>
                <w:sz w:val="22"/>
                <w:szCs w:val="22"/>
              </w:rPr>
            </w:pPr>
            <w:r>
              <w:rPr>
                <w:sz w:val="22"/>
                <w:szCs w:val="22"/>
              </w:rPr>
              <w:t>826</w:t>
            </w:r>
          </w:p>
        </w:tc>
        <w:tc>
          <w:tcPr>
            <w:tcW w:w="1138" w:type="dxa"/>
            <w:shd w:val="clear" w:color="auto" w:fill="auto"/>
          </w:tcPr>
          <w:p w:rsidR="005274B5" w:rsidRDefault="005274B5" w:rsidP="00397070">
            <w:pPr>
              <w:tabs>
                <w:tab w:val="decimal" w:pos="884"/>
              </w:tabs>
              <w:rPr>
                <w:sz w:val="22"/>
                <w:szCs w:val="22"/>
              </w:rPr>
            </w:pPr>
          </w:p>
          <w:p w:rsidR="00945A5F" w:rsidRPr="001A5E02" w:rsidRDefault="007061E6" w:rsidP="00397070">
            <w:pPr>
              <w:tabs>
                <w:tab w:val="decimal" w:pos="884"/>
              </w:tabs>
              <w:rPr>
                <w:sz w:val="22"/>
                <w:szCs w:val="22"/>
              </w:rPr>
            </w:pPr>
            <w:r>
              <w:rPr>
                <w:sz w:val="22"/>
                <w:szCs w:val="22"/>
              </w:rPr>
              <w:t>(121)</w:t>
            </w:r>
          </w:p>
        </w:tc>
      </w:tr>
      <w:tr w:rsidR="005274B5" w:rsidRPr="00397070" w:rsidTr="00397070">
        <w:tc>
          <w:tcPr>
            <w:tcW w:w="2197" w:type="dxa"/>
            <w:shd w:val="clear" w:color="auto" w:fill="auto"/>
          </w:tcPr>
          <w:p w:rsidR="005274B5" w:rsidRPr="00397070" w:rsidRDefault="005274B5" w:rsidP="00D90216">
            <w:pPr>
              <w:rPr>
                <w:sz w:val="22"/>
                <w:szCs w:val="22"/>
              </w:rPr>
            </w:pPr>
            <w:r w:rsidRPr="00397070">
              <w:rPr>
                <w:sz w:val="22"/>
                <w:szCs w:val="22"/>
              </w:rPr>
              <w:t>Usable capital receipts</w:t>
            </w:r>
          </w:p>
        </w:tc>
        <w:tc>
          <w:tcPr>
            <w:tcW w:w="1172" w:type="dxa"/>
            <w:shd w:val="clear" w:color="auto" w:fill="auto"/>
          </w:tcPr>
          <w:p w:rsidR="005274B5" w:rsidRPr="001A5E02"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sidRPr="001A5E02">
              <w:rPr>
                <w:sz w:val="22"/>
                <w:szCs w:val="22"/>
              </w:rPr>
              <w:t>(1,501)</w:t>
            </w:r>
          </w:p>
        </w:tc>
        <w:tc>
          <w:tcPr>
            <w:tcW w:w="1242"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w:t>
            </w:r>
          </w:p>
        </w:tc>
        <w:tc>
          <w:tcPr>
            <w:tcW w:w="1168"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w:t>
            </w:r>
          </w:p>
        </w:tc>
        <w:tc>
          <w:tcPr>
            <w:tcW w:w="1133" w:type="dxa"/>
            <w:shd w:val="clear" w:color="auto" w:fill="auto"/>
          </w:tcPr>
          <w:p w:rsidR="005274B5" w:rsidRDefault="005274B5" w:rsidP="005274B5">
            <w:pPr>
              <w:tabs>
                <w:tab w:val="decimal" w:pos="884"/>
              </w:tabs>
              <w:rPr>
                <w:sz w:val="22"/>
                <w:szCs w:val="22"/>
              </w:rPr>
            </w:pPr>
          </w:p>
          <w:p w:rsidR="005274B5" w:rsidRPr="001A5E02" w:rsidRDefault="005274B5" w:rsidP="005274B5">
            <w:pPr>
              <w:tabs>
                <w:tab w:val="decimal" w:pos="884"/>
              </w:tabs>
              <w:rPr>
                <w:sz w:val="22"/>
                <w:szCs w:val="22"/>
              </w:rPr>
            </w:pPr>
            <w:r>
              <w:rPr>
                <w:sz w:val="22"/>
                <w:szCs w:val="22"/>
              </w:rPr>
              <w:t>(1,501)</w:t>
            </w:r>
          </w:p>
        </w:tc>
        <w:tc>
          <w:tcPr>
            <w:tcW w:w="1236" w:type="dxa"/>
            <w:shd w:val="clear" w:color="auto" w:fill="auto"/>
          </w:tcPr>
          <w:p w:rsidR="005274B5" w:rsidRDefault="005274B5" w:rsidP="00397070">
            <w:pPr>
              <w:tabs>
                <w:tab w:val="decimal" w:pos="884"/>
              </w:tabs>
              <w:rPr>
                <w:sz w:val="22"/>
                <w:szCs w:val="22"/>
              </w:rPr>
            </w:pPr>
          </w:p>
          <w:p w:rsidR="00945A5F" w:rsidRPr="001A5E02" w:rsidRDefault="00945A5F" w:rsidP="00397070">
            <w:pPr>
              <w:tabs>
                <w:tab w:val="decimal" w:pos="884"/>
              </w:tabs>
              <w:rPr>
                <w:sz w:val="22"/>
                <w:szCs w:val="22"/>
              </w:rPr>
            </w:pPr>
            <w:r>
              <w:rPr>
                <w:sz w:val="22"/>
                <w:szCs w:val="22"/>
              </w:rPr>
              <w:t>(81)</w:t>
            </w:r>
          </w:p>
        </w:tc>
        <w:tc>
          <w:tcPr>
            <w:tcW w:w="1170" w:type="dxa"/>
            <w:shd w:val="clear" w:color="auto" w:fill="auto"/>
          </w:tcPr>
          <w:p w:rsidR="005274B5" w:rsidRDefault="005274B5" w:rsidP="00397070">
            <w:pPr>
              <w:tabs>
                <w:tab w:val="decimal" w:pos="884"/>
              </w:tabs>
              <w:rPr>
                <w:sz w:val="22"/>
                <w:szCs w:val="22"/>
              </w:rPr>
            </w:pPr>
          </w:p>
          <w:p w:rsidR="00945A5F" w:rsidRPr="001A5E02" w:rsidRDefault="00945A5F" w:rsidP="00397070">
            <w:pPr>
              <w:tabs>
                <w:tab w:val="decimal" w:pos="884"/>
              </w:tabs>
              <w:rPr>
                <w:sz w:val="22"/>
                <w:szCs w:val="22"/>
              </w:rPr>
            </w:pPr>
            <w:r>
              <w:rPr>
                <w:sz w:val="22"/>
                <w:szCs w:val="22"/>
              </w:rPr>
              <w:t>-</w:t>
            </w:r>
          </w:p>
        </w:tc>
        <w:tc>
          <w:tcPr>
            <w:tcW w:w="1138" w:type="dxa"/>
            <w:shd w:val="clear" w:color="auto" w:fill="auto"/>
          </w:tcPr>
          <w:p w:rsidR="005274B5" w:rsidRDefault="005274B5" w:rsidP="001A5E02">
            <w:pPr>
              <w:tabs>
                <w:tab w:val="decimal" w:pos="884"/>
              </w:tabs>
              <w:rPr>
                <w:sz w:val="22"/>
                <w:szCs w:val="22"/>
              </w:rPr>
            </w:pPr>
          </w:p>
          <w:p w:rsidR="00945A5F" w:rsidRPr="001A5E02" w:rsidRDefault="00945A5F" w:rsidP="001A5E02">
            <w:pPr>
              <w:tabs>
                <w:tab w:val="decimal" w:pos="884"/>
              </w:tabs>
              <w:rPr>
                <w:sz w:val="22"/>
                <w:szCs w:val="22"/>
              </w:rPr>
            </w:pPr>
            <w:r>
              <w:rPr>
                <w:sz w:val="22"/>
                <w:szCs w:val="22"/>
              </w:rPr>
              <w:t>(1,582)</w:t>
            </w:r>
          </w:p>
        </w:tc>
      </w:tr>
      <w:tr w:rsidR="005274B5" w:rsidRPr="00397070" w:rsidTr="00397070">
        <w:tc>
          <w:tcPr>
            <w:tcW w:w="2197" w:type="dxa"/>
            <w:shd w:val="clear" w:color="auto" w:fill="auto"/>
          </w:tcPr>
          <w:p w:rsidR="005274B5" w:rsidRPr="00397070" w:rsidRDefault="005274B5" w:rsidP="00D90216">
            <w:pPr>
              <w:rPr>
                <w:sz w:val="22"/>
                <w:szCs w:val="22"/>
              </w:rPr>
            </w:pPr>
          </w:p>
        </w:tc>
        <w:tc>
          <w:tcPr>
            <w:tcW w:w="1172" w:type="dxa"/>
            <w:tcBorders>
              <w:bottom w:val="single" w:sz="4" w:space="0" w:color="auto"/>
            </w:tcBorders>
            <w:shd w:val="clear" w:color="auto" w:fill="auto"/>
          </w:tcPr>
          <w:p w:rsidR="005274B5" w:rsidRPr="009B6E08" w:rsidRDefault="005274B5" w:rsidP="005274B5">
            <w:pPr>
              <w:tabs>
                <w:tab w:val="decimal" w:pos="884"/>
              </w:tabs>
              <w:rPr>
                <w:sz w:val="22"/>
                <w:szCs w:val="22"/>
                <w:highlight w:val="yellow"/>
              </w:rPr>
            </w:pPr>
          </w:p>
        </w:tc>
        <w:tc>
          <w:tcPr>
            <w:tcW w:w="1242" w:type="dxa"/>
            <w:tcBorders>
              <w:bottom w:val="single" w:sz="4" w:space="0" w:color="auto"/>
            </w:tcBorders>
            <w:shd w:val="clear" w:color="auto" w:fill="auto"/>
          </w:tcPr>
          <w:p w:rsidR="005274B5" w:rsidRPr="009B6E08" w:rsidRDefault="005274B5" w:rsidP="005274B5">
            <w:pPr>
              <w:tabs>
                <w:tab w:val="decimal" w:pos="884"/>
              </w:tabs>
              <w:rPr>
                <w:sz w:val="22"/>
                <w:szCs w:val="22"/>
                <w:highlight w:val="yellow"/>
              </w:rPr>
            </w:pPr>
          </w:p>
        </w:tc>
        <w:tc>
          <w:tcPr>
            <w:tcW w:w="1168" w:type="dxa"/>
            <w:tcBorders>
              <w:bottom w:val="single" w:sz="4" w:space="0" w:color="auto"/>
            </w:tcBorders>
            <w:shd w:val="clear" w:color="auto" w:fill="auto"/>
          </w:tcPr>
          <w:p w:rsidR="005274B5" w:rsidRPr="009B6E08" w:rsidRDefault="005274B5" w:rsidP="005274B5">
            <w:pPr>
              <w:tabs>
                <w:tab w:val="decimal" w:pos="884"/>
              </w:tabs>
              <w:rPr>
                <w:sz w:val="22"/>
                <w:szCs w:val="22"/>
                <w:highlight w:val="yellow"/>
              </w:rPr>
            </w:pPr>
          </w:p>
        </w:tc>
        <w:tc>
          <w:tcPr>
            <w:tcW w:w="1133" w:type="dxa"/>
            <w:tcBorders>
              <w:bottom w:val="single" w:sz="4" w:space="0" w:color="auto"/>
            </w:tcBorders>
            <w:shd w:val="clear" w:color="auto" w:fill="auto"/>
          </w:tcPr>
          <w:p w:rsidR="005274B5" w:rsidRPr="009B6E08" w:rsidRDefault="005274B5" w:rsidP="005274B5">
            <w:pPr>
              <w:tabs>
                <w:tab w:val="decimal" w:pos="884"/>
              </w:tabs>
              <w:rPr>
                <w:sz w:val="22"/>
                <w:szCs w:val="22"/>
                <w:highlight w:val="yellow"/>
              </w:rPr>
            </w:pPr>
          </w:p>
        </w:tc>
        <w:tc>
          <w:tcPr>
            <w:tcW w:w="1236" w:type="dxa"/>
            <w:tcBorders>
              <w:bottom w:val="single" w:sz="4" w:space="0" w:color="auto"/>
            </w:tcBorders>
            <w:shd w:val="clear" w:color="auto" w:fill="auto"/>
          </w:tcPr>
          <w:p w:rsidR="005274B5" w:rsidRPr="009B6E08" w:rsidRDefault="005274B5" w:rsidP="00397070">
            <w:pPr>
              <w:tabs>
                <w:tab w:val="decimal" w:pos="884"/>
              </w:tabs>
              <w:rPr>
                <w:sz w:val="22"/>
                <w:szCs w:val="22"/>
                <w:highlight w:val="yellow"/>
              </w:rPr>
            </w:pPr>
          </w:p>
        </w:tc>
        <w:tc>
          <w:tcPr>
            <w:tcW w:w="1170" w:type="dxa"/>
            <w:tcBorders>
              <w:bottom w:val="single" w:sz="4" w:space="0" w:color="auto"/>
            </w:tcBorders>
            <w:shd w:val="clear" w:color="auto" w:fill="auto"/>
          </w:tcPr>
          <w:p w:rsidR="005274B5" w:rsidRPr="009B6E08" w:rsidRDefault="005274B5" w:rsidP="00397070">
            <w:pPr>
              <w:tabs>
                <w:tab w:val="decimal" w:pos="884"/>
              </w:tabs>
              <w:rPr>
                <w:sz w:val="22"/>
                <w:szCs w:val="22"/>
                <w:highlight w:val="yellow"/>
              </w:rPr>
            </w:pPr>
          </w:p>
        </w:tc>
        <w:tc>
          <w:tcPr>
            <w:tcW w:w="1138" w:type="dxa"/>
            <w:tcBorders>
              <w:bottom w:val="single" w:sz="4" w:space="0" w:color="auto"/>
            </w:tcBorders>
            <w:shd w:val="clear" w:color="auto" w:fill="auto"/>
          </w:tcPr>
          <w:p w:rsidR="005274B5" w:rsidRPr="009B6E08" w:rsidRDefault="005274B5" w:rsidP="00397070">
            <w:pPr>
              <w:tabs>
                <w:tab w:val="decimal" w:pos="884"/>
              </w:tabs>
              <w:rPr>
                <w:sz w:val="22"/>
                <w:szCs w:val="22"/>
                <w:highlight w:val="yellow"/>
              </w:rPr>
            </w:pPr>
          </w:p>
        </w:tc>
      </w:tr>
      <w:tr w:rsidR="005274B5" w:rsidRPr="00901ED7" w:rsidTr="00397070">
        <w:tc>
          <w:tcPr>
            <w:tcW w:w="2197" w:type="dxa"/>
            <w:shd w:val="clear" w:color="auto" w:fill="auto"/>
          </w:tcPr>
          <w:p w:rsidR="005274B5" w:rsidRPr="00397070" w:rsidRDefault="005274B5" w:rsidP="00D90216">
            <w:pPr>
              <w:rPr>
                <w:sz w:val="22"/>
                <w:szCs w:val="22"/>
              </w:rPr>
            </w:pPr>
            <w:r w:rsidRPr="00397070">
              <w:rPr>
                <w:sz w:val="22"/>
                <w:szCs w:val="22"/>
              </w:rPr>
              <w:t>Total Usable Reserves</w:t>
            </w:r>
          </w:p>
        </w:tc>
        <w:tc>
          <w:tcPr>
            <w:tcW w:w="1172" w:type="dxa"/>
            <w:tcBorders>
              <w:top w:val="single" w:sz="4" w:space="0" w:color="auto"/>
              <w:bottom w:val="double" w:sz="4" w:space="0" w:color="auto"/>
            </w:tcBorders>
            <w:shd w:val="clear" w:color="auto" w:fill="auto"/>
          </w:tcPr>
          <w:p w:rsidR="005274B5" w:rsidRPr="00B73A17" w:rsidRDefault="005274B5" w:rsidP="005274B5">
            <w:pPr>
              <w:tabs>
                <w:tab w:val="decimal" w:pos="884"/>
              </w:tabs>
              <w:rPr>
                <w:sz w:val="22"/>
                <w:szCs w:val="22"/>
              </w:rPr>
            </w:pPr>
          </w:p>
          <w:p w:rsidR="005274B5" w:rsidRPr="00B73A17" w:rsidRDefault="005274B5" w:rsidP="007061E6">
            <w:pPr>
              <w:tabs>
                <w:tab w:val="decimal" w:pos="884"/>
              </w:tabs>
              <w:rPr>
                <w:sz w:val="22"/>
                <w:szCs w:val="22"/>
              </w:rPr>
            </w:pPr>
            <w:r w:rsidRPr="00B73A17">
              <w:rPr>
                <w:sz w:val="22"/>
                <w:szCs w:val="22"/>
              </w:rPr>
              <w:t>(</w:t>
            </w:r>
            <w:r w:rsidR="007061E6">
              <w:rPr>
                <w:sz w:val="22"/>
                <w:szCs w:val="22"/>
              </w:rPr>
              <w:t>34,719)</w:t>
            </w:r>
          </w:p>
        </w:tc>
        <w:tc>
          <w:tcPr>
            <w:tcW w:w="1242" w:type="dxa"/>
            <w:tcBorders>
              <w:top w:val="single" w:sz="4" w:space="0" w:color="auto"/>
              <w:bottom w:val="double" w:sz="4" w:space="0" w:color="auto"/>
            </w:tcBorders>
            <w:shd w:val="clear" w:color="auto" w:fill="auto"/>
          </w:tcPr>
          <w:p w:rsidR="005274B5" w:rsidRDefault="005274B5" w:rsidP="005274B5">
            <w:pPr>
              <w:tabs>
                <w:tab w:val="decimal" w:pos="884"/>
              </w:tabs>
              <w:rPr>
                <w:sz w:val="22"/>
                <w:szCs w:val="22"/>
              </w:rPr>
            </w:pPr>
          </w:p>
          <w:p w:rsidR="005274B5" w:rsidRPr="00B73A17" w:rsidRDefault="005274B5" w:rsidP="007061E6">
            <w:pPr>
              <w:tabs>
                <w:tab w:val="decimal" w:pos="884"/>
              </w:tabs>
              <w:rPr>
                <w:sz w:val="22"/>
                <w:szCs w:val="22"/>
              </w:rPr>
            </w:pPr>
            <w:r>
              <w:rPr>
                <w:sz w:val="22"/>
                <w:szCs w:val="22"/>
              </w:rPr>
              <w:t>(6,</w:t>
            </w:r>
            <w:r w:rsidR="007061E6">
              <w:rPr>
                <w:sz w:val="22"/>
                <w:szCs w:val="22"/>
              </w:rPr>
              <w:t>989</w:t>
            </w:r>
            <w:r>
              <w:rPr>
                <w:sz w:val="22"/>
                <w:szCs w:val="22"/>
              </w:rPr>
              <w:t>)</w:t>
            </w:r>
          </w:p>
        </w:tc>
        <w:tc>
          <w:tcPr>
            <w:tcW w:w="1168" w:type="dxa"/>
            <w:tcBorders>
              <w:top w:val="single" w:sz="4" w:space="0" w:color="auto"/>
              <w:bottom w:val="double" w:sz="4" w:space="0" w:color="auto"/>
            </w:tcBorders>
            <w:shd w:val="clear" w:color="auto" w:fill="auto"/>
          </w:tcPr>
          <w:p w:rsidR="005274B5" w:rsidRDefault="005274B5" w:rsidP="005274B5">
            <w:pPr>
              <w:tabs>
                <w:tab w:val="decimal" w:pos="884"/>
              </w:tabs>
              <w:rPr>
                <w:sz w:val="22"/>
                <w:szCs w:val="22"/>
              </w:rPr>
            </w:pPr>
          </w:p>
          <w:p w:rsidR="005274B5" w:rsidRPr="00B73A17" w:rsidRDefault="005274B5" w:rsidP="007061E6">
            <w:pPr>
              <w:tabs>
                <w:tab w:val="decimal" w:pos="884"/>
              </w:tabs>
              <w:rPr>
                <w:sz w:val="22"/>
                <w:szCs w:val="22"/>
              </w:rPr>
            </w:pPr>
            <w:r>
              <w:rPr>
                <w:sz w:val="22"/>
                <w:szCs w:val="22"/>
              </w:rPr>
              <w:t>4,</w:t>
            </w:r>
            <w:r w:rsidR="007061E6">
              <w:rPr>
                <w:sz w:val="22"/>
                <w:szCs w:val="22"/>
              </w:rPr>
              <w:t>659</w:t>
            </w:r>
          </w:p>
        </w:tc>
        <w:tc>
          <w:tcPr>
            <w:tcW w:w="1133" w:type="dxa"/>
            <w:tcBorders>
              <w:top w:val="single" w:sz="4" w:space="0" w:color="auto"/>
              <w:bottom w:val="double" w:sz="4" w:space="0" w:color="auto"/>
            </w:tcBorders>
            <w:shd w:val="clear" w:color="auto" w:fill="auto"/>
          </w:tcPr>
          <w:p w:rsidR="005274B5" w:rsidRPr="00901ED7" w:rsidRDefault="005274B5" w:rsidP="005274B5">
            <w:pPr>
              <w:tabs>
                <w:tab w:val="decimal" w:pos="884"/>
              </w:tabs>
              <w:rPr>
                <w:sz w:val="22"/>
                <w:szCs w:val="22"/>
              </w:rPr>
            </w:pPr>
          </w:p>
          <w:p w:rsidR="005274B5" w:rsidRPr="00901ED7" w:rsidRDefault="005274B5" w:rsidP="007061E6">
            <w:pPr>
              <w:tabs>
                <w:tab w:val="decimal" w:pos="884"/>
              </w:tabs>
              <w:rPr>
                <w:sz w:val="22"/>
                <w:szCs w:val="22"/>
              </w:rPr>
            </w:pPr>
            <w:r w:rsidRPr="00901ED7">
              <w:rPr>
                <w:sz w:val="22"/>
                <w:szCs w:val="22"/>
              </w:rPr>
              <w:t>(3</w:t>
            </w:r>
            <w:r w:rsidR="007061E6">
              <w:rPr>
                <w:sz w:val="22"/>
                <w:szCs w:val="22"/>
              </w:rPr>
              <w:t>7</w:t>
            </w:r>
            <w:r w:rsidRPr="00901ED7">
              <w:rPr>
                <w:sz w:val="22"/>
                <w:szCs w:val="22"/>
              </w:rPr>
              <w:t>,</w:t>
            </w:r>
            <w:r w:rsidR="007061E6">
              <w:rPr>
                <w:sz w:val="22"/>
                <w:szCs w:val="22"/>
              </w:rPr>
              <w:t>048</w:t>
            </w:r>
            <w:r w:rsidRPr="00901ED7">
              <w:rPr>
                <w:sz w:val="22"/>
                <w:szCs w:val="22"/>
              </w:rPr>
              <w:t>)</w:t>
            </w:r>
          </w:p>
        </w:tc>
        <w:tc>
          <w:tcPr>
            <w:tcW w:w="1236" w:type="dxa"/>
            <w:tcBorders>
              <w:top w:val="single" w:sz="4" w:space="0" w:color="auto"/>
              <w:bottom w:val="double" w:sz="4" w:space="0" w:color="auto"/>
            </w:tcBorders>
            <w:shd w:val="clear" w:color="auto" w:fill="auto"/>
          </w:tcPr>
          <w:p w:rsidR="005274B5" w:rsidRPr="0030408D" w:rsidRDefault="005274B5" w:rsidP="00F1136A">
            <w:pPr>
              <w:tabs>
                <w:tab w:val="decimal" w:pos="884"/>
              </w:tabs>
              <w:rPr>
                <w:sz w:val="22"/>
                <w:szCs w:val="22"/>
              </w:rPr>
            </w:pPr>
          </w:p>
          <w:p w:rsidR="00945A5F" w:rsidRPr="0030408D" w:rsidRDefault="00945A5F" w:rsidP="007061E6">
            <w:pPr>
              <w:tabs>
                <w:tab w:val="decimal" w:pos="884"/>
              </w:tabs>
              <w:rPr>
                <w:sz w:val="22"/>
                <w:szCs w:val="22"/>
              </w:rPr>
            </w:pPr>
            <w:r w:rsidRPr="0030408D">
              <w:rPr>
                <w:sz w:val="22"/>
                <w:szCs w:val="22"/>
              </w:rPr>
              <w:t>(5,</w:t>
            </w:r>
            <w:r w:rsidR="007061E6" w:rsidRPr="0030408D">
              <w:rPr>
                <w:sz w:val="22"/>
                <w:szCs w:val="22"/>
              </w:rPr>
              <w:t>7</w:t>
            </w:r>
            <w:r w:rsidR="007061E6">
              <w:rPr>
                <w:sz w:val="22"/>
                <w:szCs w:val="22"/>
              </w:rPr>
              <w:t>40</w:t>
            </w:r>
            <w:r w:rsidRPr="0030408D">
              <w:rPr>
                <w:sz w:val="22"/>
                <w:szCs w:val="22"/>
              </w:rPr>
              <w:t>)</w:t>
            </w:r>
          </w:p>
        </w:tc>
        <w:tc>
          <w:tcPr>
            <w:tcW w:w="1170" w:type="dxa"/>
            <w:tcBorders>
              <w:top w:val="single" w:sz="4" w:space="0" w:color="auto"/>
              <w:bottom w:val="double" w:sz="4" w:space="0" w:color="auto"/>
            </w:tcBorders>
            <w:shd w:val="clear" w:color="auto" w:fill="auto"/>
          </w:tcPr>
          <w:p w:rsidR="005274B5" w:rsidRPr="0030408D" w:rsidRDefault="005274B5" w:rsidP="00F1136A">
            <w:pPr>
              <w:tabs>
                <w:tab w:val="decimal" w:pos="884"/>
              </w:tabs>
              <w:rPr>
                <w:sz w:val="22"/>
                <w:szCs w:val="22"/>
              </w:rPr>
            </w:pPr>
          </w:p>
          <w:p w:rsidR="00945A5F" w:rsidRPr="0030408D" w:rsidRDefault="00945A5F" w:rsidP="007061E6">
            <w:pPr>
              <w:tabs>
                <w:tab w:val="decimal" w:pos="884"/>
              </w:tabs>
              <w:rPr>
                <w:sz w:val="22"/>
                <w:szCs w:val="22"/>
              </w:rPr>
            </w:pPr>
            <w:r w:rsidRPr="0030408D">
              <w:rPr>
                <w:sz w:val="22"/>
                <w:szCs w:val="22"/>
              </w:rPr>
              <w:t>7,</w:t>
            </w:r>
            <w:r w:rsidR="007061E6">
              <w:rPr>
                <w:sz w:val="22"/>
                <w:szCs w:val="22"/>
              </w:rPr>
              <w:t>558</w:t>
            </w:r>
          </w:p>
        </w:tc>
        <w:tc>
          <w:tcPr>
            <w:tcW w:w="1138" w:type="dxa"/>
            <w:tcBorders>
              <w:top w:val="single" w:sz="4" w:space="0" w:color="auto"/>
              <w:bottom w:val="double" w:sz="4" w:space="0" w:color="auto"/>
            </w:tcBorders>
            <w:shd w:val="clear" w:color="auto" w:fill="auto"/>
          </w:tcPr>
          <w:p w:rsidR="005274B5" w:rsidRPr="0030408D" w:rsidRDefault="005274B5" w:rsidP="00B73A17">
            <w:pPr>
              <w:tabs>
                <w:tab w:val="decimal" w:pos="884"/>
              </w:tabs>
              <w:rPr>
                <w:sz w:val="22"/>
                <w:szCs w:val="22"/>
              </w:rPr>
            </w:pPr>
          </w:p>
          <w:p w:rsidR="00945A5F" w:rsidRPr="0030408D" w:rsidRDefault="00045E3F" w:rsidP="00261A8E">
            <w:pPr>
              <w:tabs>
                <w:tab w:val="decimal" w:pos="884"/>
              </w:tabs>
              <w:rPr>
                <w:sz w:val="22"/>
                <w:szCs w:val="22"/>
              </w:rPr>
            </w:pPr>
            <w:r w:rsidRPr="0030408D">
              <w:rPr>
                <w:sz w:val="22"/>
                <w:szCs w:val="22"/>
              </w:rPr>
              <w:t>(35,</w:t>
            </w:r>
            <w:r w:rsidR="007061E6">
              <w:rPr>
                <w:sz w:val="22"/>
                <w:szCs w:val="22"/>
              </w:rPr>
              <w:t>23</w:t>
            </w:r>
            <w:r w:rsidR="00261A8E">
              <w:rPr>
                <w:sz w:val="22"/>
                <w:szCs w:val="22"/>
              </w:rPr>
              <w:t>1</w:t>
            </w:r>
            <w:r w:rsidRPr="0030408D">
              <w:rPr>
                <w:sz w:val="22"/>
                <w:szCs w:val="22"/>
              </w:rPr>
              <w:t>)</w:t>
            </w:r>
          </w:p>
        </w:tc>
      </w:tr>
    </w:tbl>
    <w:p w:rsidR="003169AB" w:rsidRDefault="003169AB" w:rsidP="00BF4A59">
      <w:pPr>
        <w:rPr>
          <w:sz w:val="22"/>
          <w:szCs w:val="22"/>
        </w:rPr>
      </w:pPr>
    </w:p>
    <w:p w:rsidR="00D90216" w:rsidRPr="00971029" w:rsidRDefault="00C672AD" w:rsidP="00D90216">
      <w:pPr>
        <w:ind w:left="709" w:hanging="709"/>
        <w:rPr>
          <w:b/>
          <w:sz w:val="22"/>
        </w:rPr>
      </w:pPr>
      <w:r>
        <w:rPr>
          <w:b/>
          <w:sz w:val="22"/>
        </w:rPr>
        <w:br w:type="page"/>
      </w:r>
      <w:r w:rsidR="00FE0A63">
        <w:rPr>
          <w:b/>
          <w:sz w:val="22"/>
        </w:rPr>
        <w:lastRenderedPageBreak/>
        <w:t>1</w:t>
      </w:r>
      <w:r w:rsidR="005274B5">
        <w:rPr>
          <w:b/>
          <w:sz w:val="22"/>
        </w:rPr>
        <w:t>8</w:t>
      </w:r>
      <w:r w:rsidR="00D90216" w:rsidRPr="00971029">
        <w:rPr>
          <w:b/>
          <w:sz w:val="22"/>
        </w:rPr>
        <w:tab/>
        <w:t>U</w:t>
      </w:r>
      <w:r w:rsidR="00D90216">
        <w:rPr>
          <w:b/>
          <w:sz w:val="22"/>
        </w:rPr>
        <w:t>nu</w:t>
      </w:r>
      <w:r w:rsidR="00D90216" w:rsidRPr="00971029">
        <w:rPr>
          <w:b/>
          <w:sz w:val="22"/>
        </w:rPr>
        <w:t>sable Reserves</w:t>
      </w:r>
    </w:p>
    <w:p w:rsidR="00D90216" w:rsidRDefault="00D90216" w:rsidP="00D90216">
      <w:pPr>
        <w:ind w:left="360"/>
        <w:rPr>
          <w:sz w:val="22"/>
        </w:rPr>
      </w:pPr>
    </w:p>
    <w:p w:rsidR="00D90216" w:rsidRDefault="00D90216" w:rsidP="00D96A83">
      <w:pPr>
        <w:ind w:left="709"/>
        <w:jc w:val="both"/>
        <w:rPr>
          <w:sz w:val="22"/>
        </w:rPr>
      </w:pPr>
      <w:r>
        <w:rPr>
          <w:sz w:val="22"/>
        </w:rPr>
        <w:t>The total Unusable Reserves are shown in the</w:t>
      </w:r>
      <w:r w:rsidRPr="00515D7E">
        <w:rPr>
          <w:sz w:val="22"/>
          <w:szCs w:val="22"/>
        </w:rPr>
        <w:t xml:space="preserve"> </w:t>
      </w:r>
      <w:r>
        <w:rPr>
          <w:sz w:val="22"/>
          <w:szCs w:val="22"/>
        </w:rPr>
        <w:t xml:space="preserve">Movement in Reserves Statement, and details of each reserve and the movements are shown in the following tables: </w:t>
      </w:r>
      <w:r>
        <w:rPr>
          <w:sz w:val="22"/>
        </w:rPr>
        <w:t xml:space="preserve"> </w:t>
      </w:r>
    </w:p>
    <w:p w:rsidR="00D90216" w:rsidRPr="00971029" w:rsidRDefault="00D90216" w:rsidP="00D90216">
      <w:pPr>
        <w:ind w:left="360"/>
        <w:rPr>
          <w:sz w:val="22"/>
        </w:rPr>
      </w:pPr>
    </w:p>
    <w:tbl>
      <w:tblPr>
        <w:tblW w:w="8340" w:type="dxa"/>
        <w:tblInd w:w="817" w:type="dxa"/>
        <w:tblLook w:val="01E0" w:firstRow="1" w:lastRow="1" w:firstColumn="1" w:lastColumn="1" w:noHBand="0" w:noVBand="0"/>
      </w:tblPr>
      <w:tblGrid>
        <w:gridCol w:w="5245"/>
        <w:gridCol w:w="1559"/>
        <w:gridCol w:w="1536"/>
      </w:tblGrid>
      <w:tr w:rsidR="005274B5" w:rsidRPr="00D72DD9" w:rsidTr="00DE6159">
        <w:tc>
          <w:tcPr>
            <w:tcW w:w="5245" w:type="dxa"/>
            <w:shd w:val="clear" w:color="auto" w:fill="auto"/>
          </w:tcPr>
          <w:p w:rsidR="005274B5" w:rsidRPr="00D72DD9" w:rsidRDefault="005274B5" w:rsidP="00CD62E6">
            <w:pPr>
              <w:rPr>
                <w:sz w:val="22"/>
                <w:szCs w:val="22"/>
              </w:rPr>
            </w:pPr>
          </w:p>
        </w:tc>
        <w:tc>
          <w:tcPr>
            <w:tcW w:w="1559" w:type="dxa"/>
            <w:shd w:val="clear" w:color="auto" w:fill="auto"/>
          </w:tcPr>
          <w:p w:rsidR="005274B5" w:rsidRPr="001844B0" w:rsidRDefault="005274B5" w:rsidP="005274B5">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536" w:type="dxa"/>
            <w:shd w:val="clear" w:color="auto" w:fill="auto"/>
          </w:tcPr>
          <w:p w:rsidR="005274B5" w:rsidRPr="001844B0" w:rsidRDefault="005274B5" w:rsidP="005274B5">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1A6F3D" w:rsidRPr="00D72DD9" w:rsidTr="00DE6159">
        <w:tc>
          <w:tcPr>
            <w:tcW w:w="5245" w:type="dxa"/>
            <w:shd w:val="clear" w:color="auto" w:fill="auto"/>
          </w:tcPr>
          <w:p w:rsidR="001A6F3D" w:rsidRPr="00D72DD9" w:rsidRDefault="001A6F3D" w:rsidP="00CD62E6">
            <w:pPr>
              <w:rPr>
                <w:sz w:val="22"/>
                <w:szCs w:val="22"/>
              </w:rPr>
            </w:pPr>
          </w:p>
        </w:tc>
        <w:tc>
          <w:tcPr>
            <w:tcW w:w="1559" w:type="dxa"/>
            <w:shd w:val="clear" w:color="auto" w:fill="auto"/>
          </w:tcPr>
          <w:p w:rsidR="001A6F3D" w:rsidRPr="00066EFB" w:rsidRDefault="001A6F3D" w:rsidP="00D72DD9">
            <w:pPr>
              <w:jc w:val="center"/>
              <w:rPr>
                <w:sz w:val="22"/>
              </w:rPr>
            </w:pPr>
            <w:r w:rsidRPr="00066EFB">
              <w:rPr>
                <w:sz w:val="22"/>
              </w:rPr>
              <w:t>£000</w:t>
            </w:r>
          </w:p>
        </w:tc>
        <w:tc>
          <w:tcPr>
            <w:tcW w:w="1536" w:type="dxa"/>
            <w:shd w:val="clear" w:color="auto" w:fill="auto"/>
          </w:tcPr>
          <w:p w:rsidR="001A6F3D" w:rsidRPr="00066EFB" w:rsidRDefault="001A6F3D" w:rsidP="00D72DD9">
            <w:pPr>
              <w:jc w:val="center"/>
              <w:rPr>
                <w:sz w:val="22"/>
              </w:rPr>
            </w:pPr>
            <w:r w:rsidRPr="00066EFB">
              <w:rPr>
                <w:sz w:val="22"/>
              </w:rPr>
              <w:t>£000</w:t>
            </w:r>
          </w:p>
        </w:tc>
      </w:tr>
      <w:tr w:rsidR="001A6F3D" w:rsidRPr="00D72DD9" w:rsidTr="00DE6159">
        <w:tc>
          <w:tcPr>
            <w:tcW w:w="5245" w:type="dxa"/>
            <w:shd w:val="clear" w:color="auto" w:fill="auto"/>
          </w:tcPr>
          <w:p w:rsidR="001A6F3D" w:rsidRPr="00D72DD9" w:rsidRDefault="001A6F3D" w:rsidP="00D72DD9">
            <w:pPr>
              <w:pStyle w:val="Footer"/>
              <w:tabs>
                <w:tab w:val="clear" w:pos="4153"/>
                <w:tab w:val="clear" w:pos="8306"/>
                <w:tab w:val="left" w:pos="720"/>
                <w:tab w:val="center" w:pos="6930"/>
              </w:tabs>
              <w:rPr>
                <w:sz w:val="22"/>
                <w:szCs w:val="22"/>
              </w:rPr>
            </w:pPr>
          </w:p>
        </w:tc>
        <w:tc>
          <w:tcPr>
            <w:tcW w:w="1559" w:type="dxa"/>
            <w:shd w:val="clear" w:color="auto" w:fill="auto"/>
          </w:tcPr>
          <w:p w:rsidR="001A6F3D" w:rsidRPr="009B6E08" w:rsidRDefault="001A6F3D" w:rsidP="00CD62E6">
            <w:pPr>
              <w:rPr>
                <w:sz w:val="22"/>
                <w:szCs w:val="22"/>
                <w:highlight w:val="yellow"/>
              </w:rPr>
            </w:pPr>
          </w:p>
        </w:tc>
        <w:tc>
          <w:tcPr>
            <w:tcW w:w="1536" w:type="dxa"/>
            <w:shd w:val="clear" w:color="auto" w:fill="auto"/>
          </w:tcPr>
          <w:p w:rsidR="001A6F3D" w:rsidRPr="00066EFB" w:rsidRDefault="001A6F3D" w:rsidP="00CD62E6">
            <w:pPr>
              <w:rPr>
                <w:sz w:val="22"/>
                <w:szCs w:val="22"/>
              </w:rPr>
            </w:pPr>
          </w:p>
        </w:tc>
      </w:tr>
      <w:tr w:rsidR="005274B5" w:rsidRPr="00983509" w:rsidTr="00DE6159">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r w:rsidRPr="00983509">
              <w:rPr>
                <w:sz w:val="22"/>
              </w:rPr>
              <w:t>Revaluation Reserve</w:t>
            </w:r>
          </w:p>
        </w:tc>
        <w:tc>
          <w:tcPr>
            <w:tcW w:w="1559" w:type="dxa"/>
            <w:shd w:val="clear" w:color="auto" w:fill="auto"/>
          </w:tcPr>
          <w:p w:rsidR="005274B5" w:rsidRPr="00983509" w:rsidRDefault="00AF245F" w:rsidP="00FE38E8">
            <w:pPr>
              <w:tabs>
                <w:tab w:val="decimal" w:pos="1220"/>
              </w:tabs>
              <w:rPr>
                <w:sz w:val="22"/>
                <w:szCs w:val="22"/>
              </w:rPr>
            </w:pPr>
            <w:r>
              <w:rPr>
                <w:sz w:val="22"/>
                <w:szCs w:val="22"/>
              </w:rPr>
              <w:t>(40,862)</w:t>
            </w:r>
          </w:p>
        </w:tc>
        <w:tc>
          <w:tcPr>
            <w:tcW w:w="1536" w:type="dxa"/>
            <w:shd w:val="clear" w:color="auto" w:fill="auto"/>
          </w:tcPr>
          <w:p w:rsidR="005274B5" w:rsidRPr="00983509" w:rsidRDefault="005274B5" w:rsidP="005274B5">
            <w:pPr>
              <w:tabs>
                <w:tab w:val="decimal" w:pos="1220"/>
              </w:tabs>
              <w:rPr>
                <w:sz w:val="22"/>
                <w:szCs w:val="22"/>
              </w:rPr>
            </w:pPr>
            <w:r>
              <w:rPr>
                <w:sz w:val="22"/>
                <w:szCs w:val="22"/>
              </w:rPr>
              <w:t>(36,957)</w:t>
            </w:r>
          </w:p>
        </w:tc>
      </w:tr>
      <w:tr w:rsidR="00AF245F" w:rsidRPr="00983509" w:rsidTr="00DE6159">
        <w:tc>
          <w:tcPr>
            <w:tcW w:w="5245" w:type="dxa"/>
            <w:shd w:val="clear" w:color="auto" w:fill="auto"/>
          </w:tcPr>
          <w:p w:rsidR="00AF245F" w:rsidRPr="00983509" w:rsidRDefault="00AF245F" w:rsidP="00D72DD9">
            <w:pPr>
              <w:pStyle w:val="Footer"/>
              <w:tabs>
                <w:tab w:val="clear" w:pos="4153"/>
                <w:tab w:val="clear" w:pos="8306"/>
                <w:tab w:val="left" w:pos="720"/>
                <w:tab w:val="center" w:pos="6930"/>
              </w:tabs>
              <w:ind w:left="-108"/>
              <w:rPr>
                <w:sz w:val="22"/>
              </w:rPr>
            </w:pPr>
            <w:r w:rsidRPr="00983509">
              <w:rPr>
                <w:sz w:val="22"/>
              </w:rPr>
              <w:t>Capital Adjustment Account</w:t>
            </w:r>
          </w:p>
        </w:tc>
        <w:tc>
          <w:tcPr>
            <w:tcW w:w="1559" w:type="dxa"/>
            <w:shd w:val="clear" w:color="auto" w:fill="auto"/>
          </w:tcPr>
          <w:p w:rsidR="00AF245F" w:rsidRDefault="00AF245F" w:rsidP="0030408D">
            <w:pPr>
              <w:tabs>
                <w:tab w:val="decimal" w:pos="1220"/>
              </w:tabs>
              <w:rPr>
                <w:sz w:val="22"/>
                <w:szCs w:val="22"/>
              </w:rPr>
            </w:pPr>
            <w:r>
              <w:rPr>
                <w:sz w:val="22"/>
                <w:szCs w:val="22"/>
              </w:rPr>
              <w:t>(38,64</w:t>
            </w:r>
            <w:r w:rsidR="0030408D">
              <w:rPr>
                <w:sz w:val="22"/>
                <w:szCs w:val="22"/>
              </w:rPr>
              <w:t>1</w:t>
            </w:r>
            <w:r>
              <w:rPr>
                <w:sz w:val="22"/>
                <w:szCs w:val="22"/>
              </w:rPr>
              <w:t>)</w:t>
            </w:r>
          </w:p>
        </w:tc>
        <w:tc>
          <w:tcPr>
            <w:tcW w:w="1536" w:type="dxa"/>
            <w:shd w:val="clear" w:color="auto" w:fill="auto"/>
          </w:tcPr>
          <w:p w:rsidR="00AF245F" w:rsidRDefault="00AF245F" w:rsidP="005274B5">
            <w:pPr>
              <w:tabs>
                <w:tab w:val="decimal" w:pos="1220"/>
              </w:tabs>
              <w:rPr>
                <w:sz w:val="22"/>
                <w:szCs w:val="22"/>
              </w:rPr>
            </w:pPr>
            <w:r>
              <w:rPr>
                <w:sz w:val="22"/>
                <w:szCs w:val="22"/>
              </w:rPr>
              <w:t>(36,762)</w:t>
            </w:r>
          </w:p>
        </w:tc>
      </w:tr>
      <w:tr w:rsidR="005274B5" w:rsidRPr="00983509" w:rsidTr="00DE6159">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r w:rsidRPr="00983509">
              <w:rPr>
                <w:sz w:val="22"/>
              </w:rPr>
              <w:t>Pensions Reserve</w:t>
            </w:r>
          </w:p>
        </w:tc>
        <w:tc>
          <w:tcPr>
            <w:tcW w:w="1559" w:type="dxa"/>
            <w:shd w:val="clear" w:color="auto" w:fill="auto"/>
          </w:tcPr>
          <w:p w:rsidR="005274B5" w:rsidRPr="00983509" w:rsidRDefault="00586A00" w:rsidP="00586A00">
            <w:pPr>
              <w:tabs>
                <w:tab w:val="decimal" w:pos="1220"/>
              </w:tabs>
              <w:rPr>
                <w:sz w:val="22"/>
                <w:szCs w:val="22"/>
              </w:rPr>
            </w:pPr>
            <w:r>
              <w:rPr>
                <w:sz w:val="22"/>
                <w:szCs w:val="22"/>
              </w:rPr>
              <w:t>800</w:t>
            </w:r>
            <w:r w:rsidR="00AF245F">
              <w:rPr>
                <w:sz w:val="22"/>
                <w:szCs w:val="22"/>
              </w:rPr>
              <w:t>,</w:t>
            </w:r>
            <w:r>
              <w:rPr>
                <w:sz w:val="22"/>
                <w:szCs w:val="22"/>
              </w:rPr>
              <w:t>264</w:t>
            </w:r>
          </w:p>
        </w:tc>
        <w:tc>
          <w:tcPr>
            <w:tcW w:w="1536" w:type="dxa"/>
            <w:shd w:val="clear" w:color="auto" w:fill="auto"/>
          </w:tcPr>
          <w:p w:rsidR="005274B5" w:rsidRPr="00983509" w:rsidRDefault="00586A00" w:rsidP="005274B5">
            <w:pPr>
              <w:tabs>
                <w:tab w:val="decimal" w:pos="1220"/>
              </w:tabs>
              <w:rPr>
                <w:sz w:val="22"/>
                <w:szCs w:val="22"/>
              </w:rPr>
            </w:pPr>
            <w:r>
              <w:rPr>
                <w:sz w:val="22"/>
                <w:szCs w:val="22"/>
              </w:rPr>
              <w:t>797,742</w:t>
            </w:r>
          </w:p>
        </w:tc>
      </w:tr>
      <w:tr w:rsidR="005274B5" w:rsidRPr="00983509" w:rsidTr="00DE6159">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r w:rsidRPr="00983509">
              <w:rPr>
                <w:sz w:val="22"/>
              </w:rPr>
              <w:t>Collection Fund Adjustment Account</w:t>
            </w:r>
          </w:p>
        </w:tc>
        <w:tc>
          <w:tcPr>
            <w:tcW w:w="1559" w:type="dxa"/>
            <w:shd w:val="clear" w:color="auto" w:fill="auto"/>
          </w:tcPr>
          <w:p w:rsidR="005274B5" w:rsidRPr="00983509" w:rsidRDefault="00AF245F" w:rsidP="00066EFB">
            <w:pPr>
              <w:tabs>
                <w:tab w:val="decimal" w:pos="1220"/>
              </w:tabs>
              <w:rPr>
                <w:sz w:val="22"/>
                <w:szCs w:val="22"/>
              </w:rPr>
            </w:pPr>
            <w:r>
              <w:rPr>
                <w:sz w:val="22"/>
                <w:szCs w:val="22"/>
              </w:rPr>
              <w:t>(704)</w:t>
            </w:r>
          </w:p>
        </w:tc>
        <w:tc>
          <w:tcPr>
            <w:tcW w:w="1536" w:type="dxa"/>
            <w:shd w:val="clear" w:color="auto" w:fill="auto"/>
          </w:tcPr>
          <w:p w:rsidR="005274B5" w:rsidRPr="00983509" w:rsidRDefault="005274B5" w:rsidP="005274B5">
            <w:pPr>
              <w:tabs>
                <w:tab w:val="decimal" w:pos="1220"/>
              </w:tabs>
              <w:rPr>
                <w:sz w:val="22"/>
                <w:szCs w:val="22"/>
              </w:rPr>
            </w:pPr>
            <w:r>
              <w:rPr>
                <w:sz w:val="22"/>
                <w:szCs w:val="22"/>
              </w:rPr>
              <w:t>(664)</w:t>
            </w:r>
          </w:p>
        </w:tc>
      </w:tr>
      <w:tr w:rsidR="005274B5" w:rsidRPr="00983509" w:rsidTr="00DE6159">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r w:rsidRPr="00983509">
              <w:rPr>
                <w:sz w:val="22"/>
              </w:rPr>
              <w:t>Accumulated Absences Adjustment Account</w:t>
            </w:r>
          </w:p>
        </w:tc>
        <w:tc>
          <w:tcPr>
            <w:tcW w:w="1559" w:type="dxa"/>
            <w:shd w:val="clear" w:color="auto" w:fill="auto"/>
          </w:tcPr>
          <w:p w:rsidR="005274B5" w:rsidRPr="00983509" w:rsidRDefault="00AF245F" w:rsidP="00D72DD9">
            <w:pPr>
              <w:tabs>
                <w:tab w:val="decimal" w:pos="1220"/>
              </w:tabs>
              <w:rPr>
                <w:sz w:val="22"/>
                <w:szCs w:val="22"/>
              </w:rPr>
            </w:pPr>
            <w:r>
              <w:rPr>
                <w:sz w:val="22"/>
                <w:szCs w:val="22"/>
              </w:rPr>
              <w:t>813</w:t>
            </w:r>
          </w:p>
        </w:tc>
        <w:tc>
          <w:tcPr>
            <w:tcW w:w="1536" w:type="dxa"/>
            <w:shd w:val="clear" w:color="auto" w:fill="auto"/>
          </w:tcPr>
          <w:p w:rsidR="005274B5" w:rsidRPr="00983509" w:rsidRDefault="005274B5" w:rsidP="005274B5">
            <w:pPr>
              <w:tabs>
                <w:tab w:val="decimal" w:pos="1220"/>
              </w:tabs>
              <w:rPr>
                <w:sz w:val="22"/>
                <w:szCs w:val="22"/>
              </w:rPr>
            </w:pPr>
            <w:r>
              <w:rPr>
                <w:sz w:val="22"/>
                <w:szCs w:val="22"/>
              </w:rPr>
              <w:t>804</w:t>
            </w:r>
          </w:p>
        </w:tc>
      </w:tr>
      <w:tr w:rsidR="005274B5" w:rsidRPr="00983509" w:rsidTr="00FE38E8">
        <w:trPr>
          <w:trHeight w:val="274"/>
        </w:trPr>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p>
        </w:tc>
        <w:tc>
          <w:tcPr>
            <w:tcW w:w="1559" w:type="dxa"/>
            <w:tcBorders>
              <w:bottom w:val="single" w:sz="4" w:space="0" w:color="auto"/>
            </w:tcBorders>
            <w:shd w:val="clear" w:color="auto" w:fill="auto"/>
          </w:tcPr>
          <w:p w:rsidR="005274B5" w:rsidRPr="00983509" w:rsidRDefault="005274B5" w:rsidP="00D72DD9">
            <w:pPr>
              <w:tabs>
                <w:tab w:val="decimal" w:pos="1220"/>
              </w:tabs>
              <w:rPr>
                <w:sz w:val="22"/>
                <w:szCs w:val="22"/>
              </w:rPr>
            </w:pPr>
          </w:p>
        </w:tc>
        <w:tc>
          <w:tcPr>
            <w:tcW w:w="1536" w:type="dxa"/>
            <w:tcBorders>
              <w:bottom w:val="single" w:sz="4" w:space="0" w:color="auto"/>
            </w:tcBorders>
            <w:shd w:val="clear" w:color="auto" w:fill="auto"/>
          </w:tcPr>
          <w:p w:rsidR="005274B5" w:rsidRPr="00983509" w:rsidRDefault="005274B5" w:rsidP="005274B5">
            <w:pPr>
              <w:tabs>
                <w:tab w:val="decimal" w:pos="1220"/>
              </w:tabs>
              <w:rPr>
                <w:sz w:val="22"/>
                <w:szCs w:val="22"/>
              </w:rPr>
            </w:pPr>
          </w:p>
        </w:tc>
      </w:tr>
      <w:tr w:rsidR="005274B5" w:rsidRPr="00983509" w:rsidTr="00DE6159">
        <w:tc>
          <w:tcPr>
            <w:tcW w:w="5245" w:type="dxa"/>
            <w:shd w:val="clear" w:color="auto" w:fill="auto"/>
          </w:tcPr>
          <w:p w:rsidR="005274B5" w:rsidRPr="00983509" w:rsidRDefault="005274B5" w:rsidP="00D72DD9">
            <w:pPr>
              <w:pStyle w:val="Footer"/>
              <w:tabs>
                <w:tab w:val="clear" w:pos="4153"/>
                <w:tab w:val="clear" w:pos="8306"/>
                <w:tab w:val="left" w:pos="720"/>
                <w:tab w:val="center" w:pos="6930"/>
              </w:tabs>
              <w:ind w:left="-108"/>
              <w:rPr>
                <w:sz w:val="22"/>
              </w:rPr>
            </w:pPr>
            <w:r w:rsidRPr="00983509">
              <w:rPr>
                <w:sz w:val="22"/>
              </w:rPr>
              <w:t>Total Unusable Reserves</w:t>
            </w:r>
          </w:p>
        </w:tc>
        <w:tc>
          <w:tcPr>
            <w:tcW w:w="1559" w:type="dxa"/>
            <w:tcBorders>
              <w:top w:val="single" w:sz="4" w:space="0" w:color="auto"/>
              <w:bottom w:val="double" w:sz="4" w:space="0" w:color="auto"/>
            </w:tcBorders>
            <w:shd w:val="clear" w:color="auto" w:fill="auto"/>
          </w:tcPr>
          <w:p w:rsidR="005274B5" w:rsidRPr="00983509" w:rsidRDefault="00AF245F" w:rsidP="00586A00">
            <w:pPr>
              <w:tabs>
                <w:tab w:val="decimal" w:pos="1220"/>
              </w:tabs>
              <w:rPr>
                <w:sz w:val="22"/>
                <w:szCs w:val="22"/>
              </w:rPr>
            </w:pPr>
            <w:r>
              <w:rPr>
                <w:sz w:val="22"/>
                <w:szCs w:val="22"/>
              </w:rPr>
              <w:t>720,</w:t>
            </w:r>
            <w:r w:rsidR="00586A00">
              <w:rPr>
                <w:sz w:val="22"/>
                <w:szCs w:val="22"/>
              </w:rPr>
              <w:t>871</w:t>
            </w:r>
          </w:p>
        </w:tc>
        <w:tc>
          <w:tcPr>
            <w:tcW w:w="1536" w:type="dxa"/>
            <w:tcBorders>
              <w:top w:val="single" w:sz="4" w:space="0" w:color="auto"/>
              <w:bottom w:val="double" w:sz="4" w:space="0" w:color="auto"/>
            </w:tcBorders>
            <w:shd w:val="clear" w:color="auto" w:fill="auto"/>
          </w:tcPr>
          <w:p w:rsidR="005274B5" w:rsidRPr="00983509" w:rsidRDefault="00586A00" w:rsidP="00586A00">
            <w:pPr>
              <w:tabs>
                <w:tab w:val="decimal" w:pos="1220"/>
              </w:tabs>
              <w:rPr>
                <w:sz w:val="22"/>
                <w:szCs w:val="22"/>
              </w:rPr>
            </w:pPr>
            <w:r>
              <w:rPr>
                <w:sz w:val="22"/>
                <w:szCs w:val="22"/>
              </w:rPr>
              <w:t>724</w:t>
            </w:r>
            <w:r w:rsidR="005274B5">
              <w:rPr>
                <w:sz w:val="22"/>
                <w:szCs w:val="22"/>
              </w:rPr>
              <w:t>,</w:t>
            </w:r>
            <w:r>
              <w:rPr>
                <w:sz w:val="22"/>
                <w:szCs w:val="22"/>
              </w:rPr>
              <w:t>164</w:t>
            </w:r>
          </w:p>
        </w:tc>
      </w:tr>
    </w:tbl>
    <w:p w:rsidR="00D90216" w:rsidRPr="00983509" w:rsidRDefault="00D90216" w:rsidP="00D90216">
      <w:pPr>
        <w:rPr>
          <w:sz w:val="22"/>
          <w:szCs w:val="22"/>
        </w:rPr>
      </w:pPr>
    </w:p>
    <w:p w:rsidR="00D90216" w:rsidRPr="00983509" w:rsidRDefault="00D90216" w:rsidP="00D90216">
      <w:pPr>
        <w:ind w:left="709"/>
        <w:rPr>
          <w:b/>
          <w:sz w:val="22"/>
          <w:szCs w:val="22"/>
        </w:rPr>
      </w:pPr>
      <w:r w:rsidRPr="00983509">
        <w:rPr>
          <w:b/>
          <w:sz w:val="22"/>
          <w:szCs w:val="22"/>
        </w:rPr>
        <w:t>Revaluation Reserve</w:t>
      </w:r>
    </w:p>
    <w:p w:rsidR="00D90216" w:rsidRPr="00983509" w:rsidRDefault="00D90216" w:rsidP="00D90216">
      <w:pPr>
        <w:pStyle w:val="Footer"/>
        <w:tabs>
          <w:tab w:val="clear" w:pos="4153"/>
          <w:tab w:val="clear" w:pos="8306"/>
        </w:tabs>
        <w:ind w:left="720"/>
        <w:rPr>
          <w:sz w:val="22"/>
        </w:rPr>
      </w:pPr>
    </w:p>
    <w:tbl>
      <w:tblPr>
        <w:tblW w:w="8460" w:type="dxa"/>
        <w:tblInd w:w="720" w:type="dxa"/>
        <w:tblLayout w:type="fixed"/>
        <w:tblLook w:val="0000" w:firstRow="0" w:lastRow="0" w:firstColumn="0" w:lastColumn="0" w:noHBand="0" w:noVBand="0"/>
      </w:tblPr>
      <w:tblGrid>
        <w:gridCol w:w="5342"/>
        <w:gridCol w:w="1559"/>
        <w:gridCol w:w="1559"/>
      </w:tblGrid>
      <w:tr w:rsidR="00666520" w:rsidRPr="00983509" w:rsidTr="0019710E">
        <w:trPr>
          <w:trHeight w:hRule="exact" w:val="300"/>
        </w:trPr>
        <w:tc>
          <w:tcPr>
            <w:tcW w:w="5342" w:type="dxa"/>
          </w:tcPr>
          <w:p w:rsidR="00666520" w:rsidRPr="00983509" w:rsidRDefault="00666520" w:rsidP="00CD62E6">
            <w:pPr>
              <w:tabs>
                <w:tab w:val="left" w:pos="720"/>
                <w:tab w:val="center" w:pos="6930"/>
              </w:tabs>
              <w:rPr>
                <w:sz w:val="22"/>
              </w:rPr>
            </w:pPr>
          </w:p>
        </w:tc>
        <w:tc>
          <w:tcPr>
            <w:tcW w:w="1559" w:type="dxa"/>
          </w:tcPr>
          <w:p w:rsidR="00666520" w:rsidRPr="001844B0" w:rsidRDefault="0066652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559" w:type="dxa"/>
          </w:tcPr>
          <w:p w:rsidR="00666520" w:rsidRPr="001844B0" w:rsidRDefault="0066652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D90216" w:rsidRPr="00983509" w:rsidTr="0019710E">
        <w:trPr>
          <w:trHeight w:hRule="exact" w:val="300"/>
        </w:trPr>
        <w:tc>
          <w:tcPr>
            <w:tcW w:w="5342" w:type="dxa"/>
          </w:tcPr>
          <w:p w:rsidR="00D90216" w:rsidRPr="00983509" w:rsidRDefault="00D90216" w:rsidP="00CD62E6">
            <w:pPr>
              <w:tabs>
                <w:tab w:val="left" w:pos="720"/>
                <w:tab w:val="center" w:pos="6930"/>
              </w:tabs>
              <w:spacing w:after="120"/>
              <w:rPr>
                <w:sz w:val="22"/>
              </w:rPr>
            </w:pPr>
          </w:p>
        </w:tc>
        <w:tc>
          <w:tcPr>
            <w:tcW w:w="1559" w:type="dxa"/>
          </w:tcPr>
          <w:p w:rsidR="00D90216" w:rsidRPr="00983509" w:rsidRDefault="00D90216" w:rsidP="0019710E">
            <w:pPr>
              <w:jc w:val="center"/>
              <w:rPr>
                <w:sz w:val="22"/>
              </w:rPr>
            </w:pPr>
            <w:r w:rsidRPr="00983509">
              <w:rPr>
                <w:sz w:val="22"/>
              </w:rPr>
              <w:t>£000</w:t>
            </w:r>
          </w:p>
        </w:tc>
        <w:tc>
          <w:tcPr>
            <w:tcW w:w="1559" w:type="dxa"/>
          </w:tcPr>
          <w:p w:rsidR="00D90216" w:rsidRPr="00983509" w:rsidRDefault="00D90216" w:rsidP="0019710E">
            <w:pPr>
              <w:jc w:val="center"/>
              <w:rPr>
                <w:sz w:val="22"/>
              </w:rPr>
            </w:pPr>
            <w:r w:rsidRPr="00983509">
              <w:rPr>
                <w:sz w:val="22"/>
              </w:rPr>
              <w:t>£000</w:t>
            </w:r>
          </w:p>
        </w:tc>
      </w:tr>
      <w:tr w:rsidR="006B0A70" w:rsidRPr="00983509" w:rsidTr="0019710E">
        <w:trPr>
          <w:trHeight w:hRule="exact" w:val="300"/>
        </w:trPr>
        <w:tc>
          <w:tcPr>
            <w:tcW w:w="5342" w:type="dxa"/>
          </w:tcPr>
          <w:p w:rsidR="006B0A70" w:rsidRPr="00983509" w:rsidRDefault="006B0A70" w:rsidP="00CD62E6">
            <w:pPr>
              <w:pStyle w:val="Footer"/>
              <w:tabs>
                <w:tab w:val="clear" w:pos="4153"/>
                <w:tab w:val="clear" w:pos="8306"/>
                <w:tab w:val="left" w:pos="720"/>
                <w:tab w:val="center" w:pos="6930"/>
              </w:tabs>
              <w:rPr>
                <w:sz w:val="22"/>
              </w:rPr>
            </w:pPr>
            <w:r w:rsidRPr="00983509">
              <w:rPr>
                <w:sz w:val="22"/>
              </w:rPr>
              <w:t>Balance at 1 April</w:t>
            </w:r>
          </w:p>
        </w:tc>
        <w:tc>
          <w:tcPr>
            <w:tcW w:w="1559" w:type="dxa"/>
          </w:tcPr>
          <w:p w:rsidR="006B0A70" w:rsidRPr="00983509" w:rsidRDefault="006B0A70" w:rsidP="006B0A70">
            <w:pPr>
              <w:tabs>
                <w:tab w:val="decimal" w:pos="1026"/>
              </w:tabs>
              <w:rPr>
                <w:sz w:val="22"/>
                <w:szCs w:val="22"/>
              </w:rPr>
            </w:pPr>
            <w:r>
              <w:rPr>
                <w:sz w:val="22"/>
                <w:szCs w:val="22"/>
              </w:rPr>
              <w:t>(36</w:t>
            </w:r>
            <w:r w:rsidRPr="00983509">
              <w:rPr>
                <w:sz w:val="22"/>
                <w:szCs w:val="22"/>
              </w:rPr>
              <w:t>,</w:t>
            </w:r>
            <w:r>
              <w:rPr>
                <w:sz w:val="22"/>
                <w:szCs w:val="22"/>
              </w:rPr>
              <w:t>957</w:t>
            </w:r>
            <w:r w:rsidRPr="00983509">
              <w:rPr>
                <w:sz w:val="22"/>
                <w:szCs w:val="22"/>
              </w:rPr>
              <w:t>)</w:t>
            </w:r>
          </w:p>
        </w:tc>
        <w:tc>
          <w:tcPr>
            <w:tcW w:w="1559" w:type="dxa"/>
          </w:tcPr>
          <w:p w:rsidR="006B0A70" w:rsidRPr="00983509" w:rsidRDefault="006B0A70" w:rsidP="0096743B">
            <w:pPr>
              <w:tabs>
                <w:tab w:val="decimal" w:pos="1026"/>
              </w:tabs>
              <w:rPr>
                <w:sz w:val="22"/>
                <w:szCs w:val="22"/>
              </w:rPr>
            </w:pPr>
            <w:r>
              <w:rPr>
                <w:sz w:val="22"/>
                <w:szCs w:val="22"/>
              </w:rPr>
              <w:t>(28</w:t>
            </w:r>
            <w:r w:rsidRPr="00983509">
              <w:rPr>
                <w:sz w:val="22"/>
                <w:szCs w:val="22"/>
              </w:rPr>
              <w:t>,</w:t>
            </w:r>
            <w:r>
              <w:rPr>
                <w:sz w:val="22"/>
                <w:szCs w:val="22"/>
              </w:rPr>
              <w:t>480</w:t>
            </w:r>
            <w:r w:rsidRPr="00983509">
              <w:rPr>
                <w:sz w:val="22"/>
                <w:szCs w:val="22"/>
              </w:rPr>
              <w:t>)</w:t>
            </w:r>
          </w:p>
        </w:tc>
      </w:tr>
      <w:tr w:rsidR="006B0A70" w:rsidRPr="00983509" w:rsidTr="0019710E">
        <w:trPr>
          <w:trHeight w:hRule="exact" w:val="300"/>
        </w:trPr>
        <w:tc>
          <w:tcPr>
            <w:tcW w:w="5342" w:type="dxa"/>
          </w:tcPr>
          <w:p w:rsidR="006B0A70" w:rsidRPr="00983509" w:rsidRDefault="006B0A70" w:rsidP="00CD62E6">
            <w:pPr>
              <w:pStyle w:val="Footer"/>
              <w:tabs>
                <w:tab w:val="clear" w:pos="4153"/>
                <w:tab w:val="clear" w:pos="8306"/>
                <w:tab w:val="left" w:pos="720"/>
                <w:tab w:val="center" w:pos="6930"/>
              </w:tabs>
              <w:rPr>
                <w:sz w:val="22"/>
              </w:rPr>
            </w:pPr>
            <w:r w:rsidRPr="00983509">
              <w:rPr>
                <w:sz w:val="22"/>
              </w:rPr>
              <w:t>Upward revaluation of assets</w:t>
            </w:r>
          </w:p>
        </w:tc>
        <w:tc>
          <w:tcPr>
            <w:tcW w:w="1559" w:type="dxa"/>
          </w:tcPr>
          <w:p w:rsidR="006B0A70" w:rsidRPr="00983509" w:rsidRDefault="0056001C" w:rsidP="0056001C">
            <w:pPr>
              <w:tabs>
                <w:tab w:val="decimal" w:pos="1026"/>
              </w:tabs>
              <w:rPr>
                <w:sz w:val="22"/>
                <w:szCs w:val="22"/>
              </w:rPr>
            </w:pPr>
            <w:r>
              <w:rPr>
                <w:sz w:val="22"/>
                <w:szCs w:val="22"/>
              </w:rPr>
              <w:t>(7,62</w:t>
            </w:r>
            <w:r w:rsidRPr="0056001C">
              <w:rPr>
                <w:sz w:val="22"/>
                <w:szCs w:val="22"/>
              </w:rPr>
              <w:t>9)</w:t>
            </w:r>
          </w:p>
        </w:tc>
        <w:tc>
          <w:tcPr>
            <w:tcW w:w="1559" w:type="dxa"/>
          </w:tcPr>
          <w:p w:rsidR="006B0A70" w:rsidRPr="00983509" w:rsidRDefault="006B0A70" w:rsidP="0096743B">
            <w:pPr>
              <w:tabs>
                <w:tab w:val="decimal" w:pos="1026"/>
              </w:tabs>
              <w:rPr>
                <w:sz w:val="22"/>
                <w:szCs w:val="22"/>
              </w:rPr>
            </w:pPr>
            <w:r>
              <w:rPr>
                <w:sz w:val="22"/>
                <w:szCs w:val="22"/>
              </w:rPr>
              <w:t>(12,047)</w:t>
            </w:r>
          </w:p>
        </w:tc>
      </w:tr>
      <w:tr w:rsidR="006B0A70" w:rsidRPr="00983509" w:rsidTr="0019710E">
        <w:trPr>
          <w:trHeight w:hRule="exact" w:val="635"/>
        </w:trPr>
        <w:tc>
          <w:tcPr>
            <w:tcW w:w="5342" w:type="dxa"/>
          </w:tcPr>
          <w:p w:rsidR="006B0A70" w:rsidRPr="00983509" w:rsidRDefault="006B0A70" w:rsidP="00CD62E6">
            <w:pPr>
              <w:pStyle w:val="Footer"/>
              <w:tabs>
                <w:tab w:val="clear" w:pos="4153"/>
                <w:tab w:val="clear" w:pos="8306"/>
                <w:tab w:val="left" w:pos="720"/>
                <w:tab w:val="center" w:pos="6930"/>
              </w:tabs>
              <w:rPr>
                <w:sz w:val="22"/>
              </w:rPr>
            </w:pPr>
            <w:r w:rsidRPr="00983509">
              <w:rPr>
                <w:sz w:val="22"/>
              </w:rPr>
              <w:t>Downward revaluation of assets and impairment losses not charged to Net cost of Services</w:t>
            </w:r>
          </w:p>
        </w:tc>
        <w:tc>
          <w:tcPr>
            <w:tcW w:w="1559" w:type="dxa"/>
          </w:tcPr>
          <w:p w:rsidR="006B0A70" w:rsidRDefault="006B0A70" w:rsidP="0049250F">
            <w:pPr>
              <w:tabs>
                <w:tab w:val="decimal" w:pos="1026"/>
              </w:tabs>
              <w:rPr>
                <w:sz w:val="22"/>
                <w:szCs w:val="22"/>
              </w:rPr>
            </w:pPr>
          </w:p>
          <w:p w:rsidR="0056001C" w:rsidRPr="00983509" w:rsidRDefault="0056001C" w:rsidP="0049250F">
            <w:pPr>
              <w:tabs>
                <w:tab w:val="decimal" w:pos="1026"/>
              </w:tabs>
              <w:rPr>
                <w:sz w:val="22"/>
                <w:szCs w:val="22"/>
              </w:rPr>
            </w:pPr>
            <w:r>
              <w:rPr>
                <w:sz w:val="22"/>
                <w:szCs w:val="22"/>
              </w:rPr>
              <w:t>2,462</w:t>
            </w:r>
          </w:p>
        </w:tc>
        <w:tc>
          <w:tcPr>
            <w:tcW w:w="1559" w:type="dxa"/>
          </w:tcPr>
          <w:p w:rsidR="006B0A70" w:rsidRDefault="006B0A70" w:rsidP="0096743B">
            <w:pPr>
              <w:tabs>
                <w:tab w:val="decimal" w:pos="1026"/>
              </w:tabs>
              <w:rPr>
                <w:sz w:val="22"/>
                <w:szCs w:val="22"/>
              </w:rPr>
            </w:pPr>
          </w:p>
          <w:p w:rsidR="006B0A70" w:rsidRPr="00983509" w:rsidRDefault="006B0A70" w:rsidP="0096743B">
            <w:pPr>
              <w:tabs>
                <w:tab w:val="decimal" w:pos="1026"/>
              </w:tabs>
              <w:rPr>
                <w:sz w:val="22"/>
                <w:szCs w:val="22"/>
              </w:rPr>
            </w:pPr>
            <w:r>
              <w:rPr>
                <w:sz w:val="22"/>
                <w:szCs w:val="22"/>
              </w:rPr>
              <w:t>2,175</w:t>
            </w:r>
          </w:p>
        </w:tc>
      </w:tr>
      <w:tr w:rsidR="006B0A70" w:rsidRPr="00983509" w:rsidTr="0019710E">
        <w:trPr>
          <w:trHeight w:hRule="exact" w:val="561"/>
        </w:trPr>
        <w:tc>
          <w:tcPr>
            <w:tcW w:w="5342" w:type="dxa"/>
          </w:tcPr>
          <w:p w:rsidR="006B0A70" w:rsidRPr="00983509" w:rsidRDefault="006B0A70" w:rsidP="00CD62E6">
            <w:pPr>
              <w:pStyle w:val="Footer"/>
              <w:tabs>
                <w:tab w:val="clear" w:pos="4153"/>
                <w:tab w:val="clear" w:pos="8306"/>
                <w:tab w:val="left" w:pos="720"/>
                <w:tab w:val="center" w:pos="6930"/>
              </w:tabs>
              <w:rPr>
                <w:sz w:val="22"/>
              </w:rPr>
            </w:pPr>
            <w:r w:rsidRPr="00983509">
              <w:rPr>
                <w:sz w:val="22"/>
              </w:rPr>
              <w:t>Difference between fair value depreciation and historical cost depreciation</w:t>
            </w:r>
          </w:p>
        </w:tc>
        <w:tc>
          <w:tcPr>
            <w:tcW w:w="1559" w:type="dxa"/>
          </w:tcPr>
          <w:p w:rsidR="006B0A70" w:rsidRDefault="006B0A70" w:rsidP="0019710E">
            <w:pPr>
              <w:tabs>
                <w:tab w:val="decimal" w:pos="1026"/>
              </w:tabs>
              <w:rPr>
                <w:sz w:val="22"/>
                <w:szCs w:val="22"/>
              </w:rPr>
            </w:pPr>
          </w:p>
          <w:p w:rsidR="0056001C" w:rsidRPr="00983509" w:rsidRDefault="0056001C" w:rsidP="0056001C">
            <w:pPr>
              <w:tabs>
                <w:tab w:val="decimal" w:pos="1026"/>
              </w:tabs>
              <w:rPr>
                <w:sz w:val="22"/>
                <w:szCs w:val="22"/>
              </w:rPr>
            </w:pPr>
            <w:r>
              <w:rPr>
                <w:sz w:val="22"/>
                <w:szCs w:val="22"/>
              </w:rPr>
              <w:t>1,215</w:t>
            </w:r>
          </w:p>
        </w:tc>
        <w:tc>
          <w:tcPr>
            <w:tcW w:w="1559" w:type="dxa"/>
          </w:tcPr>
          <w:p w:rsidR="006B0A70" w:rsidRDefault="006B0A70" w:rsidP="0096743B">
            <w:pPr>
              <w:tabs>
                <w:tab w:val="decimal" w:pos="1026"/>
              </w:tabs>
              <w:rPr>
                <w:sz w:val="22"/>
                <w:szCs w:val="22"/>
              </w:rPr>
            </w:pPr>
          </w:p>
          <w:p w:rsidR="006B0A70" w:rsidRPr="00983509" w:rsidRDefault="006B0A70" w:rsidP="0096743B">
            <w:pPr>
              <w:tabs>
                <w:tab w:val="decimal" w:pos="1026"/>
              </w:tabs>
              <w:rPr>
                <w:sz w:val="22"/>
                <w:szCs w:val="22"/>
              </w:rPr>
            </w:pPr>
            <w:r>
              <w:rPr>
                <w:sz w:val="22"/>
                <w:szCs w:val="22"/>
              </w:rPr>
              <w:t>1,395</w:t>
            </w:r>
          </w:p>
        </w:tc>
      </w:tr>
      <w:tr w:rsidR="006B0A70" w:rsidRPr="00983509" w:rsidTr="0019710E">
        <w:trPr>
          <w:trHeight w:hRule="exact" w:val="527"/>
        </w:trPr>
        <w:tc>
          <w:tcPr>
            <w:tcW w:w="5342" w:type="dxa"/>
          </w:tcPr>
          <w:p w:rsidR="006B0A70" w:rsidRPr="00983509" w:rsidRDefault="006B0A70" w:rsidP="00CD62E6">
            <w:pPr>
              <w:pStyle w:val="Footer"/>
              <w:tabs>
                <w:tab w:val="clear" w:pos="4153"/>
                <w:tab w:val="clear" w:pos="8306"/>
                <w:tab w:val="left" w:pos="720"/>
                <w:tab w:val="center" w:pos="6930"/>
              </w:tabs>
              <w:rPr>
                <w:sz w:val="22"/>
              </w:rPr>
            </w:pPr>
            <w:r w:rsidRPr="00983509">
              <w:rPr>
                <w:sz w:val="22"/>
              </w:rPr>
              <w:t>Amount written off to the Capital Adjustment Account</w:t>
            </w:r>
          </w:p>
        </w:tc>
        <w:tc>
          <w:tcPr>
            <w:tcW w:w="1559" w:type="dxa"/>
          </w:tcPr>
          <w:p w:rsidR="006B0A70" w:rsidRDefault="006B0A70" w:rsidP="0019710E">
            <w:pPr>
              <w:tabs>
                <w:tab w:val="decimal" w:pos="1026"/>
              </w:tabs>
              <w:rPr>
                <w:sz w:val="22"/>
                <w:szCs w:val="22"/>
              </w:rPr>
            </w:pPr>
          </w:p>
          <w:p w:rsidR="0056001C" w:rsidRPr="00983509" w:rsidRDefault="0056001C" w:rsidP="0019710E">
            <w:pPr>
              <w:tabs>
                <w:tab w:val="decimal" w:pos="1026"/>
              </w:tabs>
              <w:rPr>
                <w:sz w:val="22"/>
                <w:szCs w:val="22"/>
              </w:rPr>
            </w:pPr>
            <w:r>
              <w:rPr>
                <w:sz w:val="22"/>
                <w:szCs w:val="22"/>
              </w:rPr>
              <w:t>47</w:t>
            </w:r>
          </w:p>
        </w:tc>
        <w:tc>
          <w:tcPr>
            <w:tcW w:w="1559" w:type="dxa"/>
          </w:tcPr>
          <w:p w:rsidR="006B0A70" w:rsidRDefault="006B0A70" w:rsidP="0096743B">
            <w:pPr>
              <w:tabs>
                <w:tab w:val="decimal" w:pos="1026"/>
              </w:tabs>
              <w:rPr>
                <w:sz w:val="22"/>
                <w:szCs w:val="22"/>
              </w:rPr>
            </w:pPr>
          </w:p>
          <w:p w:rsidR="006B0A70" w:rsidRPr="00983509" w:rsidRDefault="006B0A70" w:rsidP="0096743B">
            <w:pPr>
              <w:tabs>
                <w:tab w:val="decimal" w:pos="1026"/>
              </w:tabs>
              <w:rPr>
                <w:sz w:val="22"/>
                <w:szCs w:val="22"/>
              </w:rPr>
            </w:pPr>
            <w:r>
              <w:rPr>
                <w:sz w:val="22"/>
                <w:szCs w:val="22"/>
              </w:rPr>
              <w:t>-</w:t>
            </w:r>
          </w:p>
        </w:tc>
      </w:tr>
      <w:tr w:rsidR="006B0A70" w:rsidRPr="00983509" w:rsidTr="0019710E">
        <w:trPr>
          <w:trHeight w:hRule="exact" w:val="300"/>
        </w:trPr>
        <w:tc>
          <w:tcPr>
            <w:tcW w:w="5342" w:type="dxa"/>
          </w:tcPr>
          <w:p w:rsidR="006B0A70" w:rsidRPr="00983509" w:rsidRDefault="006B0A70" w:rsidP="00CD62E6">
            <w:pPr>
              <w:pStyle w:val="Footer"/>
              <w:tabs>
                <w:tab w:val="clear" w:pos="4153"/>
                <w:tab w:val="clear" w:pos="8306"/>
                <w:tab w:val="left" w:pos="720"/>
                <w:tab w:val="center" w:pos="6930"/>
              </w:tabs>
              <w:rPr>
                <w:sz w:val="22"/>
              </w:rPr>
            </w:pPr>
          </w:p>
        </w:tc>
        <w:tc>
          <w:tcPr>
            <w:tcW w:w="1559" w:type="dxa"/>
            <w:tcBorders>
              <w:bottom w:val="single" w:sz="4" w:space="0" w:color="auto"/>
            </w:tcBorders>
          </w:tcPr>
          <w:p w:rsidR="006B0A70" w:rsidRPr="00983509" w:rsidRDefault="006B0A70" w:rsidP="0019710E">
            <w:pPr>
              <w:tabs>
                <w:tab w:val="decimal" w:pos="1026"/>
              </w:tabs>
              <w:rPr>
                <w:sz w:val="22"/>
                <w:szCs w:val="22"/>
              </w:rPr>
            </w:pPr>
          </w:p>
        </w:tc>
        <w:tc>
          <w:tcPr>
            <w:tcW w:w="1559" w:type="dxa"/>
            <w:tcBorders>
              <w:bottom w:val="single" w:sz="4" w:space="0" w:color="auto"/>
            </w:tcBorders>
          </w:tcPr>
          <w:p w:rsidR="006B0A70" w:rsidRPr="00983509" w:rsidRDefault="006B0A70" w:rsidP="0096743B">
            <w:pPr>
              <w:tabs>
                <w:tab w:val="decimal" w:pos="1026"/>
              </w:tabs>
              <w:rPr>
                <w:sz w:val="22"/>
                <w:szCs w:val="22"/>
              </w:rPr>
            </w:pPr>
          </w:p>
        </w:tc>
      </w:tr>
      <w:tr w:rsidR="006B0A70" w:rsidRPr="00A60775" w:rsidTr="0019710E">
        <w:trPr>
          <w:trHeight w:hRule="exact" w:val="300"/>
        </w:trPr>
        <w:tc>
          <w:tcPr>
            <w:tcW w:w="5342" w:type="dxa"/>
          </w:tcPr>
          <w:p w:rsidR="006B0A70" w:rsidRPr="00983509" w:rsidRDefault="006B0A70" w:rsidP="00CD62E6">
            <w:pPr>
              <w:pStyle w:val="Footer"/>
              <w:tabs>
                <w:tab w:val="clear" w:pos="4153"/>
                <w:tab w:val="clear" w:pos="8306"/>
                <w:tab w:val="left" w:pos="720"/>
                <w:tab w:val="center" w:pos="6930"/>
              </w:tabs>
              <w:rPr>
                <w:sz w:val="22"/>
              </w:rPr>
            </w:pPr>
          </w:p>
        </w:tc>
        <w:tc>
          <w:tcPr>
            <w:tcW w:w="1559" w:type="dxa"/>
            <w:tcBorders>
              <w:top w:val="single" w:sz="4" w:space="0" w:color="auto"/>
              <w:bottom w:val="double" w:sz="4" w:space="0" w:color="auto"/>
            </w:tcBorders>
          </w:tcPr>
          <w:p w:rsidR="006B0A70" w:rsidRPr="00983509" w:rsidRDefault="00AF245F" w:rsidP="00C92F50">
            <w:pPr>
              <w:tabs>
                <w:tab w:val="decimal" w:pos="1026"/>
              </w:tabs>
              <w:rPr>
                <w:sz w:val="22"/>
                <w:szCs w:val="22"/>
              </w:rPr>
            </w:pPr>
            <w:r>
              <w:rPr>
                <w:sz w:val="22"/>
                <w:szCs w:val="22"/>
              </w:rPr>
              <w:t>(40,862)</w:t>
            </w:r>
          </w:p>
        </w:tc>
        <w:tc>
          <w:tcPr>
            <w:tcW w:w="1559" w:type="dxa"/>
            <w:tcBorders>
              <w:top w:val="single" w:sz="4" w:space="0" w:color="auto"/>
              <w:bottom w:val="double" w:sz="4" w:space="0" w:color="auto"/>
            </w:tcBorders>
          </w:tcPr>
          <w:p w:rsidR="006B0A70" w:rsidRPr="00983509" w:rsidRDefault="006B0A70" w:rsidP="0096743B">
            <w:pPr>
              <w:tabs>
                <w:tab w:val="decimal" w:pos="1026"/>
              </w:tabs>
              <w:rPr>
                <w:sz w:val="22"/>
                <w:szCs w:val="22"/>
              </w:rPr>
            </w:pPr>
            <w:r>
              <w:rPr>
                <w:sz w:val="22"/>
                <w:szCs w:val="22"/>
              </w:rPr>
              <w:t>(36,957)</w:t>
            </w:r>
          </w:p>
        </w:tc>
      </w:tr>
    </w:tbl>
    <w:p w:rsidR="00D90216" w:rsidRPr="00A60775" w:rsidRDefault="00D90216" w:rsidP="00D90216">
      <w:pPr>
        <w:ind w:left="720"/>
        <w:jc w:val="both"/>
        <w:rPr>
          <w:sz w:val="22"/>
          <w:highlight w:val="cyan"/>
        </w:rPr>
      </w:pPr>
    </w:p>
    <w:p w:rsidR="00D90216" w:rsidRPr="00FA4F8B" w:rsidRDefault="00D90216" w:rsidP="002C08E2">
      <w:pPr>
        <w:ind w:left="720"/>
        <w:jc w:val="both"/>
        <w:rPr>
          <w:rFonts w:cs="Arial"/>
          <w:sz w:val="22"/>
          <w:szCs w:val="22"/>
        </w:rPr>
      </w:pPr>
      <w:r w:rsidRPr="00FA4F8B">
        <w:rPr>
          <w:rFonts w:cs="Arial"/>
          <w:sz w:val="22"/>
          <w:szCs w:val="22"/>
        </w:rPr>
        <w:t xml:space="preserve">The Revaluation Reserve </w:t>
      </w:r>
      <w:r w:rsidRPr="002C08E2">
        <w:rPr>
          <w:sz w:val="22"/>
        </w:rPr>
        <w:t>contains</w:t>
      </w:r>
      <w:r w:rsidRPr="00FA4F8B">
        <w:rPr>
          <w:rFonts w:cs="Arial"/>
          <w:sz w:val="22"/>
          <w:szCs w:val="22"/>
        </w:rPr>
        <w:t xml:space="preserve"> the gains made by the Authority arising from increases in the value of its Property, Plan</w:t>
      </w:r>
      <w:r>
        <w:rPr>
          <w:rFonts w:cs="Arial"/>
          <w:sz w:val="22"/>
          <w:szCs w:val="22"/>
        </w:rPr>
        <w:t>t</w:t>
      </w:r>
      <w:r w:rsidRPr="00FA4F8B">
        <w:rPr>
          <w:rFonts w:cs="Arial"/>
          <w:sz w:val="22"/>
          <w:szCs w:val="22"/>
        </w:rPr>
        <w:t xml:space="preserve"> and Equipment.  The balance is reduced when assets with accumulated gains are:</w:t>
      </w:r>
    </w:p>
    <w:p w:rsidR="00D90216" w:rsidRPr="00FA4F8B" w:rsidRDefault="00D90216" w:rsidP="00882E25">
      <w:pPr>
        <w:numPr>
          <w:ilvl w:val="0"/>
          <w:numId w:val="15"/>
        </w:numPr>
        <w:rPr>
          <w:rFonts w:cs="Arial"/>
          <w:sz w:val="22"/>
          <w:szCs w:val="22"/>
        </w:rPr>
      </w:pPr>
      <w:r w:rsidRPr="00FA4F8B">
        <w:rPr>
          <w:rFonts w:cs="Arial"/>
          <w:sz w:val="22"/>
          <w:szCs w:val="22"/>
        </w:rPr>
        <w:t>Revalued downwards or impaired and the gains are lost</w:t>
      </w:r>
    </w:p>
    <w:p w:rsidR="00D90216" w:rsidRPr="00FA4F8B" w:rsidRDefault="00D90216" w:rsidP="00882E25">
      <w:pPr>
        <w:numPr>
          <w:ilvl w:val="0"/>
          <w:numId w:val="15"/>
        </w:numPr>
        <w:rPr>
          <w:rFonts w:cs="Arial"/>
          <w:sz w:val="22"/>
          <w:szCs w:val="22"/>
        </w:rPr>
      </w:pPr>
      <w:r w:rsidRPr="00FA4F8B">
        <w:rPr>
          <w:rFonts w:cs="Arial"/>
          <w:sz w:val="22"/>
          <w:szCs w:val="22"/>
        </w:rPr>
        <w:t>Used in the provision of services and the gains are consumed through depreciation, or</w:t>
      </w:r>
    </w:p>
    <w:p w:rsidR="00D90216" w:rsidRPr="00FA4F8B" w:rsidRDefault="00D90216" w:rsidP="00882E25">
      <w:pPr>
        <w:numPr>
          <w:ilvl w:val="0"/>
          <w:numId w:val="15"/>
        </w:numPr>
        <w:rPr>
          <w:rFonts w:cs="Arial"/>
          <w:sz w:val="22"/>
          <w:szCs w:val="22"/>
        </w:rPr>
      </w:pPr>
      <w:r w:rsidRPr="00FA4F8B">
        <w:rPr>
          <w:rFonts w:cs="Arial"/>
          <w:sz w:val="22"/>
          <w:szCs w:val="22"/>
        </w:rPr>
        <w:t>Disposed of and the gains are realised.</w:t>
      </w:r>
    </w:p>
    <w:p w:rsidR="00D90216" w:rsidRPr="00FA4F8B" w:rsidRDefault="00D90216" w:rsidP="00D90216">
      <w:pPr>
        <w:ind w:left="770"/>
        <w:rPr>
          <w:rFonts w:cs="Arial"/>
          <w:sz w:val="22"/>
          <w:szCs w:val="22"/>
        </w:rPr>
      </w:pPr>
    </w:p>
    <w:p w:rsidR="00D90216" w:rsidRDefault="00D90216" w:rsidP="002C08E2">
      <w:pPr>
        <w:ind w:left="720"/>
        <w:jc w:val="both"/>
        <w:rPr>
          <w:b/>
          <w:sz w:val="22"/>
        </w:rPr>
      </w:pPr>
      <w:r w:rsidRPr="00FA4F8B">
        <w:rPr>
          <w:rFonts w:cs="Arial"/>
          <w:sz w:val="22"/>
          <w:szCs w:val="22"/>
        </w:rPr>
        <w:t xml:space="preserve">The Reserve contains only revaluation gains accumulated since 1 April 2007, the date that the Reserve was created.   </w:t>
      </w:r>
      <w:r w:rsidRPr="002C08E2">
        <w:rPr>
          <w:sz w:val="22"/>
        </w:rPr>
        <w:t>Accumulated</w:t>
      </w:r>
      <w:r>
        <w:rPr>
          <w:rFonts w:cs="Arial"/>
          <w:sz w:val="22"/>
          <w:szCs w:val="22"/>
        </w:rPr>
        <w:t xml:space="preserve"> gains arising before that date are consolidated into the balance on the Capital Adjustment Account.</w:t>
      </w:r>
    </w:p>
    <w:p w:rsidR="00D90216" w:rsidRDefault="00D90216" w:rsidP="00D90216">
      <w:pPr>
        <w:ind w:left="709" w:hanging="709"/>
        <w:rPr>
          <w:b/>
          <w:sz w:val="22"/>
        </w:rPr>
      </w:pPr>
    </w:p>
    <w:p w:rsidR="00D90216" w:rsidRPr="00234358" w:rsidRDefault="00D90216" w:rsidP="00D90216">
      <w:pPr>
        <w:pStyle w:val="BodyTextIndent"/>
        <w:ind w:left="709"/>
        <w:jc w:val="both"/>
        <w:rPr>
          <w:b/>
          <w:sz w:val="22"/>
          <w:lang w:val="en-GB"/>
        </w:rPr>
      </w:pPr>
      <w:r w:rsidRPr="00234358">
        <w:rPr>
          <w:b/>
          <w:sz w:val="22"/>
          <w:lang w:val="en-GB"/>
        </w:rPr>
        <w:t>Capital Adjustment Account</w:t>
      </w:r>
    </w:p>
    <w:p w:rsidR="00D90216" w:rsidRDefault="00D90216" w:rsidP="00D90216">
      <w:pPr>
        <w:pStyle w:val="BodyTextIndent"/>
        <w:ind w:left="709"/>
        <w:jc w:val="both"/>
        <w:rPr>
          <w:sz w:val="22"/>
          <w:highlight w:val="cyan"/>
          <w:lang w:val="en-GB"/>
        </w:rPr>
      </w:pPr>
    </w:p>
    <w:p w:rsidR="00D90216" w:rsidRPr="0047147F" w:rsidRDefault="00D90216" w:rsidP="002C08E2">
      <w:pPr>
        <w:ind w:left="720"/>
        <w:jc w:val="both"/>
        <w:rPr>
          <w:sz w:val="22"/>
          <w:szCs w:val="22"/>
        </w:rPr>
      </w:pPr>
      <w:r w:rsidRPr="0047147F">
        <w:rPr>
          <w:sz w:val="22"/>
          <w:szCs w:val="22"/>
        </w:rPr>
        <w:t xml:space="preserve">The Capital Adjustment Account absorbs the timing differences arising from the different arrangements for accounting for the consumption of non-current assets and for financing the acquisition under statutory provisions.  The account is debited with the cost of acquisition as depreciation, impairment losses and amortisations are </w:t>
      </w:r>
      <w:r w:rsidRPr="002C08E2">
        <w:rPr>
          <w:sz w:val="22"/>
        </w:rPr>
        <w:t>charged</w:t>
      </w:r>
      <w:r w:rsidRPr="0047147F">
        <w:rPr>
          <w:sz w:val="22"/>
          <w:szCs w:val="22"/>
        </w:rPr>
        <w:t xml:space="preserve"> to the Comprehensive Income and Expenditure Statement.  The Account is credited with the amounts set aside by the Authority as finance for the costs of acquisition.</w:t>
      </w:r>
    </w:p>
    <w:p w:rsidR="00D90216" w:rsidRPr="0047147F" w:rsidRDefault="00D90216" w:rsidP="00D90216">
      <w:pPr>
        <w:ind w:left="709"/>
        <w:rPr>
          <w:sz w:val="22"/>
          <w:szCs w:val="22"/>
        </w:rPr>
      </w:pPr>
    </w:p>
    <w:p w:rsidR="00BC6640" w:rsidRDefault="00BC6640" w:rsidP="002000FC">
      <w:pPr>
        <w:ind w:left="720"/>
        <w:jc w:val="both"/>
        <w:rPr>
          <w:sz w:val="22"/>
          <w:szCs w:val="22"/>
        </w:rPr>
      </w:pPr>
      <w:r>
        <w:rPr>
          <w:sz w:val="22"/>
          <w:szCs w:val="22"/>
        </w:rPr>
        <w:br w:type="page"/>
      </w:r>
    </w:p>
    <w:p w:rsidR="00D90216" w:rsidRDefault="0050693C" w:rsidP="002000FC">
      <w:pPr>
        <w:ind w:left="720"/>
        <w:jc w:val="both"/>
        <w:rPr>
          <w:sz w:val="22"/>
          <w:szCs w:val="22"/>
        </w:rPr>
      </w:pPr>
      <w:r w:rsidRPr="002000FC">
        <w:rPr>
          <w:sz w:val="22"/>
          <w:szCs w:val="22"/>
        </w:rPr>
        <w:lastRenderedPageBreak/>
        <w:t>In addition, t</w:t>
      </w:r>
      <w:r w:rsidR="00D90216" w:rsidRPr="002000FC">
        <w:rPr>
          <w:sz w:val="22"/>
          <w:szCs w:val="22"/>
        </w:rPr>
        <w:t xml:space="preserve">he </w:t>
      </w:r>
      <w:r w:rsidRPr="002000FC">
        <w:rPr>
          <w:sz w:val="22"/>
          <w:szCs w:val="22"/>
        </w:rPr>
        <w:t>a</w:t>
      </w:r>
      <w:r w:rsidR="00D90216" w:rsidRPr="002000FC">
        <w:rPr>
          <w:sz w:val="22"/>
          <w:szCs w:val="22"/>
        </w:rPr>
        <w:t>ccount contains revaluation gains accumulated on Property, Plant and Equipment before 1 April 2007, the date the Revaluation Reserve was created to hold such gains.</w:t>
      </w:r>
    </w:p>
    <w:p w:rsidR="00B753AF" w:rsidRPr="002000FC" w:rsidRDefault="00B753AF" w:rsidP="002000FC">
      <w:pPr>
        <w:ind w:left="720"/>
        <w:jc w:val="both"/>
        <w:rPr>
          <w:sz w:val="22"/>
          <w:szCs w:val="22"/>
          <w:highlight w:val="cyan"/>
        </w:rPr>
      </w:pPr>
    </w:p>
    <w:tbl>
      <w:tblPr>
        <w:tblW w:w="8886" w:type="dxa"/>
        <w:tblInd w:w="720" w:type="dxa"/>
        <w:tblLayout w:type="fixed"/>
        <w:tblLook w:val="0000" w:firstRow="0" w:lastRow="0" w:firstColumn="0" w:lastColumn="0" w:noHBand="0" w:noVBand="0"/>
      </w:tblPr>
      <w:tblGrid>
        <w:gridCol w:w="4350"/>
        <w:gridCol w:w="1134"/>
        <w:gridCol w:w="1134"/>
        <w:gridCol w:w="1134"/>
        <w:gridCol w:w="1134"/>
      </w:tblGrid>
      <w:tr w:rsidR="006B0A70" w:rsidRPr="00A60775" w:rsidTr="00CD62E6">
        <w:trPr>
          <w:trHeight w:hRule="exact" w:val="300"/>
        </w:trPr>
        <w:tc>
          <w:tcPr>
            <w:tcW w:w="4350" w:type="dxa"/>
          </w:tcPr>
          <w:p w:rsidR="006B0A70" w:rsidRPr="00A60775" w:rsidRDefault="006B0A70" w:rsidP="00CD62E6">
            <w:pPr>
              <w:tabs>
                <w:tab w:val="left" w:pos="720"/>
                <w:tab w:val="center" w:pos="6930"/>
              </w:tabs>
              <w:rPr>
                <w:sz w:val="22"/>
                <w:highlight w:val="cyan"/>
              </w:rPr>
            </w:pPr>
          </w:p>
        </w:tc>
        <w:tc>
          <w:tcPr>
            <w:tcW w:w="2268" w:type="dxa"/>
            <w:gridSpan w:val="2"/>
          </w:tcPr>
          <w:p w:rsidR="006B0A70" w:rsidRPr="001844B0" w:rsidRDefault="006B0A70" w:rsidP="006B0A70">
            <w:pPr>
              <w:jc w:val="center"/>
              <w:rPr>
                <w:sz w:val="22"/>
                <w:szCs w:val="22"/>
              </w:rPr>
            </w:pPr>
            <w:r w:rsidRPr="001844B0">
              <w:rPr>
                <w:sz w:val="22"/>
                <w:szCs w:val="22"/>
              </w:rPr>
              <w:t>201</w:t>
            </w:r>
            <w:r>
              <w:rPr>
                <w:sz w:val="22"/>
                <w:szCs w:val="22"/>
              </w:rPr>
              <w:t>7</w:t>
            </w:r>
            <w:r w:rsidRPr="001844B0">
              <w:rPr>
                <w:sz w:val="22"/>
                <w:szCs w:val="22"/>
              </w:rPr>
              <w:t>/</w:t>
            </w:r>
            <w:r>
              <w:rPr>
                <w:sz w:val="22"/>
                <w:szCs w:val="22"/>
              </w:rPr>
              <w:t>18</w:t>
            </w:r>
          </w:p>
        </w:tc>
        <w:tc>
          <w:tcPr>
            <w:tcW w:w="2268" w:type="dxa"/>
            <w:gridSpan w:val="2"/>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D90216" w:rsidRPr="00A60775" w:rsidTr="00CD62E6">
        <w:trPr>
          <w:trHeight w:hRule="exact" w:val="300"/>
        </w:trPr>
        <w:tc>
          <w:tcPr>
            <w:tcW w:w="4350" w:type="dxa"/>
          </w:tcPr>
          <w:p w:rsidR="00D90216" w:rsidRPr="00A60775" w:rsidRDefault="00D90216" w:rsidP="00CD62E6">
            <w:pPr>
              <w:tabs>
                <w:tab w:val="left" w:pos="720"/>
                <w:tab w:val="center" w:pos="6930"/>
              </w:tabs>
              <w:spacing w:after="120"/>
              <w:rPr>
                <w:sz w:val="22"/>
                <w:highlight w:val="cyan"/>
              </w:rPr>
            </w:pPr>
          </w:p>
        </w:tc>
        <w:tc>
          <w:tcPr>
            <w:tcW w:w="1134" w:type="dxa"/>
          </w:tcPr>
          <w:p w:rsidR="00D90216" w:rsidRPr="004D5154" w:rsidRDefault="00D90216" w:rsidP="00CD62E6">
            <w:pPr>
              <w:jc w:val="center"/>
              <w:rPr>
                <w:sz w:val="22"/>
              </w:rPr>
            </w:pPr>
            <w:r w:rsidRPr="004D5154">
              <w:rPr>
                <w:sz w:val="22"/>
              </w:rPr>
              <w:t>£000</w:t>
            </w:r>
          </w:p>
        </w:tc>
        <w:tc>
          <w:tcPr>
            <w:tcW w:w="1134" w:type="dxa"/>
          </w:tcPr>
          <w:p w:rsidR="00D90216" w:rsidRPr="004D5154" w:rsidRDefault="00D90216" w:rsidP="00CD62E6">
            <w:pPr>
              <w:jc w:val="center"/>
              <w:rPr>
                <w:sz w:val="22"/>
              </w:rPr>
            </w:pPr>
            <w:r w:rsidRPr="004D5154">
              <w:rPr>
                <w:sz w:val="22"/>
              </w:rPr>
              <w:t>£000</w:t>
            </w:r>
          </w:p>
        </w:tc>
        <w:tc>
          <w:tcPr>
            <w:tcW w:w="1134" w:type="dxa"/>
          </w:tcPr>
          <w:p w:rsidR="00D90216" w:rsidRPr="004D5154" w:rsidRDefault="00D90216" w:rsidP="00CD62E6">
            <w:pPr>
              <w:jc w:val="center"/>
              <w:rPr>
                <w:sz w:val="22"/>
              </w:rPr>
            </w:pPr>
            <w:r w:rsidRPr="004D5154">
              <w:rPr>
                <w:sz w:val="22"/>
              </w:rPr>
              <w:t>£000</w:t>
            </w:r>
          </w:p>
        </w:tc>
        <w:tc>
          <w:tcPr>
            <w:tcW w:w="1134" w:type="dxa"/>
          </w:tcPr>
          <w:p w:rsidR="00D90216" w:rsidRPr="004D5154" w:rsidRDefault="00D90216" w:rsidP="00CD62E6">
            <w:pPr>
              <w:jc w:val="center"/>
              <w:rPr>
                <w:sz w:val="22"/>
              </w:rPr>
            </w:pPr>
            <w:r w:rsidRPr="004D5154">
              <w:rPr>
                <w:sz w:val="22"/>
              </w:rPr>
              <w:t>£000</w:t>
            </w:r>
          </w:p>
        </w:tc>
      </w:tr>
      <w:tr w:rsidR="006B0A70" w:rsidRPr="00A60775" w:rsidTr="00CD62E6">
        <w:trPr>
          <w:trHeight w:hRule="exact" w:val="300"/>
        </w:trPr>
        <w:tc>
          <w:tcPr>
            <w:tcW w:w="4350" w:type="dxa"/>
          </w:tcPr>
          <w:p w:rsidR="006B0A70" w:rsidRPr="00A60775" w:rsidRDefault="006B0A70" w:rsidP="00CD62E6">
            <w:pPr>
              <w:tabs>
                <w:tab w:val="left" w:pos="720"/>
                <w:tab w:val="center" w:pos="6930"/>
              </w:tabs>
              <w:rPr>
                <w:sz w:val="22"/>
                <w:highlight w:val="cyan"/>
              </w:rPr>
            </w:pPr>
            <w:r>
              <w:rPr>
                <w:sz w:val="22"/>
              </w:rPr>
              <w:t>Balance at 1 April</w:t>
            </w:r>
          </w:p>
        </w:tc>
        <w:tc>
          <w:tcPr>
            <w:tcW w:w="1134" w:type="dxa"/>
          </w:tcPr>
          <w:p w:rsidR="006B0A70" w:rsidRPr="009B6E08" w:rsidRDefault="006B0A70" w:rsidP="00CD62E6">
            <w:pPr>
              <w:tabs>
                <w:tab w:val="decimal" w:pos="1080"/>
              </w:tabs>
              <w:rPr>
                <w:sz w:val="22"/>
                <w:highlight w:val="yellow"/>
              </w:rPr>
            </w:pPr>
          </w:p>
        </w:tc>
        <w:tc>
          <w:tcPr>
            <w:tcW w:w="1134" w:type="dxa"/>
          </w:tcPr>
          <w:p w:rsidR="006B0A70" w:rsidRPr="004D5154" w:rsidRDefault="006B0A70" w:rsidP="006B0A70">
            <w:pPr>
              <w:tabs>
                <w:tab w:val="decimal" w:pos="884"/>
              </w:tabs>
              <w:rPr>
                <w:sz w:val="22"/>
              </w:rPr>
            </w:pPr>
            <w:r w:rsidRPr="00F80187">
              <w:rPr>
                <w:sz w:val="22"/>
              </w:rPr>
              <w:t>(3</w:t>
            </w:r>
            <w:r>
              <w:rPr>
                <w:sz w:val="22"/>
              </w:rPr>
              <w:t>6,7</w:t>
            </w:r>
            <w:r w:rsidRPr="00F80187">
              <w:rPr>
                <w:sz w:val="22"/>
              </w:rPr>
              <w:t>6</w:t>
            </w:r>
            <w:r>
              <w:rPr>
                <w:sz w:val="22"/>
              </w:rPr>
              <w:t>2</w:t>
            </w:r>
            <w:r w:rsidRPr="00F80187">
              <w:rPr>
                <w:sz w:val="22"/>
              </w:rPr>
              <w:t>)</w:t>
            </w:r>
          </w:p>
        </w:tc>
        <w:tc>
          <w:tcPr>
            <w:tcW w:w="1134" w:type="dxa"/>
          </w:tcPr>
          <w:p w:rsidR="006B0A70" w:rsidRPr="009B6E08" w:rsidRDefault="006B0A70" w:rsidP="0096743B">
            <w:pPr>
              <w:tabs>
                <w:tab w:val="decimal" w:pos="1080"/>
              </w:tabs>
              <w:rPr>
                <w:sz w:val="22"/>
                <w:highlight w:val="yellow"/>
              </w:rPr>
            </w:pPr>
          </w:p>
        </w:tc>
        <w:tc>
          <w:tcPr>
            <w:tcW w:w="1134" w:type="dxa"/>
          </w:tcPr>
          <w:p w:rsidR="006B0A70" w:rsidRPr="004D5154" w:rsidRDefault="006B0A70" w:rsidP="0096743B">
            <w:pPr>
              <w:tabs>
                <w:tab w:val="decimal" w:pos="884"/>
              </w:tabs>
              <w:rPr>
                <w:sz w:val="22"/>
              </w:rPr>
            </w:pPr>
            <w:r w:rsidRPr="00F80187">
              <w:rPr>
                <w:sz w:val="22"/>
              </w:rPr>
              <w:t>(37,868)</w:t>
            </w:r>
          </w:p>
        </w:tc>
      </w:tr>
      <w:tr w:rsidR="006B0A70" w:rsidRPr="00A60775" w:rsidTr="00CD62E6">
        <w:trPr>
          <w:trHeight w:hRule="exact" w:val="1096"/>
        </w:trPr>
        <w:tc>
          <w:tcPr>
            <w:tcW w:w="4350" w:type="dxa"/>
          </w:tcPr>
          <w:p w:rsidR="006B0A70" w:rsidRPr="00A60775" w:rsidRDefault="006B0A70" w:rsidP="00CD62E6">
            <w:pPr>
              <w:tabs>
                <w:tab w:val="left" w:pos="720"/>
                <w:tab w:val="center" w:pos="6930"/>
              </w:tabs>
              <w:rPr>
                <w:sz w:val="22"/>
                <w:highlight w:val="cyan"/>
              </w:rPr>
            </w:pPr>
            <w:r w:rsidRPr="00553AEF">
              <w:rPr>
                <w:sz w:val="22"/>
              </w:rPr>
              <w:t>Reversal of items relating to capital expenditure debited or credited to the Comprehensive Income and Expenditure Statement:</w:t>
            </w:r>
          </w:p>
        </w:tc>
        <w:tc>
          <w:tcPr>
            <w:tcW w:w="1134" w:type="dxa"/>
          </w:tcPr>
          <w:p w:rsidR="006B0A70" w:rsidRPr="009B6E08" w:rsidRDefault="006B0A70" w:rsidP="00CD62E6">
            <w:pPr>
              <w:tabs>
                <w:tab w:val="decimal" w:pos="1080"/>
              </w:tabs>
              <w:rPr>
                <w:sz w:val="22"/>
                <w:highlight w:val="yellow"/>
              </w:rPr>
            </w:pPr>
          </w:p>
        </w:tc>
        <w:tc>
          <w:tcPr>
            <w:tcW w:w="1134" w:type="dxa"/>
          </w:tcPr>
          <w:p w:rsidR="006B0A70" w:rsidRPr="009B6E08" w:rsidRDefault="006B0A70" w:rsidP="00CD62E6">
            <w:pPr>
              <w:tabs>
                <w:tab w:val="decimal" w:pos="885"/>
              </w:tabs>
              <w:rPr>
                <w:sz w:val="22"/>
                <w:highlight w:val="yellow"/>
              </w:rPr>
            </w:pPr>
          </w:p>
        </w:tc>
        <w:tc>
          <w:tcPr>
            <w:tcW w:w="1134" w:type="dxa"/>
          </w:tcPr>
          <w:p w:rsidR="006B0A70" w:rsidRPr="009B6E08" w:rsidRDefault="006B0A70" w:rsidP="0096743B">
            <w:pPr>
              <w:tabs>
                <w:tab w:val="decimal" w:pos="1080"/>
              </w:tabs>
              <w:rPr>
                <w:sz w:val="22"/>
                <w:highlight w:val="yellow"/>
              </w:rPr>
            </w:pPr>
          </w:p>
        </w:tc>
        <w:tc>
          <w:tcPr>
            <w:tcW w:w="1134" w:type="dxa"/>
          </w:tcPr>
          <w:p w:rsidR="006B0A70" w:rsidRPr="009B6E08" w:rsidRDefault="006B0A70" w:rsidP="0096743B">
            <w:pPr>
              <w:tabs>
                <w:tab w:val="decimal" w:pos="885"/>
              </w:tabs>
              <w:rPr>
                <w:sz w:val="22"/>
                <w:highlight w:val="yellow"/>
              </w:rPr>
            </w:pPr>
          </w:p>
        </w:tc>
      </w:tr>
      <w:tr w:rsidR="006B0A70" w:rsidRPr="00A60775" w:rsidTr="00E2639F">
        <w:trPr>
          <w:trHeight w:hRule="exact" w:val="573"/>
        </w:trPr>
        <w:tc>
          <w:tcPr>
            <w:tcW w:w="4350" w:type="dxa"/>
          </w:tcPr>
          <w:p w:rsidR="006B0A70" w:rsidRPr="00553AEF" w:rsidRDefault="006B0A70" w:rsidP="00882E25">
            <w:pPr>
              <w:numPr>
                <w:ilvl w:val="0"/>
                <w:numId w:val="16"/>
              </w:numPr>
              <w:tabs>
                <w:tab w:val="center" w:pos="6930"/>
              </w:tabs>
              <w:rPr>
                <w:sz w:val="22"/>
              </w:rPr>
            </w:pPr>
            <w:r w:rsidRPr="00553AEF">
              <w:rPr>
                <w:sz w:val="22"/>
              </w:rPr>
              <w:t>Charges for depreciation and impairment of non-current assets</w:t>
            </w:r>
          </w:p>
        </w:tc>
        <w:tc>
          <w:tcPr>
            <w:tcW w:w="1134" w:type="dxa"/>
          </w:tcPr>
          <w:p w:rsidR="006B0A70" w:rsidRDefault="006B0A70" w:rsidP="004D5154">
            <w:pPr>
              <w:tabs>
                <w:tab w:val="decimal" w:pos="884"/>
              </w:tabs>
              <w:rPr>
                <w:sz w:val="22"/>
              </w:rPr>
            </w:pPr>
          </w:p>
          <w:p w:rsidR="00103759" w:rsidRPr="004D5154" w:rsidRDefault="00103759" w:rsidP="004D5154">
            <w:pPr>
              <w:tabs>
                <w:tab w:val="decimal" w:pos="884"/>
              </w:tabs>
              <w:rPr>
                <w:sz w:val="22"/>
              </w:rPr>
            </w:pPr>
            <w:r>
              <w:rPr>
                <w:sz w:val="22"/>
              </w:rPr>
              <w:t>2,351</w:t>
            </w:r>
          </w:p>
        </w:tc>
        <w:tc>
          <w:tcPr>
            <w:tcW w:w="1134" w:type="dxa"/>
          </w:tcPr>
          <w:p w:rsidR="006B0A70" w:rsidRPr="004D5154" w:rsidRDefault="006B0A70" w:rsidP="00CD62E6">
            <w:pPr>
              <w:tabs>
                <w:tab w:val="decimal" w:pos="885"/>
              </w:tabs>
              <w:rPr>
                <w:sz w:val="22"/>
              </w:rPr>
            </w:pPr>
          </w:p>
        </w:tc>
        <w:tc>
          <w:tcPr>
            <w:tcW w:w="1134" w:type="dxa"/>
          </w:tcPr>
          <w:p w:rsidR="006B0A70" w:rsidRDefault="006B0A70" w:rsidP="0096743B">
            <w:pPr>
              <w:tabs>
                <w:tab w:val="decimal" w:pos="884"/>
              </w:tabs>
              <w:rPr>
                <w:sz w:val="22"/>
              </w:rPr>
            </w:pPr>
          </w:p>
          <w:p w:rsidR="006B0A70" w:rsidRPr="004D5154" w:rsidRDefault="006B0A70" w:rsidP="0096743B">
            <w:pPr>
              <w:tabs>
                <w:tab w:val="decimal" w:pos="884"/>
              </w:tabs>
              <w:rPr>
                <w:sz w:val="22"/>
              </w:rPr>
            </w:pPr>
            <w:r>
              <w:rPr>
                <w:sz w:val="22"/>
              </w:rPr>
              <w:t>3,337</w:t>
            </w:r>
          </w:p>
        </w:tc>
        <w:tc>
          <w:tcPr>
            <w:tcW w:w="1134" w:type="dxa"/>
          </w:tcPr>
          <w:p w:rsidR="006B0A70" w:rsidRPr="004D5154" w:rsidRDefault="006B0A70" w:rsidP="0096743B">
            <w:pPr>
              <w:tabs>
                <w:tab w:val="decimal" w:pos="885"/>
              </w:tabs>
              <w:rPr>
                <w:sz w:val="22"/>
              </w:rPr>
            </w:pPr>
          </w:p>
        </w:tc>
      </w:tr>
      <w:tr w:rsidR="006B0A70" w:rsidRPr="00A60775" w:rsidTr="00E2639F">
        <w:trPr>
          <w:trHeight w:hRule="exact" w:val="580"/>
        </w:trPr>
        <w:tc>
          <w:tcPr>
            <w:tcW w:w="4350" w:type="dxa"/>
          </w:tcPr>
          <w:p w:rsidR="006B0A70" w:rsidRPr="00553AEF" w:rsidRDefault="006B0A70" w:rsidP="00882E25">
            <w:pPr>
              <w:numPr>
                <w:ilvl w:val="0"/>
                <w:numId w:val="16"/>
              </w:numPr>
              <w:tabs>
                <w:tab w:val="center" w:pos="6930"/>
              </w:tabs>
              <w:rPr>
                <w:sz w:val="22"/>
              </w:rPr>
            </w:pPr>
            <w:r>
              <w:rPr>
                <w:sz w:val="22"/>
              </w:rPr>
              <w:t>Revaluation losses on Property, Plant &amp; Equipment</w:t>
            </w:r>
          </w:p>
        </w:tc>
        <w:tc>
          <w:tcPr>
            <w:tcW w:w="1134" w:type="dxa"/>
          </w:tcPr>
          <w:p w:rsidR="006B0A70" w:rsidRDefault="006B0A70" w:rsidP="00CD62E6">
            <w:pPr>
              <w:tabs>
                <w:tab w:val="decimal" w:pos="884"/>
              </w:tabs>
              <w:rPr>
                <w:sz w:val="22"/>
              </w:rPr>
            </w:pPr>
          </w:p>
          <w:p w:rsidR="00103759" w:rsidRPr="004D5154" w:rsidRDefault="00657B2A" w:rsidP="00657B2A">
            <w:pPr>
              <w:tabs>
                <w:tab w:val="decimal" w:pos="884"/>
              </w:tabs>
              <w:rPr>
                <w:sz w:val="22"/>
              </w:rPr>
            </w:pPr>
            <w:r>
              <w:rPr>
                <w:sz w:val="22"/>
              </w:rPr>
              <w:t>699</w:t>
            </w:r>
          </w:p>
        </w:tc>
        <w:tc>
          <w:tcPr>
            <w:tcW w:w="1134" w:type="dxa"/>
          </w:tcPr>
          <w:p w:rsidR="006B0A70" w:rsidRPr="004D5154" w:rsidRDefault="006B0A70" w:rsidP="00CD62E6">
            <w:pPr>
              <w:tabs>
                <w:tab w:val="decimal" w:pos="885"/>
              </w:tabs>
              <w:rPr>
                <w:sz w:val="22"/>
              </w:rPr>
            </w:pPr>
          </w:p>
        </w:tc>
        <w:tc>
          <w:tcPr>
            <w:tcW w:w="1134" w:type="dxa"/>
          </w:tcPr>
          <w:p w:rsidR="006B0A70" w:rsidRDefault="006B0A70" w:rsidP="0096743B">
            <w:pPr>
              <w:tabs>
                <w:tab w:val="decimal" w:pos="884"/>
              </w:tabs>
              <w:rPr>
                <w:sz w:val="22"/>
              </w:rPr>
            </w:pPr>
          </w:p>
          <w:p w:rsidR="006B0A70" w:rsidRPr="004D5154" w:rsidRDefault="006B0A70" w:rsidP="0096743B">
            <w:pPr>
              <w:tabs>
                <w:tab w:val="decimal" w:pos="884"/>
              </w:tabs>
              <w:rPr>
                <w:sz w:val="22"/>
              </w:rPr>
            </w:pPr>
            <w:r>
              <w:rPr>
                <w:sz w:val="22"/>
              </w:rPr>
              <w:t>1,477</w:t>
            </w:r>
          </w:p>
        </w:tc>
        <w:tc>
          <w:tcPr>
            <w:tcW w:w="1134" w:type="dxa"/>
          </w:tcPr>
          <w:p w:rsidR="006B0A70" w:rsidRPr="004D5154" w:rsidRDefault="006B0A70" w:rsidP="0096743B">
            <w:pPr>
              <w:tabs>
                <w:tab w:val="decimal" w:pos="885"/>
              </w:tabs>
              <w:rPr>
                <w:sz w:val="22"/>
              </w:rPr>
            </w:pPr>
          </w:p>
        </w:tc>
      </w:tr>
      <w:tr w:rsidR="006B0A70" w:rsidRPr="00A60775" w:rsidTr="00E2639F">
        <w:trPr>
          <w:trHeight w:hRule="exact" w:val="300"/>
        </w:trPr>
        <w:tc>
          <w:tcPr>
            <w:tcW w:w="4350" w:type="dxa"/>
          </w:tcPr>
          <w:p w:rsidR="006B0A70" w:rsidRPr="00553AEF" w:rsidRDefault="006B0A70" w:rsidP="00882E25">
            <w:pPr>
              <w:numPr>
                <w:ilvl w:val="0"/>
                <w:numId w:val="16"/>
              </w:numPr>
              <w:tabs>
                <w:tab w:val="center" w:pos="6930"/>
              </w:tabs>
              <w:rPr>
                <w:sz w:val="22"/>
              </w:rPr>
            </w:pPr>
            <w:r w:rsidRPr="00553AEF">
              <w:rPr>
                <w:sz w:val="22"/>
              </w:rPr>
              <w:t>Amortisation of intangible assets</w:t>
            </w:r>
          </w:p>
        </w:tc>
        <w:tc>
          <w:tcPr>
            <w:tcW w:w="1134" w:type="dxa"/>
            <w:tcBorders>
              <w:bottom w:val="single" w:sz="4" w:space="0" w:color="auto"/>
            </w:tcBorders>
          </w:tcPr>
          <w:p w:rsidR="006B0A70" w:rsidRPr="004D5154" w:rsidRDefault="00657B2A" w:rsidP="00CD62E6">
            <w:pPr>
              <w:tabs>
                <w:tab w:val="decimal" w:pos="884"/>
              </w:tabs>
              <w:rPr>
                <w:sz w:val="22"/>
              </w:rPr>
            </w:pPr>
            <w:r>
              <w:rPr>
                <w:sz w:val="22"/>
              </w:rPr>
              <w:t>122</w:t>
            </w:r>
          </w:p>
        </w:tc>
        <w:tc>
          <w:tcPr>
            <w:tcW w:w="1134" w:type="dxa"/>
          </w:tcPr>
          <w:p w:rsidR="006B0A70" w:rsidRPr="004D5154" w:rsidRDefault="006B0A70" w:rsidP="00CD62E6">
            <w:pPr>
              <w:tabs>
                <w:tab w:val="decimal" w:pos="885"/>
              </w:tabs>
              <w:rPr>
                <w:sz w:val="22"/>
              </w:rPr>
            </w:pPr>
          </w:p>
        </w:tc>
        <w:tc>
          <w:tcPr>
            <w:tcW w:w="1134" w:type="dxa"/>
            <w:tcBorders>
              <w:bottom w:val="single" w:sz="4" w:space="0" w:color="auto"/>
            </w:tcBorders>
          </w:tcPr>
          <w:p w:rsidR="006B0A70" w:rsidRPr="004D5154" w:rsidRDefault="006B0A70" w:rsidP="0096743B">
            <w:pPr>
              <w:tabs>
                <w:tab w:val="decimal" w:pos="884"/>
              </w:tabs>
              <w:rPr>
                <w:sz w:val="22"/>
              </w:rPr>
            </w:pPr>
            <w:r>
              <w:rPr>
                <w:sz w:val="22"/>
              </w:rPr>
              <w:t>132</w:t>
            </w:r>
          </w:p>
        </w:tc>
        <w:tc>
          <w:tcPr>
            <w:tcW w:w="1134" w:type="dxa"/>
          </w:tcPr>
          <w:p w:rsidR="006B0A70" w:rsidRPr="004D5154" w:rsidRDefault="006B0A70" w:rsidP="0096743B">
            <w:pPr>
              <w:tabs>
                <w:tab w:val="decimal" w:pos="885"/>
              </w:tabs>
              <w:rPr>
                <w:sz w:val="22"/>
              </w:rPr>
            </w:pPr>
          </w:p>
        </w:tc>
      </w:tr>
      <w:tr w:rsidR="006B0A70" w:rsidRPr="00A60775" w:rsidTr="00E2639F">
        <w:trPr>
          <w:trHeight w:hRule="exact" w:val="300"/>
        </w:trPr>
        <w:tc>
          <w:tcPr>
            <w:tcW w:w="4350" w:type="dxa"/>
          </w:tcPr>
          <w:p w:rsidR="006B0A70" w:rsidRPr="00856B3D" w:rsidRDefault="006B0A70" w:rsidP="00CD62E6">
            <w:pPr>
              <w:tabs>
                <w:tab w:val="left" w:pos="720"/>
                <w:tab w:val="center" w:pos="6930"/>
              </w:tabs>
              <w:rPr>
                <w:sz w:val="22"/>
                <w:szCs w:val="22"/>
                <w:highlight w:val="cyan"/>
              </w:rPr>
            </w:pPr>
          </w:p>
        </w:tc>
        <w:tc>
          <w:tcPr>
            <w:tcW w:w="1134" w:type="dxa"/>
            <w:tcBorders>
              <w:top w:val="single" w:sz="4" w:space="0" w:color="auto"/>
            </w:tcBorders>
          </w:tcPr>
          <w:p w:rsidR="006B0A70" w:rsidRPr="004D5154" w:rsidRDefault="006B0A70" w:rsidP="00CD62E6">
            <w:pPr>
              <w:tabs>
                <w:tab w:val="decimal" w:pos="1080"/>
              </w:tabs>
              <w:rPr>
                <w:sz w:val="22"/>
              </w:rPr>
            </w:pPr>
          </w:p>
        </w:tc>
        <w:tc>
          <w:tcPr>
            <w:tcW w:w="1134" w:type="dxa"/>
          </w:tcPr>
          <w:p w:rsidR="006B0A70" w:rsidRPr="004D5154" w:rsidRDefault="00657B2A" w:rsidP="00657B2A">
            <w:pPr>
              <w:tabs>
                <w:tab w:val="decimal" w:pos="885"/>
              </w:tabs>
              <w:rPr>
                <w:sz w:val="22"/>
              </w:rPr>
            </w:pPr>
            <w:r>
              <w:rPr>
                <w:sz w:val="22"/>
              </w:rPr>
              <w:t>3,172</w:t>
            </w:r>
          </w:p>
        </w:tc>
        <w:tc>
          <w:tcPr>
            <w:tcW w:w="1134" w:type="dxa"/>
            <w:tcBorders>
              <w:top w:val="single" w:sz="4" w:space="0" w:color="auto"/>
            </w:tcBorders>
          </w:tcPr>
          <w:p w:rsidR="006B0A70" w:rsidRPr="004D5154" w:rsidRDefault="006B0A70" w:rsidP="0096743B">
            <w:pPr>
              <w:tabs>
                <w:tab w:val="decimal" w:pos="1080"/>
              </w:tabs>
              <w:rPr>
                <w:sz w:val="22"/>
              </w:rPr>
            </w:pPr>
          </w:p>
        </w:tc>
        <w:tc>
          <w:tcPr>
            <w:tcW w:w="1134" w:type="dxa"/>
          </w:tcPr>
          <w:p w:rsidR="006B0A70" w:rsidRPr="004D5154" w:rsidRDefault="006B0A70" w:rsidP="0096743B">
            <w:pPr>
              <w:tabs>
                <w:tab w:val="decimal" w:pos="885"/>
              </w:tabs>
              <w:rPr>
                <w:sz w:val="22"/>
              </w:rPr>
            </w:pPr>
            <w:r>
              <w:rPr>
                <w:sz w:val="22"/>
              </w:rPr>
              <w:t>4,945</w:t>
            </w:r>
          </w:p>
        </w:tc>
      </w:tr>
      <w:tr w:rsidR="006B0A70" w:rsidRPr="00A60775" w:rsidTr="00E2639F">
        <w:trPr>
          <w:trHeight w:hRule="exact" w:val="533"/>
        </w:trPr>
        <w:tc>
          <w:tcPr>
            <w:tcW w:w="4350" w:type="dxa"/>
          </w:tcPr>
          <w:p w:rsidR="006B0A70" w:rsidRPr="00856B3D" w:rsidRDefault="006B0A70" w:rsidP="00CD62E6">
            <w:pPr>
              <w:rPr>
                <w:rFonts w:cs="Arial"/>
                <w:sz w:val="22"/>
                <w:szCs w:val="22"/>
              </w:rPr>
            </w:pPr>
            <w:r>
              <w:rPr>
                <w:rFonts w:cs="Arial"/>
                <w:sz w:val="22"/>
                <w:szCs w:val="22"/>
              </w:rPr>
              <w:t>Disposal of assets via the Comprehensive Income &amp; Expenditure Statement</w:t>
            </w:r>
          </w:p>
        </w:tc>
        <w:tc>
          <w:tcPr>
            <w:tcW w:w="1134" w:type="dxa"/>
          </w:tcPr>
          <w:p w:rsidR="006B0A70" w:rsidRPr="009B6E08" w:rsidRDefault="006B0A70" w:rsidP="00CD62E6">
            <w:pPr>
              <w:tabs>
                <w:tab w:val="decimal" w:pos="1080"/>
              </w:tabs>
              <w:rPr>
                <w:sz w:val="22"/>
                <w:highlight w:val="yellow"/>
              </w:rPr>
            </w:pPr>
          </w:p>
        </w:tc>
        <w:tc>
          <w:tcPr>
            <w:tcW w:w="1134" w:type="dxa"/>
          </w:tcPr>
          <w:p w:rsidR="006B0A70" w:rsidRDefault="006B0A70" w:rsidP="00CD62E6">
            <w:pPr>
              <w:tabs>
                <w:tab w:val="decimal" w:pos="885"/>
              </w:tabs>
              <w:rPr>
                <w:sz w:val="22"/>
              </w:rPr>
            </w:pPr>
          </w:p>
          <w:p w:rsidR="006B0A70" w:rsidRPr="004D5154" w:rsidRDefault="0079313D" w:rsidP="00CD62E6">
            <w:pPr>
              <w:tabs>
                <w:tab w:val="decimal" w:pos="885"/>
              </w:tabs>
              <w:rPr>
                <w:sz w:val="22"/>
              </w:rPr>
            </w:pPr>
            <w:r>
              <w:rPr>
                <w:sz w:val="22"/>
              </w:rPr>
              <w:t>21</w:t>
            </w:r>
          </w:p>
        </w:tc>
        <w:tc>
          <w:tcPr>
            <w:tcW w:w="1134" w:type="dxa"/>
          </w:tcPr>
          <w:p w:rsidR="006B0A70" w:rsidRPr="009B6E08" w:rsidRDefault="006B0A70" w:rsidP="0096743B">
            <w:pPr>
              <w:tabs>
                <w:tab w:val="decimal" w:pos="1080"/>
              </w:tabs>
              <w:rPr>
                <w:sz w:val="22"/>
                <w:highlight w:val="yellow"/>
              </w:rPr>
            </w:pPr>
          </w:p>
        </w:tc>
        <w:tc>
          <w:tcPr>
            <w:tcW w:w="1134" w:type="dxa"/>
          </w:tcPr>
          <w:p w:rsidR="006B0A70" w:rsidRDefault="006B0A70" w:rsidP="0096743B">
            <w:pPr>
              <w:tabs>
                <w:tab w:val="decimal" w:pos="885"/>
              </w:tabs>
              <w:rPr>
                <w:sz w:val="22"/>
              </w:rPr>
            </w:pPr>
          </w:p>
          <w:p w:rsidR="006B0A70" w:rsidRPr="004D5154" w:rsidRDefault="006B0A70" w:rsidP="0096743B">
            <w:pPr>
              <w:tabs>
                <w:tab w:val="decimal" w:pos="885"/>
              </w:tabs>
              <w:rPr>
                <w:sz w:val="22"/>
              </w:rPr>
            </w:pPr>
            <w:r>
              <w:rPr>
                <w:sz w:val="22"/>
              </w:rPr>
              <w:t>-</w:t>
            </w:r>
          </w:p>
        </w:tc>
      </w:tr>
      <w:tr w:rsidR="006B0A70" w:rsidRPr="00A60775" w:rsidTr="00E2639F">
        <w:trPr>
          <w:trHeight w:hRule="exact" w:val="533"/>
        </w:trPr>
        <w:tc>
          <w:tcPr>
            <w:tcW w:w="4350" w:type="dxa"/>
          </w:tcPr>
          <w:p w:rsidR="006B0A70" w:rsidRPr="00856B3D" w:rsidRDefault="006B0A70" w:rsidP="00CD62E6">
            <w:pPr>
              <w:rPr>
                <w:rFonts w:cs="Arial"/>
                <w:sz w:val="22"/>
                <w:szCs w:val="22"/>
              </w:rPr>
            </w:pPr>
            <w:r w:rsidRPr="00856B3D">
              <w:rPr>
                <w:rFonts w:cs="Arial"/>
                <w:sz w:val="22"/>
                <w:szCs w:val="22"/>
              </w:rPr>
              <w:t>Adjusting amounts written out of the Revaluation Reserve</w:t>
            </w:r>
          </w:p>
          <w:p w:rsidR="006B0A70" w:rsidRPr="00856B3D" w:rsidRDefault="006B0A70" w:rsidP="00CD62E6">
            <w:pPr>
              <w:tabs>
                <w:tab w:val="left" w:pos="720"/>
                <w:tab w:val="center" w:pos="6930"/>
              </w:tabs>
              <w:rPr>
                <w:sz w:val="22"/>
                <w:szCs w:val="22"/>
              </w:rPr>
            </w:pPr>
          </w:p>
        </w:tc>
        <w:tc>
          <w:tcPr>
            <w:tcW w:w="1134" w:type="dxa"/>
          </w:tcPr>
          <w:p w:rsidR="006B0A70" w:rsidRPr="009B6E08" w:rsidRDefault="006B0A70" w:rsidP="00CD62E6">
            <w:pPr>
              <w:tabs>
                <w:tab w:val="decimal" w:pos="1080"/>
              </w:tabs>
              <w:rPr>
                <w:sz w:val="22"/>
                <w:highlight w:val="yellow"/>
              </w:rPr>
            </w:pPr>
          </w:p>
        </w:tc>
        <w:tc>
          <w:tcPr>
            <w:tcW w:w="1134" w:type="dxa"/>
            <w:tcBorders>
              <w:bottom w:val="single" w:sz="4" w:space="0" w:color="auto"/>
            </w:tcBorders>
          </w:tcPr>
          <w:p w:rsidR="006B0A70" w:rsidRDefault="006B0A70" w:rsidP="00CD62E6">
            <w:pPr>
              <w:tabs>
                <w:tab w:val="decimal" w:pos="885"/>
              </w:tabs>
              <w:rPr>
                <w:sz w:val="22"/>
              </w:rPr>
            </w:pPr>
          </w:p>
          <w:p w:rsidR="006B0A70" w:rsidRPr="004D5154" w:rsidRDefault="0079313D" w:rsidP="00CD62E6">
            <w:pPr>
              <w:tabs>
                <w:tab w:val="decimal" w:pos="885"/>
              </w:tabs>
              <w:rPr>
                <w:sz w:val="22"/>
              </w:rPr>
            </w:pPr>
            <w:r>
              <w:rPr>
                <w:sz w:val="22"/>
              </w:rPr>
              <w:t>(47)</w:t>
            </w:r>
          </w:p>
        </w:tc>
        <w:tc>
          <w:tcPr>
            <w:tcW w:w="1134" w:type="dxa"/>
          </w:tcPr>
          <w:p w:rsidR="006B0A70" w:rsidRPr="009B6E08" w:rsidRDefault="006B0A70" w:rsidP="0096743B">
            <w:pPr>
              <w:tabs>
                <w:tab w:val="decimal" w:pos="1080"/>
              </w:tabs>
              <w:rPr>
                <w:sz w:val="22"/>
                <w:highlight w:val="yellow"/>
              </w:rPr>
            </w:pPr>
          </w:p>
        </w:tc>
        <w:tc>
          <w:tcPr>
            <w:tcW w:w="1134" w:type="dxa"/>
            <w:tcBorders>
              <w:bottom w:val="single" w:sz="4" w:space="0" w:color="auto"/>
            </w:tcBorders>
          </w:tcPr>
          <w:p w:rsidR="006B0A70" w:rsidRDefault="006B0A70" w:rsidP="0096743B">
            <w:pPr>
              <w:tabs>
                <w:tab w:val="decimal" w:pos="885"/>
              </w:tabs>
              <w:rPr>
                <w:sz w:val="22"/>
              </w:rPr>
            </w:pPr>
          </w:p>
          <w:p w:rsidR="006B0A70" w:rsidRPr="004D5154" w:rsidRDefault="006B0A70" w:rsidP="0096743B">
            <w:pPr>
              <w:tabs>
                <w:tab w:val="decimal" w:pos="885"/>
              </w:tabs>
              <w:rPr>
                <w:sz w:val="22"/>
              </w:rPr>
            </w:pPr>
            <w:r>
              <w:rPr>
                <w:sz w:val="22"/>
              </w:rPr>
              <w:t>-</w:t>
            </w:r>
          </w:p>
        </w:tc>
      </w:tr>
      <w:tr w:rsidR="006B0A70" w:rsidRPr="00A60775" w:rsidTr="00CD62E6">
        <w:trPr>
          <w:trHeight w:hRule="exact" w:val="565"/>
        </w:trPr>
        <w:tc>
          <w:tcPr>
            <w:tcW w:w="4350" w:type="dxa"/>
          </w:tcPr>
          <w:p w:rsidR="006B0A70" w:rsidRPr="00856B3D" w:rsidRDefault="006B0A70" w:rsidP="00CD62E6">
            <w:pPr>
              <w:tabs>
                <w:tab w:val="left" w:pos="720"/>
                <w:tab w:val="center" w:pos="6930"/>
              </w:tabs>
              <w:rPr>
                <w:sz w:val="22"/>
              </w:rPr>
            </w:pPr>
            <w:r w:rsidRPr="00856B3D">
              <w:rPr>
                <w:sz w:val="22"/>
              </w:rPr>
              <w:t>Net amount written out of the cost of non-current assets consumed in the year</w:t>
            </w:r>
          </w:p>
        </w:tc>
        <w:tc>
          <w:tcPr>
            <w:tcW w:w="1134" w:type="dxa"/>
          </w:tcPr>
          <w:p w:rsidR="006B0A70" w:rsidRPr="009B6E08" w:rsidRDefault="006B0A70" w:rsidP="00CD62E6">
            <w:pPr>
              <w:tabs>
                <w:tab w:val="decimal" w:pos="1080"/>
              </w:tabs>
              <w:rPr>
                <w:sz w:val="22"/>
                <w:highlight w:val="yellow"/>
              </w:rPr>
            </w:pPr>
          </w:p>
        </w:tc>
        <w:tc>
          <w:tcPr>
            <w:tcW w:w="1134" w:type="dxa"/>
            <w:tcBorders>
              <w:top w:val="single" w:sz="4" w:space="0" w:color="auto"/>
            </w:tcBorders>
          </w:tcPr>
          <w:p w:rsidR="006B0A70" w:rsidRDefault="006B0A70" w:rsidP="0050454E">
            <w:pPr>
              <w:tabs>
                <w:tab w:val="decimal" w:pos="885"/>
              </w:tabs>
              <w:rPr>
                <w:sz w:val="22"/>
                <w:highlight w:val="yellow"/>
              </w:rPr>
            </w:pPr>
          </w:p>
          <w:p w:rsidR="006B0A70" w:rsidRPr="009B6E08" w:rsidRDefault="0079313D" w:rsidP="0050454E">
            <w:pPr>
              <w:tabs>
                <w:tab w:val="decimal" w:pos="885"/>
              </w:tabs>
              <w:rPr>
                <w:sz w:val="22"/>
                <w:highlight w:val="yellow"/>
              </w:rPr>
            </w:pPr>
            <w:r w:rsidRPr="0079313D">
              <w:rPr>
                <w:sz w:val="22"/>
              </w:rPr>
              <w:t>3,146</w:t>
            </w:r>
          </w:p>
        </w:tc>
        <w:tc>
          <w:tcPr>
            <w:tcW w:w="1134" w:type="dxa"/>
          </w:tcPr>
          <w:p w:rsidR="006B0A70" w:rsidRPr="009B6E08" w:rsidRDefault="006B0A70" w:rsidP="0096743B">
            <w:pPr>
              <w:tabs>
                <w:tab w:val="decimal" w:pos="1080"/>
              </w:tabs>
              <w:rPr>
                <w:sz w:val="22"/>
                <w:highlight w:val="yellow"/>
              </w:rPr>
            </w:pPr>
          </w:p>
        </w:tc>
        <w:tc>
          <w:tcPr>
            <w:tcW w:w="1134" w:type="dxa"/>
            <w:tcBorders>
              <w:top w:val="single" w:sz="4" w:space="0" w:color="auto"/>
            </w:tcBorders>
          </w:tcPr>
          <w:p w:rsidR="006B0A70" w:rsidRDefault="006B0A70" w:rsidP="0096743B">
            <w:pPr>
              <w:tabs>
                <w:tab w:val="decimal" w:pos="885"/>
              </w:tabs>
              <w:rPr>
                <w:sz w:val="22"/>
                <w:highlight w:val="yellow"/>
              </w:rPr>
            </w:pPr>
          </w:p>
          <w:p w:rsidR="006B0A70" w:rsidRPr="009B6E08" w:rsidRDefault="006B0A70" w:rsidP="0096743B">
            <w:pPr>
              <w:tabs>
                <w:tab w:val="decimal" w:pos="885"/>
              </w:tabs>
              <w:rPr>
                <w:sz w:val="22"/>
                <w:highlight w:val="yellow"/>
              </w:rPr>
            </w:pPr>
            <w:r w:rsidRPr="0049250F">
              <w:rPr>
                <w:sz w:val="22"/>
              </w:rPr>
              <w:t>4,945</w:t>
            </w:r>
          </w:p>
        </w:tc>
      </w:tr>
      <w:tr w:rsidR="002B03B5" w:rsidRPr="00A60775" w:rsidTr="00CD62E6">
        <w:trPr>
          <w:trHeight w:hRule="exact" w:val="300"/>
        </w:trPr>
        <w:tc>
          <w:tcPr>
            <w:tcW w:w="4350" w:type="dxa"/>
          </w:tcPr>
          <w:p w:rsidR="002B03B5" w:rsidRPr="00856B3D" w:rsidRDefault="002B03B5" w:rsidP="00CD62E6">
            <w:pPr>
              <w:tabs>
                <w:tab w:val="left" w:pos="720"/>
                <w:tab w:val="center" w:pos="6930"/>
              </w:tabs>
              <w:rPr>
                <w:sz w:val="22"/>
              </w:rPr>
            </w:pPr>
            <w:r w:rsidRPr="00856B3D">
              <w:rPr>
                <w:sz w:val="22"/>
              </w:rPr>
              <w:t>Capital financing applied in the year:</w:t>
            </w:r>
          </w:p>
        </w:tc>
        <w:tc>
          <w:tcPr>
            <w:tcW w:w="1134" w:type="dxa"/>
          </w:tcPr>
          <w:p w:rsidR="002B03B5" w:rsidRPr="009B6E08" w:rsidRDefault="002B03B5" w:rsidP="00CD62E6">
            <w:pPr>
              <w:tabs>
                <w:tab w:val="decimal" w:pos="1080"/>
              </w:tabs>
              <w:rPr>
                <w:sz w:val="22"/>
                <w:highlight w:val="yellow"/>
              </w:rPr>
            </w:pPr>
          </w:p>
        </w:tc>
        <w:tc>
          <w:tcPr>
            <w:tcW w:w="1134" w:type="dxa"/>
          </w:tcPr>
          <w:p w:rsidR="002B03B5" w:rsidRPr="009B6E08" w:rsidRDefault="002B03B5" w:rsidP="00CD62E6">
            <w:pPr>
              <w:tabs>
                <w:tab w:val="decimal" w:pos="885"/>
              </w:tabs>
              <w:rPr>
                <w:sz w:val="22"/>
                <w:highlight w:val="yellow"/>
              </w:rPr>
            </w:pPr>
          </w:p>
        </w:tc>
        <w:tc>
          <w:tcPr>
            <w:tcW w:w="1134" w:type="dxa"/>
          </w:tcPr>
          <w:p w:rsidR="002B03B5" w:rsidRPr="004D5154" w:rsidRDefault="002B03B5" w:rsidP="00433ABB">
            <w:pPr>
              <w:tabs>
                <w:tab w:val="decimal" w:pos="1080"/>
              </w:tabs>
              <w:rPr>
                <w:sz w:val="22"/>
              </w:rPr>
            </w:pPr>
          </w:p>
        </w:tc>
        <w:tc>
          <w:tcPr>
            <w:tcW w:w="1134" w:type="dxa"/>
          </w:tcPr>
          <w:p w:rsidR="002B03B5" w:rsidRPr="004D5154" w:rsidRDefault="002B03B5" w:rsidP="00433ABB">
            <w:pPr>
              <w:tabs>
                <w:tab w:val="decimal" w:pos="885"/>
              </w:tabs>
              <w:rPr>
                <w:sz w:val="22"/>
              </w:rPr>
            </w:pPr>
          </w:p>
        </w:tc>
      </w:tr>
      <w:tr w:rsidR="0079313D" w:rsidRPr="00A60775" w:rsidTr="00CD62E6">
        <w:trPr>
          <w:trHeight w:hRule="exact" w:val="1390"/>
        </w:trPr>
        <w:tc>
          <w:tcPr>
            <w:tcW w:w="4350" w:type="dxa"/>
          </w:tcPr>
          <w:p w:rsidR="0079313D" w:rsidRPr="00856B3D" w:rsidRDefault="0079313D" w:rsidP="00882E25">
            <w:pPr>
              <w:numPr>
                <w:ilvl w:val="0"/>
                <w:numId w:val="16"/>
              </w:numPr>
              <w:tabs>
                <w:tab w:val="center" w:pos="6930"/>
              </w:tabs>
              <w:rPr>
                <w:sz w:val="22"/>
              </w:rPr>
            </w:pPr>
            <w:r w:rsidRPr="00856B3D">
              <w:rPr>
                <w:sz w:val="22"/>
              </w:rPr>
              <w:t>Capital grants and contributions credited to the Comprehensive Income and Expenditure Statement that have been applied to capital financing</w:t>
            </w:r>
          </w:p>
        </w:tc>
        <w:tc>
          <w:tcPr>
            <w:tcW w:w="1134" w:type="dxa"/>
          </w:tcPr>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r w:rsidRPr="0079313D">
              <w:rPr>
                <w:sz w:val="22"/>
              </w:rPr>
              <w:t>(505)</w:t>
            </w:r>
          </w:p>
        </w:tc>
        <w:tc>
          <w:tcPr>
            <w:tcW w:w="1134" w:type="dxa"/>
          </w:tcPr>
          <w:p w:rsidR="0079313D" w:rsidRPr="0079313D" w:rsidRDefault="0079313D" w:rsidP="00CD62E6">
            <w:pPr>
              <w:tabs>
                <w:tab w:val="decimal" w:pos="885"/>
              </w:tabs>
              <w:rPr>
                <w:sz w:val="22"/>
              </w:rPr>
            </w:pPr>
          </w:p>
        </w:tc>
        <w:tc>
          <w:tcPr>
            <w:tcW w:w="1134" w:type="dxa"/>
          </w:tcPr>
          <w:p w:rsidR="0079313D" w:rsidRDefault="0079313D" w:rsidP="0096743B">
            <w:pPr>
              <w:tabs>
                <w:tab w:val="decimal" w:pos="885"/>
              </w:tabs>
              <w:rPr>
                <w:sz w:val="22"/>
              </w:rPr>
            </w:pPr>
          </w:p>
          <w:p w:rsidR="0079313D" w:rsidRDefault="0079313D" w:rsidP="0096743B">
            <w:pPr>
              <w:tabs>
                <w:tab w:val="decimal" w:pos="885"/>
              </w:tabs>
              <w:rPr>
                <w:sz w:val="22"/>
              </w:rPr>
            </w:pPr>
          </w:p>
          <w:p w:rsidR="0079313D" w:rsidRDefault="0079313D" w:rsidP="0096743B">
            <w:pPr>
              <w:tabs>
                <w:tab w:val="decimal" w:pos="885"/>
              </w:tabs>
              <w:rPr>
                <w:sz w:val="22"/>
              </w:rPr>
            </w:pPr>
          </w:p>
          <w:p w:rsidR="0079313D" w:rsidRDefault="0079313D" w:rsidP="0096743B">
            <w:pPr>
              <w:tabs>
                <w:tab w:val="decimal" w:pos="885"/>
              </w:tabs>
              <w:rPr>
                <w:sz w:val="22"/>
              </w:rPr>
            </w:pPr>
          </w:p>
          <w:p w:rsidR="0079313D" w:rsidRPr="0050454E" w:rsidRDefault="0079313D" w:rsidP="0096743B">
            <w:pPr>
              <w:tabs>
                <w:tab w:val="decimal" w:pos="885"/>
              </w:tabs>
              <w:rPr>
                <w:sz w:val="22"/>
              </w:rPr>
            </w:pPr>
            <w:r>
              <w:rPr>
                <w:sz w:val="22"/>
              </w:rPr>
              <w:t>(1,974)</w:t>
            </w:r>
          </w:p>
        </w:tc>
        <w:tc>
          <w:tcPr>
            <w:tcW w:w="1134" w:type="dxa"/>
          </w:tcPr>
          <w:p w:rsidR="0079313D" w:rsidRPr="009B6E08" w:rsidRDefault="0079313D" w:rsidP="0096743B">
            <w:pPr>
              <w:tabs>
                <w:tab w:val="decimal" w:pos="885"/>
              </w:tabs>
              <w:rPr>
                <w:sz w:val="22"/>
                <w:highlight w:val="yellow"/>
              </w:rPr>
            </w:pPr>
          </w:p>
        </w:tc>
      </w:tr>
      <w:tr w:rsidR="0079313D" w:rsidRPr="00A60775" w:rsidTr="009B386F">
        <w:trPr>
          <w:trHeight w:hRule="exact" w:val="857"/>
        </w:trPr>
        <w:tc>
          <w:tcPr>
            <w:tcW w:w="4350" w:type="dxa"/>
          </w:tcPr>
          <w:p w:rsidR="0079313D" w:rsidRPr="00856B3D" w:rsidRDefault="0079313D" w:rsidP="00882E25">
            <w:pPr>
              <w:numPr>
                <w:ilvl w:val="0"/>
                <w:numId w:val="16"/>
              </w:numPr>
              <w:tabs>
                <w:tab w:val="center" w:pos="6930"/>
              </w:tabs>
              <w:rPr>
                <w:sz w:val="22"/>
              </w:rPr>
            </w:pPr>
            <w:r w:rsidRPr="00856B3D">
              <w:rPr>
                <w:sz w:val="22"/>
              </w:rPr>
              <w:t>Statutory provision for financing of capital investment charged against General Fund</w:t>
            </w:r>
          </w:p>
        </w:tc>
        <w:tc>
          <w:tcPr>
            <w:tcW w:w="1134" w:type="dxa"/>
          </w:tcPr>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r w:rsidRPr="0079313D">
              <w:rPr>
                <w:sz w:val="22"/>
              </w:rPr>
              <w:t>(340)</w:t>
            </w:r>
          </w:p>
        </w:tc>
        <w:tc>
          <w:tcPr>
            <w:tcW w:w="1134" w:type="dxa"/>
          </w:tcPr>
          <w:p w:rsidR="0079313D" w:rsidRPr="0079313D" w:rsidRDefault="0079313D" w:rsidP="00CD62E6">
            <w:pPr>
              <w:tabs>
                <w:tab w:val="decimal" w:pos="885"/>
              </w:tabs>
              <w:rPr>
                <w:sz w:val="22"/>
              </w:rPr>
            </w:pPr>
          </w:p>
        </w:tc>
        <w:tc>
          <w:tcPr>
            <w:tcW w:w="1134" w:type="dxa"/>
          </w:tcPr>
          <w:p w:rsidR="0079313D" w:rsidRDefault="0079313D" w:rsidP="0096743B">
            <w:pPr>
              <w:tabs>
                <w:tab w:val="decimal" w:pos="885"/>
              </w:tabs>
              <w:rPr>
                <w:sz w:val="22"/>
              </w:rPr>
            </w:pPr>
          </w:p>
          <w:p w:rsidR="0079313D" w:rsidRDefault="0079313D" w:rsidP="0096743B">
            <w:pPr>
              <w:tabs>
                <w:tab w:val="decimal" w:pos="885"/>
              </w:tabs>
              <w:rPr>
                <w:sz w:val="22"/>
              </w:rPr>
            </w:pPr>
          </w:p>
          <w:p w:rsidR="0079313D" w:rsidRPr="0050454E" w:rsidRDefault="0079313D" w:rsidP="0096743B">
            <w:pPr>
              <w:tabs>
                <w:tab w:val="decimal" w:pos="885"/>
              </w:tabs>
              <w:rPr>
                <w:sz w:val="22"/>
              </w:rPr>
            </w:pPr>
            <w:r>
              <w:rPr>
                <w:sz w:val="22"/>
              </w:rPr>
              <w:t>(303)</w:t>
            </w:r>
          </w:p>
        </w:tc>
        <w:tc>
          <w:tcPr>
            <w:tcW w:w="1134" w:type="dxa"/>
          </w:tcPr>
          <w:p w:rsidR="0079313D" w:rsidRPr="009B6E08" w:rsidRDefault="0079313D" w:rsidP="0096743B">
            <w:pPr>
              <w:tabs>
                <w:tab w:val="decimal" w:pos="885"/>
              </w:tabs>
              <w:rPr>
                <w:sz w:val="22"/>
                <w:highlight w:val="yellow"/>
              </w:rPr>
            </w:pPr>
          </w:p>
        </w:tc>
      </w:tr>
      <w:tr w:rsidR="0079313D" w:rsidRPr="00A60775" w:rsidTr="00691EB9">
        <w:trPr>
          <w:trHeight w:hRule="exact" w:val="884"/>
        </w:trPr>
        <w:tc>
          <w:tcPr>
            <w:tcW w:w="4350" w:type="dxa"/>
          </w:tcPr>
          <w:p w:rsidR="0079313D" w:rsidRPr="00856B3D" w:rsidRDefault="0079313D" w:rsidP="00882E25">
            <w:pPr>
              <w:numPr>
                <w:ilvl w:val="0"/>
                <w:numId w:val="16"/>
              </w:numPr>
              <w:tabs>
                <w:tab w:val="center" w:pos="6930"/>
              </w:tabs>
              <w:rPr>
                <w:sz w:val="22"/>
              </w:rPr>
            </w:pPr>
            <w:r>
              <w:rPr>
                <w:sz w:val="22"/>
              </w:rPr>
              <w:t>Voluntary provision for financing of capital investment charged against General Fund</w:t>
            </w:r>
          </w:p>
        </w:tc>
        <w:tc>
          <w:tcPr>
            <w:tcW w:w="1134" w:type="dxa"/>
          </w:tcPr>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r w:rsidRPr="0079313D">
              <w:rPr>
                <w:sz w:val="22"/>
              </w:rPr>
              <w:t>(48)</w:t>
            </w:r>
          </w:p>
        </w:tc>
        <w:tc>
          <w:tcPr>
            <w:tcW w:w="1134" w:type="dxa"/>
          </w:tcPr>
          <w:p w:rsidR="0079313D" w:rsidRPr="0079313D" w:rsidRDefault="0079313D" w:rsidP="00CD62E6">
            <w:pPr>
              <w:tabs>
                <w:tab w:val="decimal" w:pos="885"/>
              </w:tabs>
              <w:rPr>
                <w:sz w:val="22"/>
              </w:rPr>
            </w:pPr>
          </w:p>
        </w:tc>
        <w:tc>
          <w:tcPr>
            <w:tcW w:w="1134" w:type="dxa"/>
          </w:tcPr>
          <w:p w:rsidR="0079313D" w:rsidRDefault="0079313D" w:rsidP="0096743B">
            <w:pPr>
              <w:tabs>
                <w:tab w:val="decimal" w:pos="885"/>
              </w:tabs>
              <w:rPr>
                <w:sz w:val="22"/>
              </w:rPr>
            </w:pPr>
          </w:p>
          <w:p w:rsidR="0079313D" w:rsidRDefault="0079313D" w:rsidP="0096743B">
            <w:pPr>
              <w:tabs>
                <w:tab w:val="decimal" w:pos="885"/>
              </w:tabs>
              <w:rPr>
                <w:sz w:val="22"/>
              </w:rPr>
            </w:pPr>
          </w:p>
          <w:p w:rsidR="0079313D" w:rsidRPr="0050454E" w:rsidRDefault="0079313D" w:rsidP="0096743B">
            <w:pPr>
              <w:tabs>
                <w:tab w:val="decimal" w:pos="885"/>
              </w:tabs>
              <w:rPr>
                <w:sz w:val="22"/>
              </w:rPr>
            </w:pPr>
            <w:r>
              <w:rPr>
                <w:sz w:val="22"/>
              </w:rPr>
              <w:t>(28)</w:t>
            </w:r>
          </w:p>
        </w:tc>
        <w:tc>
          <w:tcPr>
            <w:tcW w:w="1134" w:type="dxa"/>
          </w:tcPr>
          <w:p w:rsidR="0079313D" w:rsidRPr="009B6E08" w:rsidRDefault="0079313D" w:rsidP="0096743B">
            <w:pPr>
              <w:tabs>
                <w:tab w:val="decimal" w:pos="885"/>
              </w:tabs>
              <w:rPr>
                <w:sz w:val="22"/>
                <w:highlight w:val="yellow"/>
              </w:rPr>
            </w:pPr>
          </w:p>
        </w:tc>
      </w:tr>
      <w:tr w:rsidR="0079313D" w:rsidRPr="00A60775" w:rsidTr="0050454E">
        <w:trPr>
          <w:trHeight w:hRule="exact" w:val="624"/>
        </w:trPr>
        <w:tc>
          <w:tcPr>
            <w:tcW w:w="4350" w:type="dxa"/>
          </w:tcPr>
          <w:p w:rsidR="0079313D" w:rsidRDefault="0079313D" w:rsidP="00882E25">
            <w:pPr>
              <w:numPr>
                <w:ilvl w:val="0"/>
                <w:numId w:val="16"/>
              </w:numPr>
              <w:tabs>
                <w:tab w:val="center" w:pos="6930"/>
              </w:tabs>
              <w:rPr>
                <w:sz w:val="22"/>
              </w:rPr>
            </w:pPr>
            <w:r>
              <w:rPr>
                <w:sz w:val="22"/>
              </w:rPr>
              <w:t>Use of capital reserves to fund expenditure</w:t>
            </w:r>
          </w:p>
          <w:p w:rsidR="0079313D" w:rsidRPr="00856B3D" w:rsidRDefault="0079313D" w:rsidP="0050454E">
            <w:pPr>
              <w:tabs>
                <w:tab w:val="center" w:pos="6930"/>
              </w:tabs>
              <w:ind w:left="360"/>
              <w:rPr>
                <w:sz w:val="22"/>
              </w:rPr>
            </w:pPr>
          </w:p>
        </w:tc>
        <w:tc>
          <w:tcPr>
            <w:tcW w:w="1134" w:type="dxa"/>
          </w:tcPr>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r w:rsidRPr="0079313D">
              <w:rPr>
                <w:sz w:val="22"/>
              </w:rPr>
              <w:t>(2,416)</w:t>
            </w:r>
          </w:p>
        </w:tc>
        <w:tc>
          <w:tcPr>
            <w:tcW w:w="1134" w:type="dxa"/>
          </w:tcPr>
          <w:p w:rsidR="0079313D" w:rsidRPr="009B6E08" w:rsidRDefault="0079313D" w:rsidP="00CD62E6">
            <w:pPr>
              <w:tabs>
                <w:tab w:val="decimal" w:pos="885"/>
              </w:tabs>
              <w:rPr>
                <w:sz w:val="22"/>
                <w:highlight w:val="yellow"/>
              </w:rPr>
            </w:pPr>
          </w:p>
        </w:tc>
        <w:tc>
          <w:tcPr>
            <w:tcW w:w="1134" w:type="dxa"/>
          </w:tcPr>
          <w:p w:rsidR="0079313D" w:rsidRDefault="0079313D" w:rsidP="0096743B">
            <w:pPr>
              <w:tabs>
                <w:tab w:val="decimal" w:pos="885"/>
              </w:tabs>
              <w:rPr>
                <w:sz w:val="22"/>
              </w:rPr>
            </w:pPr>
          </w:p>
          <w:p w:rsidR="0079313D" w:rsidRPr="0050454E" w:rsidRDefault="0079313D" w:rsidP="0096743B">
            <w:pPr>
              <w:tabs>
                <w:tab w:val="decimal" w:pos="885"/>
              </w:tabs>
              <w:rPr>
                <w:sz w:val="22"/>
              </w:rPr>
            </w:pPr>
            <w:r>
              <w:rPr>
                <w:sz w:val="22"/>
              </w:rPr>
              <w:t>-</w:t>
            </w:r>
          </w:p>
        </w:tc>
        <w:tc>
          <w:tcPr>
            <w:tcW w:w="1134" w:type="dxa"/>
          </w:tcPr>
          <w:p w:rsidR="0079313D" w:rsidRPr="009B6E08" w:rsidRDefault="0079313D" w:rsidP="0096743B">
            <w:pPr>
              <w:tabs>
                <w:tab w:val="decimal" w:pos="885"/>
              </w:tabs>
              <w:rPr>
                <w:sz w:val="22"/>
                <w:highlight w:val="yellow"/>
              </w:rPr>
            </w:pPr>
          </w:p>
        </w:tc>
      </w:tr>
      <w:tr w:rsidR="0079313D" w:rsidRPr="00A60775" w:rsidTr="0050454E">
        <w:trPr>
          <w:trHeight w:hRule="exact" w:val="571"/>
        </w:trPr>
        <w:tc>
          <w:tcPr>
            <w:tcW w:w="4350" w:type="dxa"/>
          </w:tcPr>
          <w:p w:rsidR="0079313D" w:rsidRPr="00856B3D" w:rsidRDefault="0079313D" w:rsidP="00882E25">
            <w:pPr>
              <w:numPr>
                <w:ilvl w:val="0"/>
                <w:numId w:val="16"/>
              </w:numPr>
              <w:tabs>
                <w:tab w:val="center" w:pos="6930"/>
              </w:tabs>
              <w:rPr>
                <w:sz w:val="22"/>
              </w:rPr>
            </w:pPr>
            <w:r>
              <w:rPr>
                <w:sz w:val="22"/>
              </w:rPr>
              <w:t>Use of earmarked reserves to fund expenditure</w:t>
            </w:r>
          </w:p>
        </w:tc>
        <w:tc>
          <w:tcPr>
            <w:tcW w:w="1134" w:type="dxa"/>
          </w:tcPr>
          <w:p w:rsidR="0079313D" w:rsidRPr="0079313D" w:rsidRDefault="0079313D" w:rsidP="00E009DA">
            <w:pPr>
              <w:tabs>
                <w:tab w:val="decimal" w:pos="885"/>
              </w:tabs>
              <w:rPr>
                <w:sz w:val="22"/>
              </w:rPr>
            </w:pPr>
          </w:p>
          <w:p w:rsidR="0079313D" w:rsidRPr="0079313D" w:rsidRDefault="0079313D" w:rsidP="00E009DA">
            <w:pPr>
              <w:tabs>
                <w:tab w:val="decimal" w:pos="885"/>
              </w:tabs>
              <w:rPr>
                <w:sz w:val="22"/>
              </w:rPr>
            </w:pPr>
            <w:r w:rsidRPr="0079313D">
              <w:rPr>
                <w:sz w:val="22"/>
              </w:rPr>
              <w:t>(224)</w:t>
            </w:r>
          </w:p>
        </w:tc>
        <w:tc>
          <w:tcPr>
            <w:tcW w:w="1134" w:type="dxa"/>
          </w:tcPr>
          <w:p w:rsidR="0079313D" w:rsidRPr="009B6E08" w:rsidRDefault="0079313D" w:rsidP="00CD62E6">
            <w:pPr>
              <w:tabs>
                <w:tab w:val="decimal" w:pos="885"/>
              </w:tabs>
              <w:rPr>
                <w:sz w:val="22"/>
                <w:highlight w:val="yellow"/>
              </w:rPr>
            </w:pPr>
          </w:p>
        </w:tc>
        <w:tc>
          <w:tcPr>
            <w:tcW w:w="1134" w:type="dxa"/>
          </w:tcPr>
          <w:p w:rsidR="0079313D" w:rsidRDefault="0079313D" w:rsidP="0096743B">
            <w:pPr>
              <w:tabs>
                <w:tab w:val="decimal" w:pos="885"/>
              </w:tabs>
              <w:rPr>
                <w:sz w:val="22"/>
              </w:rPr>
            </w:pPr>
          </w:p>
          <w:p w:rsidR="0079313D" w:rsidRDefault="0079313D" w:rsidP="0096743B">
            <w:pPr>
              <w:tabs>
                <w:tab w:val="decimal" w:pos="885"/>
              </w:tabs>
              <w:rPr>
                <w:sz w:val="22"/>
              </w:rPr>
            </w:pPr>
            <w:r>
              <w:rPr>
                <w:sz w:val="22"/>
              </w:rPr>
              <w:t>-</w:t>
            </w:r>
          </w:p>
          <w:p w:rsidR="0079313D" w:rsidRDefault="0079313D" w:rsidP="0096743B">
            <w:pPr>
              <w:tabs>
                <w:tab w:val="decimal" w:pos="885"/>
              </w:tabs>
              <w:rPr>
                <w:sz w:val="22"/>
              </w:rPr>
            </w:pPr>
          </w:p>
          <w:p w:rsidR="0079313D" w:rsidRPr="0050454E" w:rsidRDefault="0079313D" w:rsidP="0096743B">
            <w:pPr>
              <w:tabs>
                <w:tab w:val="decimal" w:pos="885"/>
              </w:tabs>
              <w:rPr>
                <w:sz w:val="22"/>
              </w:rPr>
            </w:pPr>
          </w:p>
        </w:tc>
        <w:tc>
          <w:tcPr>
            <w:tcW w:w="1134" w:type="dxa"/>
          </w:tcPr>
          <w:p w:rsidR="0079313D" w:rsidRPr="009B6E08" w:rsidRDefault="0079313D" w:rsidP="0096743B">
            <w:pPr>
              <w:tabs>
                <w:tab w:val="decimal" w:pos="885"/>
              </w:tabs>
              <w:rPr>
                <w:sz w:val="22"/>
                <w:highlight w:val="yellow"/>
              </w:rPr>
            </w:pPr>
          </w:p>
        </w:tc>
      </w:tr>
      <w:tr w:rsidR="006B0A70" w:rsidRPr="00A60775" w:rsidTr="0050454E">
        <w:trPr>
          <w:trHeight w:hRule="exact" w:val="571"/>
        </w:trPr>
        <w:tc>
          <w:tcPr>
            <w:tcW w:w="4350" w:type="dxa"/>
          </w:tcPr>
          <w:p w:rsidR="006B0A70" w:rsidRPr="00856B3D" w:rsidRDefault="006B0A70" w:rsidP="00882E25">
            <w:pPr>
              <w:numPr>
                <w:ilvl w:val="0"/>
                <w:numId w:val="16"/>
              </w:numPr>
              <w:tabs>
                <w:tab w:val="center" w:pos="6930"/>
              </w:tabs>
              <w:rPr>
                <w:sz w:val="22"/>
              </w:rPr>
            </w:pPr>
            <w:r w:rsidRPr="00856B3D">
              <w:rPr>
                <w:sz w:val="22"/>
              </w:rPr>
              <w:t>Capital exp</w:t>
            </w:r>
            <w:r>
              <w:rPr>
                <w:sz w:val="22"/>
              </w:rPr>
              <w:t>enditure</w:t>
            </w:r>
            <w:r w:rsidRPr="00856B3D">
              <w:rPr>
                <w:sz w:val="22"/>
              </w:rPr>
              <w:t xml:space="preserve"> charged to General Fund Balance</w:t>
            </w:r>
          </w:p>
        </w:tc>
        <w:tc>
          <w:tcPr>
            <w:tcW w:w="1134" w:type="dxa"/>
            <w:tcBorders>
              <w:bottom w:val="single" w:sz="4" w:space="0" w:color="auto"/>
            </w:tcBorders>
          </w:tcPr>
          <w:p w:rsidR="006B0A70" w:rsidRDefault="006B0A70" w:rsidP="0050454E">
            <w:pPr>
              <w:tabs>
                <w:tab w:val="decimal" w:pos="885"/>
              </w:tabs>
              <w:rPr>
                <w:sz w:val="22"/>
              </w:rPr>
            </w:pPr>
          </w:p>
          <w:p w:rsidR="0079313D" w:rsidRPr="0050454E" w:rsidRDefault="0079313D" w:rsidP="0050454E">
            <w:pPr>
              <w:tabs>
                <w:tab w:val="decimal" w:pos="885"/>
              </w:tabs>
              <w:rPr>
                <w:sz w:val="22"/>
              </w:rPr>
            </w:pPr>
            <w:r>
              <w:rPr>
                <w:sz w:val="22"/>
              </w:rPr>
              <w:t>(1,493)</w:t>
            </w:r>
          </w:p>
        </w:tc>
        <w:tc>
          <w:tcPr>
            <w:tcW w:w="1134" w:type="dxa"/>
          </w:tcPr>
          <w:p w:rsidR="006B0A70" w:rsidRPr="009B6E08" w:rsidRDefault="006B0A70" w:rsidP="00CD62E6">
            <w:pPr>
              <w:tabs>
                <w:tab w:val="decimal" w:pos="885"/>
              </w:tabs>
              <w:rPr>
                <w:sz w:val="22"/>
                <w:highlight w:val="yellow"/>
              </w:rPr>
            </w:pPr>
          </w:p>
        </w:tc>
        <w:tc>
          <w:tcPr>
            <w:tcW w:w="1134" w:type="dxa"/>
            <w:tcBorders>
              <w:bottom w:val="single" w:sz="4" w:space="0" w:color="auto"/>
            </w:tcBorders>
          </w:tcPr>
          <w:p w:rsidR="006B0A70" w:rsidRDefault="006B0A70" w:rsidP="0096743B">
            <w:pPr>
              <w:tabs>
                <w:tab w:val="decimal" w:pos="885"/>
              </w:tabs>
              <w:rPr>
                <w:sz w:val="22"/>
              </w:rPr>
            </w:pPr>
          </w:p>
          <w:p w:rsidR="006B0A70" w:rsidRPr="0050454E" w:rsidRDefault="006B0A70" w:rsidP="0096743B">
            <w:pPr>
              <w:tabs>
                <w:tab w:val="decimal" w:pos="885"/>
              </w:tabs>
              <w:rPr>
                <w:sz w:val="22"/>
              </w:rPr>
            </w:pPr>
            <w:r>
              <w:rPr>
                <w:sz w:val="22"/>
              </w:rPr>
              <w:t>(1,534)</w:t>
            </w:r>
          </w:p>
        </w:tc>
        <w:tc>
          <w:tcPr>
            <w:tcW w:w="1134" w:type="dxa"/>
          </w:tcPr>
          <w:p w:rsidR="006B0A70" w:rsidRPr="009B6E08" w:rsidRDefault="006B0A70" w:rsidP="0096743B">
            <w:pPr>
              <w:tabs>
                <w:tab w:val="decimal" w:pos="885"/>
              </w:tabs>
              <w:rPr>
                <w:sz w:val="22"/>
                <w:highlight w:val="yellow"/>
              </w:rPr>
            </w:pPr>
          </w:p>
        </w:tc>
      </w:tr>
      <w:tr w:rsidR="006B0A70" w:rsidRPr="00A60775" w:rsidTr="003F6586">
        <w:trPr>
          <w:trHeight w:hRule="exact" w:val="350"/>
        </w:trPr>
        <w:tc>
          <w:tcPr>
            <w:tcW w:w="4350" w:type="dxa"/>
          </w:tcPr>
          <w:p w:rsidR="006B0A70" w:rsidRPr="00A60775" w:rsidRDefault="006B0A70" w:rsidP="00CD62E6">
            <w:pPr>
              <w:tabs>
                <w:tab w:val="left" w:pos="720"/>
                <w:tab w:val="center" w:pos="6930"/>
              </w:tabs>
              <w:rPr>
                <w:sz w:val="22"/>
                <w:highlight w:val="cyan"/>
              </w:rPr>
            </w:pPr>
          </w:p>
        </w:tc>
        <w:tc>
          <w:tcPr>
            <w:tcW w:w="1134" w:type="dxa"/>
            <w:tcBorders>
              <w:top w:val="single" w:sz="4" w:space="0" w:color="auto"/>
            </w:tcBorders>
          </w:tcPr>
          <w:p w:rsidR="006B0A70" w:rsidRPr="009B6E08" w:rsidRDefault="006B0A70" w:rsidP="00CD62E6">
            <w:pPr>
              <w:tabs>
                <w:tab w:val="decimal" w:pos="1080"/>
              </w:tabs>
              <w:rPr>
                <w:sz w:val="22"/>
                <w:highlight w:val="yellow"/>
              </w:rPr>
            </w:pPr>
          </w:p>
        </w:tc>
        <w:tc>
          <w:tcPr>
            <w:tcW w:w="1134" w:type="dxa"/>
            <w:tcBorders>
              <w:bottom w:val="single" w:sz="4" w:space="0" w:color="auto"/>
            </w:tcBorders>
          </w:tcPr>
          <w:p w:rsidR="006B0A70" w:rsidRPr="00F80187" w:rsidRDefault="0079313D" w:rsidP="00F80187">
            <w:pPr>
              <w:tabs>
                <w:tab w:val="decimal" w:pos="885"/>
              </w:tabs>
              <w:rPr>
                <w:sz w:val="22"/>
              </w:rPr>
            </w:pPr>
            <w:r>
              <w:rPr>
                <w:sz w:val="22"/>
              </w:rPr>
              <w:t>(5,026)</w:t>
            </w:r>
          </w:p>
        </w:tc>
        <w:tc>
          <w:tcPr>
            <w:tcW w:w="1134" w:type="dxa"/>
            <w:tcBorders>
              <w:top w:val="single" w:sz="4" w:space="0" w:color="auto"/>
            </w:tcBorders>
          </w:tcPr>
          <w:p w:rsidR="006B0A70" w:rsidRPr="009B6E08" w:rsidRDefault="006B0A70" w:rsidP="0096743B">
            <w:pPr>
              <w:tabs>
                <w:tab w:val="decimal" w:pos="1080"/>
              </w:tabs>
              <w:rPr>
                <w:sz w:val="22"/>
                <w:highlight w:val="yellow"/>
              </w:rPr>
            </w:pPr>
          </w:p>
        </w:tc>
        <w:tc>
          <w:tcPr>
            <w:tcW w:w="1134" w:type="dxa"/>
            <w:tcBorders>
              <w:bottom w:val="single" w:sz="4" w:space="0" w:color="auto"/>
            </w:tcBorders>
          </w:tcPr>
          <w:p w:rsidR="006B0A70" w:rsidRPr="00F80187" w:rsidRDefault="006B0A70" w:rsidP="0096743B">
            <w:pPr>
              <w:tabs>
                <w:tab w:val="decimal" w:pos="885"/>
              </w:tabs>
              <w:rPr>
                <w:sz w:val="22"/>
              </w:rPr>
            </w:pPr>
            <w:r>
              <w:rPr>
                <w:sz w:val="22"/>
              </w:rPr>
              <w:t>(3,839)</w:t>
            </w:r>
          </w:p>
        </w:tc>
      </w:tr>
      <w:tr w:rsidR="006B0A70" w:rsidRPr="00A60775" w:rsidTr="00CD62E6">
        <w:trPr>
          <w:trHeight w:hRule="exact" w:val="300"/>
        </w:trPr>
        <w:tc>
          <w:tcPr>
            <w:tcW w:w="4350" w:type="dxa"/>
          </w:tcPr>
          <w:p w:rsidR="006B0A70" w:rsidRPr="00096AE5" w:rsidRDefault="006B0A70" w:rsidP="00CD62E6">
            <w:pPr>
              <w:tabs>
                <w:tab w:val="left" w:pos="720"/>
                <w:tab w:val="center" w:pos="6930"/>
              </w:tabs>
              <w:rPr>
                <w:sz w:val="22"/>
              </w:rPr>
            </w:pPr>
            <w:r w:rsidRPr="00096AE5">
              <w:rPr>
                <w:sz w:val="22"/>
              </w:rPr>
              <w:t>Balance as at 31 March</w:t>
            </w:r>
          </w:p>
        </w:tc>
        <w:tc>
          <w:tcPr>
            <w:tcW w:w="1134" w:type="dxa"/>
          </w:tcPr>
          <w:p w:rsidR="006B0A70" w:rsidRPr="009B6E08" w:rsidRDefault="006B0A70" w:rsidP="00CD62E6">
            <w:pPr>
              <w:tabs>
                <w:tab w:val="decimal" w:pos="1080"/>
              </w:tabs>
              <w:rPr>
                <w:sz w:val="22"/>
                <w:highlight w:val="yellow"/>
              </w:rPr>
            </w:pPr>
          </w:p>
        </w:tc>
        <w:tc>
          <w:tcPr>
            <w:tcW w:w="1134" w:type="dxa"/>
            <w:tcBorders>
              <w:top w:val="single" w:sz="4" w:space="0" w:color="auto"/>
              <w:bottom w:val="double" w:sz="4" w:space="0" w:color="auto"/>
            </w:tcBorders>
          </w:tcPr>
          <w:p w:rsidR="006B0A70" w:rsidRPr="00F80187" w:rsidRDefault="0079313D" w:rsidP="0030408D">
            <w:pPr>
              <w:tabs>
                <w:tab w:val="decimal" w:pos="885"/>
              </w:tabs>
              <w:rPr>
                <w:sz w:val="22"/>
              </w:rPr>
            </w:pPr>
            <w:r>
              <w:rPr>
                <w:sz w:val="22"/>
                <w:szCs w:val="22"/>
              </w:rPr>
              <w:t>(38,64</w:t>
            </w:r>
            <w:r w:rsidR="0030408D">
              <w:rPr>
                <w:sz w:val="22"/>
                <w:szCs w:val="22"/>
              </w:rPr>
              <w:t>1</w:t>
            </w:r>
            <w:r>
              <w:rPr>
                <w:sz w:val="22"/>
                <w:szCs w:val="22"/>
              </w:rPr>
              <w:t>)</w:t>
            </w:r>
          </w:p>
        </w:tc>
        <w:tc>
          <w:tcPr>
            <w:tcW w:w="1134" w:type="dxa"/>
          </w:tcPr>
          <w:p w:rsidR="006B0A70" w:rsidRPr="009B6E08" w:rsidRDefault="006B0A70" w:rsidP="0096743B">
            <w:pPr>
              <w:tabs>
                <w:tab w:val="decimal" w:pos="1080"/>
              </w:tabs>
              <w:rPr>
                <w:sz w:val="22"/>
                <w:highlight w:val="yellow"/>
              </w:rPr>
            </w:pPr>
          </w:p>
        </w:tc>
        <w:tc>
          <w:tcPr>
            <w:tcW w:w="1134" w:type="dxa"/>
            <w:tcBorders>
              <w:top w:val="single" w:sz="4" w:space="0" w:color="auto"/>
              <w:bottom w:val="double" w:sz="4" w:space="0" w:color="auto"/>
            </w:tcBorders>
          </w:tcPr>
          <w:p w:rsidR="006B0A70" w:rsidRPr="00F80187" w:rsidRDefault="006B0A70" w:rsidP="0096743B">
            <w:pPr>
              <w:tabs>
                <w:tab w:val="decimal" w:pos="885"/>
              </w:tabs>
              <w:rPr>
                <w:sz w:val="22"/>
              </w:rPr>
            </w:pPr>
            <w:r>
              <w:rPr>
                <w:sz w:val="22"/>
              </w:rPr>
              <w:t>(36,762)</w:t>
            </w:r>
          </w:p>
        </w:tc>
      </w:tr>
    </w:tbl>
    <w:p w:rsidR="004B46CF" w:rsidRDefault="00D90216" w:rsidP="00D90216">
      <w:pPr>
        <w:rPr>
          <w:b/>
          <w:sz w:val="22"/>
        </w:rPr>
      </w:pPr>
      <w:r w:rsidRPr="00266466">
        <w:rPr>
          <w:b/>
          <w:sz w:val="22"/>
        </w:rPr>
        <w:tab/>
      </w:r>
    </w:p>
    <w:p w:rsidR="00D90216" w:rsidRDefault="006F0BBE" w:rsidP="002B03B5">
      <w:pPr>
        <w:ind w:left="709"/>
        <w:rPr>
          <w:b/>
          <w:sz w:val="22"/>
        </w:rPr>
      </w:pPr>
      <w:r>
        <w:rPr>
          <w:b/>
          <w:sz w:val="22"/>
        </w:rPr>
        <w:br w:type="page"/>
      </w:r>
      <w:r w:rsidR="00D90216">
        <w:rPr>
          <w:b/>
          <w:sz w:val="22"/>
        </w:rPr>
        <w:lastRenderedPageBreak/>
        <w:t>Pensions Reserve</w:t>
      </w:r>
    </w:p>
    <w:p w:rsidR="00D90216" w:rsidRPr="00515D7E" w:rsidRDefault="00D90216" w:rsidP="00D90216">
      <w:pPr>
        <w:ind w:left="709"/>
        <w:jc w:val="both"/>
        <w:rPr>
          <w:sz w:val="22"/>
        </w:rPr>
      </w:pPr>
    </w:p>
    <w:p w:rsidR="00D90216" w:rsidRDefault="00D90216" w:rsidP="00D90216">
      <w:pPr>
        <w:ind w:left="709"/>
        <w:jc w:val="both"/>
        <w:rPr>
          <w:sz w:val="22"/>
        </w:rPr>
      </w:pPr>
      <w:r>
        <w:rPr>
          <w:sz w:val="22"/>
        </w:rPr>
        <w:t xml:space="preserve">The Pensions Reserve absorbs the timing differences arising from the different arrangements for accounting for </w:t>
      </w:r>
      <w:proofErr w:type="spellStart"/>
      <w:r>
        <w:rPr>
          <w:sz w:val="22"/>
        </w:rPr>
        <w:t>post employment</w:t>
      </w:r>
      <w:proofErr w:type="spellEnd"/>
      <w:r>
        <w:rPr>
          <w:sz w:val="22"/>
        </w:rPr>
        <w:t xml:space="preserve"> benefits and for funding benefits in accordance with statutory provisions.</w:t>
      </w:r>
      <w:r w:rsidR="009D6B29">
        <w:rPr>
          <w:sz w:val="22"/>
        </w:rPr>
        <w:t xml:space="preserve">  The reserve relates to both the LGPS and Firefighters pension schemes, and the large negative value of the reserve reflects the unfunded nature of the Firefighters pension scheme.</w:t>
      </w:r>
    </w:p>
    <w:p w:rsidR="00D90216" w:rsidRDefault="00D90216" w:rsidP="00D90216">
      <w:pPr>
        <w:ind w:left="709"/>
        <w:jc w:val="both"/>
        <w:rPr>
          <w:sz w:val="22"/>
        </w:rPr>
      </w:pPr>
    </w:p>
    <w:tbl>
      <w:tblPr>
        <w:tblW w:w="8760" w:type="dxa"/>
        <w:tblInd w:w="817" w:type="dxa"/>
        <w:tblLayout w:type="fixed"/>
        <w:tblLook w:val="0000" w:firstRow="0" w:lastRow="0" w:firstColumn="0" w:lastColumn="0" w:noHBand="0" w:noVBand="0"/>
      </w:tblPr>
      <w:tblGrid>
        <w:gridCol w:w="5670"/>
        <w:gridCol w:w="1557"/>
        <w:gridCol w:w="1533"/>
      </w:tblGrid>
      <w:tr w:rsidR="006B0A70" w:rsidRPr="005E70B7" w:rsidTr="00C62FD1">
        <w:trPr>
          <w:trHeight w:hRule="exact" w:val="568"/>
        </w:trPr>
        <w:tc>
          <w:tcPr>
            <w:tcW w:w="5670" w:type="dxa"/>
          </w:tcPr>
          <w:p w:rsidR="006B0A70" w:rsidRPr="00A60775" w:rsidRDefault="006B0A70" w:rsidP="00CD62E6">
            <w:pPr>
              <w:tabs>
                <w:tab w:val="left" w:pos="720"/>
                <w:tab w:val="center" w:pos="6930"/>
              </w:tabs>
              <w:rPr>
                <w:sz w:val="22"/>
                <w:highlight w:val="cyan"/>
              </w:rPr>
            </w:pPr>
          </w:p>
        </w:tc>
        <w:tc>
          <w:tcPr>
            <w:tcW w:w="1557" w:type="dxa"/>
          </w:tcPr>
          <w:p w:rsidR="006B0A70" w:rsidRPr="001844B0" w:rsidRDefault="006B0A7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533" w:type="dxa"/>
          </w:tcPr>
          <w:p w:rsidR="006B0A7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p w:rsidR="009614ED" w:rsidRPr="001844B0" w:rsidRDefault="009614ED" w:rsidP="0096743B">
            <w:pPr>
              <w:jc w:val="center"/>
              <w:rPr>
                <w:sz w:val="22"/>
                <w:szCs w:val="22"/>
              </w:rPr>
            </w:pPr>
            <w:r>
              <w:rPr>
                <w:sz w:val="22"/>
                <w:szCs w:val="22"/>
              </w:rPr>
              <w:t>Restated</w:t>
            </w:r>
          </w:p>
        </w:tc>
      </w:tr>
      <w:tr w:rsidR="00D90216" w:rsidRPr="00672527" w:rsidTr="00287824">
        <w:trPr>
          <w:trHeight w:hRule="exact" w:val="300"/>
        </w:trPr>
        <w:tc>
          <w:tcPr>
            <w:tcW w:w="5670" w:type="dxa"/>
          </w:tcPr>
          <w:p w:rsidR="00D90216" w:rsidRPr="00A60775" w:rsidRDefault="00D90216" w:rsidP="00CD62E6">
            <w:pPr>
              <w:tabs>
                <w:tab w:val="left" w:pos="720"/>
                <w:tab w:val="center" w:pos="6930"/>
              </w:tabs>
              <w:spacing w:after="120"/>
              <w:rPr>
                <w:sz w:val="22"/>
                <w:highlight w:val="cyan"/>
              </w:rPr>
            </w:pPr>
          </w:p>
        </w:tc>
        <w:tc>
          <w:tcPr>
            <w:tcW w:w="1557" w:type="dxa"/>
          </w:tcPr>
          <w:p w:rsidR="00D90216" w:rsidRPr="0094623B" w:rsidRDefault="00D90216" w:rsidP="00287824">
            <w:pPr>
              <w:jc w:val="center"/>
              <w:rPr>
                <w:sz w:val="22"/>
              </w:rPr>
            </w:pPr>
            <w:r w:rsidRPr="0094623B">
              <w:rPr>
                <w:sz w:val="22"/>
              </w:rPr>
              <w:t>£000</w:t>
            </w:r>
          </w:p>
        </w:tc>
        <w:tc>
          <w:tcPr>
            <w:tcW w:w="1533" w:type="dxa"/>
          </w:tcPr>
          <w:p w:rsidR="00D90216" w:rsidRPr="0094623B" w:rsidRDefault="00D90216" w:rsidP="00287824">
            <w:pPr>
              <w:jc w:val="center"/>
              <w:rPr>
                <w:sz w:val="22"/>
              </w:rPr>
            </w:pPr>
            <w:r w:rsidRPr="0094623B">
              <w:rPr>
                <w:sz w:val="22"/>
              </w:rPr>
              <w:t>£000</w:t>
            </w:r>
          </w:p>
        </w:tc>
      </w:tr>
      <w:tr w:rsidR="006B0A70" w:rsidTr="0004720E">
        <w:trPr>
          <w:trHeight w:hRule="exact" w:val="300"/>
        </w:trPr>
        <w:tc>
          <w:tcPr>
            <w:tcW w:w="5670" w:type="dxa"/>
          </w:tcPr>
          <w:p w:rsidR="006B0A70" w:rsidRPr="00672527" w:rsidRDefault="006B0A70" w:rsidP="00CD62E6">
            <w:pPr>
              <w:pStyle w:val="Footer"/>
              <w:tabs>
                <w:tab w:val="clear" w:pos="4153"/>
                <w:tab w:val="clear" w:pos="8306"/>
                <w:tab w:val="left" w:pos="720"/>
                <w:tab w:val="center" w:pos="6930"/>
              </w:tabs>
              <w:rPr>
                <w:sz w:val="22"/>
              </w:rPr>
            </w:pPr>
            <w:r>
              <w:rPr>
                <w:sz w:val="22"/>
              </w:rPr>
              <w:t>Balance at 1 April</w:t>
            </w:r>
          </w:p>
        </w:tc>
        <w:tc>
          <w:tcPr>
            <w:tcW w:w="1557" w:type="dxa"/>
          </w:tcPr>
          <w:p w:rsidR="006B0A70" w:rsidRPr="0094623B" w:rsidRDefault="009614ED" w:rsidP="009614ED">
            <w:pPr>
              <w:tabs>
                <w:tab w:val="decimal" w:pos="1024"/>
              </w:tabs>
              <w:rPr>
                <w:sz w:val="22"/>
                <w:szCs w:val="22"/>
              </w:rPr>
            </w:pPr>
            <w:r>
              <w:rPr>
                <w:sz w:val="22"/>
                <w:szCs w:val="22"/>
              </w:rPr>
              <w:t>797</w:t>
            </w:r>
            <w:r w:rsidR="006B0A70" w:rsidRPr="00AA2BC3">
              <w:rPr>
                <w:sz w:val="22"/>
                <w:szCs w:val="22"/>
              </w:rPr>
              <w:t>,</w:t>
            </w:r>
            <w:r>
              <w:rPr>
                <w:sz w:val="22"/>
                <w:szCs w:val="22"/>
              </w:rPr>
              <w:t>742</w:t>
            </w:r>
          </w:p>
        </w:tc>
        <w:tc>
          <w:tcPr>
            <w:tcW w:w="1533" w:type="dxa"/>
          </w:tcPr>
          <w:p w:rsidR="006B0A70" w:rsidRPr="0094623B" w:rsidRDefault="006B0A70" w:rsidP="009614ED">
            <w:pPr>
              <w:tabs>
                <w:tab w:val="decimal" w:pos="1024"/>
              </w:tabs>
              <w:rPr>
                <w:sz w:val="22"/>
                <w:szCs w:val="22"/>
              </w:rPr>
            </w:pPr>
            <w:r w:rsidRPr="00AA2BC3">
              <w:rPr>
                <w:sz w:val="22"/>
                <w:szCs w:val="22"/>
              </w:rPr>
              <w:t>671,</w:t>
            </w:r>
            <w:r w:rsidR="009614ED">
              <w:rPr>
                <w:sz w:val="22"/>
                <w:szCs w:val="22"/>
              </w:rPr>
              <w:t>861</w:t>
            </w:r>
          </w:p>
        </w:tc>
      </w:tr>
      <w:tr w:rsidR="006B0A70" w:rsidTr="00287824">
        <w:trPr>
          <w:trHeight w:hRule="exact" w:val="531"/>
        </w:trPr>
        <w:tc>
          <w:tcPr>
            <w:tcW w:w="5670" w:type="dxa"/>
            <w:vAlign w:val="bottom"/>
          </w:tcPr>
          <w:p w:rsidR="006B0A70" w:rsidRPr="00181DDD" w:rsidRDefault="006B0A70" w:rsidP="00CD62E6">
            <w:pPr>
              <w:rPr>
                <w:rFonts w:cs="Arial"/>
                <w:sz w:val="22"/>
                <w:szCs w:val="22"/>
              </w:rPr>
            </w:pPr>
            <w:r w:rsidRPr="00181DDD">
              <w:rPr>
                <w:rFonts w:cs="Arial"/>
                <w:sz w:val="22"/>
                <w:szCs w:val="22"/>
              </w:rPr>
              <w:t xml:space="preserve">Actuarial </w:t>
            </w:r>
            <w:r>
              <w:rPr>
                <w:rFonts w:cs="Arial"/>
                <w:sz w:val="22"/>
                <w:szCs w:val="22"/>
              </w:rPr>
              <w:t>(</w:t>
            </w:r>
            <w:r w:rsidRPr="00181DDD">
              <w:rPr>
                <w:rFonts w:cs="Arial"/>
                <w:sz w:val="22"/>
                <w:szCs w:val="22"/>
              </w:rPr>
              <w:t>gains</w:t>
            </w:r>
            <w:r>
              <w:rPr>
                <w:rFonts w:cs="Arial"/>
                <w:sz w:val="22"/>
                <w:szCs w:val="22"/>
              </w:rPr>
              <w:t>)</w:t>
            </w:r>
            <w:r w:rsidRPr="00181DDD">
              <w:rPr>
                <w:rFonts w:cs="Arial"/>
                <w:sz w:val="22"/>
                <w:szCs w:val="22"/>
              </w:rPr>
              <w:t xml:space="preserve"> or losses on pensions assets and liabilities</w:t>
            </w:r>
          </w:p>
        </w:tc>
        <w:tc>
          <w:tcPr>
            <w:tcW w:w="1557" w:type="dxa"/>
          </w:tcPr>
          <w:p w:rsidR="006B0A70" w:rsidRDefault="006B0A70" w:rsidP="0058511B">
            <w:pPr>
              <w:tabs>
                <w:tab w:val="decimal" w:pos="1024"/>
              </w:tabs>
              <w:rPr>
                <w:sz w:val="22"/>
                <w:szCs w:val="22"/>
              </w:rPr>
            </w:pPr>
          </w:p>
          <w:p w:rsidR="00B8589F" w:rsidRPr="006C28D2" w:rsidRDefault="00B8589F" w:rsidP="00C62FD1">
            <w:pPr>
              <w:tabs>
                <w:tab w:val="decimal" w:pos="1024"/>
              </w:tabs>
              <w:rPr>
                <w:sz w:val="22"/>
                <w:szCs w:val="22"/>
              </w:rPr>
            </w:pPr>
            <w:r>
              <w:rPr>
                <w:sz w:val="22"/>
                <w:szCs w:val="22"/>
              </w:rPr>
              <w:t>(10,</w:t>
            </w:r>
            <w:r w:rsidR="00C62FD1">
              <w:rPr>
                <w:sz w:val="22"/>
                <w:szCs w:val="22"/>
              </w:rPr>
              <w:t>729</w:t>
            </w:r>
            <w:r>
              <w:rPr>
                <w:sz w:val="22"/>
                <w:szCs w:val="22"/>
              </w:rPr>
              <w:t>)</w:t>
            </w:r>
          </w:p>
        </w:tc>
        <w:tc>
          <w:tcPr>
            <w:tcW w:w="1533" w:type="dxa"/>
          </w:tcPr>
          <w:p w:rsidR="006B0A70" w:rsidRDefault="006B0A70" w:rsidP="0096743B">
            <w:pPr>
              <w:tabs>
                <w:tab w:val="decimal" w:pos="1024"/>
              </w:tabs>
              <w:rPr>
                <w:sz w:val="22"/>
                <w:szCs w:val="22"/>
              </w:rPr>
            </w:pPr>
          </w:p>
          <w:p w:rsidR="006B0A70" w:rsidRPr="006C28D2" w:rsidRDefault="006B0A70" w:rsidP="009614ED">
            <w:pPr>
              <w:tabs>
                <w:tab w:val="decimal" w:pos="1024"/>
              </w:tabs>
              <w:rPr>
                <w:sz w:val="22"/>
                <w:szCs w:val="22"/>
              </w:rPr>
            </w:pPr>
            <w:r>
              <w:rPr>
                <w:sz w:val="22"/>
                <w:szCs w:val="22"/>
              </w:rPr>
              <w:t>114,</w:t>
            </w:r>
            <w:r w:rsidR="009614ED">
              <w:rPr>
                <w:sz w:val="22"/>
                <w:szCs w:val="22"/>
              </w:rPr>
              <w:t>941</w:t>
            </w:r>
          </w:p>
        </w:tc>
      </w:tr>
      <w:tr w:rsidR="006B0A70" w:rsidTr="00287824">
        <w:trPr>
          <w:trHeight w:hRule="exact" w:val="992"/>
        </w:trPr>
        <w:tc>
          <w:tcPr>
            <w:tcW w:w="5670" w:type="dxa"/>
            <w:vAlign w:val="bottom"/>
          </w:tcPr>
          <w:p w:rsidR="006B0A70" w:rsidRPr="00181DDD" w:rsidRDefault="006B0A70" w:rsidP="00CD62E6">
            <w:pPr>
              <w:rPr>
                <w:rFonts w:cs="Arial"/>
                <w:sz w:val="22"/>
                <w:szCs w:val="22"/>
              </w:rPr>
            </w:pPr>
            <w:r w:rsidRPr="00181DDD">
              <w:rPr>
                <w:rFonts w:cs="Arial"/>
                <w:sz w:val="22"/>
                <w:szCs w:val="22"/>
              </w:rPr>
              <w:t>Reversal of items relating to retirement benefits debited or credited to N</w:t>
            </w:r>
            <w:r>
              <w:rPr>
                <w:rFonts w:cs="Arial"/>
                <w:sz w:val="22"/>
                <w:szCs w:val="22"/>
              </w:rPr>
              <w:t xml:space="preserve">et </w:t>
            </w:r>
            <w:r w:rsidRPr="00181DDD">
              <w:rPr>
                <w:rFonts w:cs="Arial"/>
                <w:sz w:val="22"/>
                <w:szCs w:val="22"/>
              </w:rPr>
              <w:t>C</w:t>
            </w:r>
            <w:r>
              <w:rPr>
                <w:rFonts w:cs="Arial"/>
                <w:sz w:val="22"/>
                <w:szCs w:val="22"/>
              </w:rPr>
              <w:t xml:space="preserve">ost </w:t>
            </w:r>
            <w:r w:rsidRPr="00181DDD">
              <w:rPr>
                <w:rFonts w:cs="Arial"/>
                <w:sz w:val="22"/>
                <w:szCs w:val="22"/>
              </w:rPr>
              <w:t>o</w:t>
            </w:r>
            <w:r>
              <w:rPr>
                <w:rFonts w:cs="Arial"/>
                <w:sz w:val="22"/>
                <w:szCs w:val="22"/>
              </w:rPr>
              <w:t xml:space="preserve">f </w:t>
            </w:r>
            <w:r w:rsidRPr="00181DDD">
              <w:rPr>
                <w:rFonts w:cs="Arial"/>
                <w:sz w:val="22"/>
                <w:szCs w:val="22"/>
              </w:rPr>
              <w:t>S</w:t>
            </w:r>
            <w:r>
              <w:rPr>
                <w:rFonts w:cs="Arial"/>
                <w:sz w:val="22"/>
                <w:szCs w:val="22"/>
              </w:rPr>
              <w:t>ervices</w:t>
            </w:r>
            <w:r w:rsidRPr="00181DDD">
              <w:rPr>
                <w:rFonts w:cs="Arial"/>
                <w:sz w:val="22"/>
                <w:szCs w:val="22"/>
              </w:rPr>
              <w:t xml:space="preserve"> in the C</w:t>
            </w:r>
            <w:r>
              <w:rPr>
                <w:rFonts w:cs="Arial"/>
                <w:sz w:val="22"/>
                <w:szCs w:val="22"/>
              </w:rPr>
              <w:t xml:space="preserve">omprehensive </w:t>
            </w:r>
            <w:r w:rsidRPr="00181DDD">
              <w:rPr>
                <w:rFonts w:cs="Arial"/>
                <w:sz w:val="22"/>
                <w:szCs w:val="22"/>
              </w:rPr>
              <w:t>I</w:t>
            </w:r>
            <w:r>
              <w:rPr>
                <w:rFonts w:cs="Arial"/>
                <w:sz w:val="22"/>
                <w:szCs w:val="22"/>
              </w:rPr>
              <w:t xml:space="preserve">ncome &amp; </w:t>
            </w:r>
            <w:r w:rsidRPr="00181DDD">
              <w:rPr>
                <w:rFonts w:cs="Arial"/>
                <w:sz w:val="22"/>
                <w:szCs w:val="22"/>
              </w:rPr>
              <w:t>E</w:t>
            </w:r>
            <w:r>
              <w:rPr>
                <w:rFonts w:cs="Arial"/>
                <w:sz w:val="22"/>
                <w:szCs w:val="22"/>
              </w:rPr>
              <w:t xml:space="preserve">xpenditure </w:t>
            </w:r>
            <w:r w:rsidRPr="00181DDD">
              <w:rPr>
                <w:rFonts w:cs="Arial"/>
                <w:sz w:val="22"/>
                <w:szCs w:val="22"/>
              </w:rPr>
              <w:t>S</w:t>
            </w:r>
            <w:r>
              <w:rPr>
                <w:rFonts w:cs="Arial"/>
                <w:sz w:val="22"/>
                <w:szCs w:val="22"/>
              </w:rPr>
              <w:t>tatement</w:t>
            </w:r>
          </w:p>
        </w:tc>
        <w:tc>
          <w:tcPr>
            <w:tcW w:w="1557" w:type="dxa"/>
          </w:tcPr>
          <w:p w:rsidR="006B0A70" w:rsidRDefault="006B0A70" w:rsidP="0058511B">
            <w:pPr>
              <w:tabs>
                <w:tab w:val="decimal" w:pos="1024"/>
              </w:tabs>
              <w:rPr>
                <w:sz w:val="22"/>
                <w:szCs w:val="22"/>
              </w:rPr>
            </w:pPr>
          </w:p>
          <w:p w:rsidR="00B8589F" w:rsidRDefault="00B8589F" w:rsidP="0058511B">
            <w:pPr>
              <w:tabs>
                <w:tab w:val="decimal" w:pos="1024"/>
              </w:tabs>
              <w:rPr>
                <w:sz w:val="22"/>
                <w:szCs w:val="22"/>
              </w:rPr>
            </w:pPr>
          </w:p>
          <w:p w:rsidR="00B8589F" w:rsidRDefault="00B8589F" w:rsidP="0058511B">
            <w:pPr>
              <w:tabs>
                <w:tab w:val="decimal" w:pos="1024"/>
              </w:tabs>
              <w:rPr>
                <w:sz w:val="22"/>
                <w:szCs w:val="22"/>
              </w:rPr>
            </w:pPr>
          </w:p>
          <w:p w:rsidR="00B8589F" w:rsidRPr="006C28D2" w:rsidRDefault="00B8589F" w:rsidP="00C62FD1">
            <w:pPr>
              <w:tabs>
                <w:tab w:val="decimal" w:pos="1024"/>
              </w:tabs>
              <w:rPr>
                <w:sz w:val="22"/>
                <w:szCs w:val="22"/>
              </w:rPr>
            </w:pPr>
            <w:r>
              <w:rPr>
                <w:sz w:val="22"/>
                <w:szCs w:val="22"/>
              </w:rPr>
              <w:t>21,</w:t>
            </w:r>
            <w:r w:rsidR="00C62FD1">
              <w:rPr>
                <w:sz w:val="22"/>
                <w:szCs w:val="22"/>
              </w:rPr>
              <w:t>579</w:t>
            </w:r>
          </w:p>
        </w:tc>
        <w:tc>
          <w:tcPr>
            <w:tcW w:w="1533" w:type="dxa"/>
          </w:tcPr>
          <w:p w:rsidR="006B0A70" w:rsidRDefault="006B0A70" w:rsidP="0096743B">
            <w:pPr>
              <w:tabs>
                <w:tab w:val="decimal" w:pos="1024"/>
              </w:tabs>
              <w:rPr>
                <w:sz w:val="22"/>
                <w:szCs w:val="22"/>
              </w:rPr>
            </w:pPr>
          </w:p>
          <w:p w:rsidR="006B0A70" w:rsidRDefault="006B0A70" w:rsidP="0096743B">
            <w:pPr>
              <w:tabs>
                <w:tab w:val="decimal" w:pos="1024"/>
              </w:tabs>
              <w:rPr>
                <w:sz w:val="22"/>
                <w:szCs w:val="22"/>
              </w:rPr>
            </w:pPr>
          </w:p>
          <w:p w:rsidR="006B0A70" w:rsidRDefault="006B0A70" w:rsidP="0096743B">
            <w:pPr>
              <w:tabs>
                <w:tab w:val="decimal" w:pos="1024"/>
              </w:tabs>
              <w:rPr>
                <w:sz w:val="22"/>
                <w:szCs w:val="22"/>
              </w:rPr>
            </w:pPr>
          </w:p>
          <w:p w:rsidR="006B0A70" w:rsidRPr="006C28D2" w:rsidRDefault="006B0A70" w:rsidP="009614ED">
            <w:pPr>
              <w:tabs>
                <w:tab w:val="decimal" w:pos="1024"/>
              </w:tabs>
              <w:rPr>
                <w:sz w:val="22"/>
                <w:szCs w:val="22"/>
              </w:rPr>
            </w:pPr>
            <w:r>
              <w:rPr>
                <w:sz w:val="22"/>
                <w:szCs w:val="22"/>
              </w:rPr>
              <w:t>23,</w:t>
            </w:r>
            <w:r w:rsidR="009614ED">
              <w:rPr>
                <w:sz w:val="22"/>
                <w:szCs w:val="22"/>
              </w:rPr>
              <w:t>797</w:t>
            </w:r>
          </w:p>
        </w:tc>
      </w:tr>
      <w:tr w:rsidR="006B0A70" w:rsidTr="00287824">
        <w:trPr>
          <w:trHeight w:hRule="exact" w:val="569"/>
        </w:trPr>
        <w:tc>
          <w:tcPr>
            <w:tcW w:w="5670" w:type="dxa"/>
            <w:vAlign w:val="bottom"/>
          </w:tcPr>
          <w:p w:rsidR="006B0A70" w:rsidRPr="00181DDD" w:rsidRDefault="006B0A70" w:rsidP="00CD62E6">
            <w:pPr>
              <w:rPr>
                <w:rFonts w:cs="Arial"/>
                <w:sz w:val="22"/>
                <w:szCs w:val="22"/>
              </w:rPr>
            </w:pPr>
            <w:r w:rsidRPr="00181DDD">
              <w:rPr>
                <w:rFonts w:cs="Arial"/>
                <w:sz w:val="22"/>
                <w:szCs w:val="22"/>
              </w:rPr>
              <w:t>Employers pension contributions and direct payments to pensioners payable in the year</w:t>
            </w:r>
          </w:p>
        </w:tc>
        <w:tc>
          <w:tcPr>
            <w:tcW w:w="1557" w:type="dxa"/>
          </w:tcPr>
          <w:p w:rsidR="006B0A70" w:rsidRDefault="006B0A70" w:rsidP="006B1890">
            <w:pPr>
              <w:tabs>
                <w:tab w:val="decimal" w:pos="1024"/>
              </w:tabs>
              <w:rPr>
                <w:sz w:val="22"/>
                <w:szCs w:val="22"/>
              </w:rPr>
            </w:pPr>
          </w:p>
          <w:p w:rsidR="00B8589F" w:rsidRPr="006B1890" w:rsidRDefault="00B8589F" w:rsidP="00C62FD1">
            <w:pPr>
              <w:tabs>
                <w:tab w:val="decimal" w:pos="1024"/>
              </w:tabs>
              <w:rPr>
                <w:sz w:val="22"/>
                <w:szCs w:val="22"/>
              </w:rPr>
            </w:pPr>
            <w:r>
              <w:rPr>
                <w:sz w:val="22"/>
                <w:szCs w:val="22"/>
              </w:rPr>
              <w:t>(8,</w:t>
            </w:r>
            <w:r w:rsidR="00C62FD1">
              <w:rPr>
                <w:sz w:val="22"/>
                <w:szCs w:val="22"/>
              </w:rPr>
              <w:t>328</w:t>
            </w:r>
            <w:r>
              <w:rPr>
                <w:sz w:val="22"/>
                <w:szCs w:val="22"/>
              </w:rPr>
              <w:t>)</w:t>
            </w:r>
          </w:p>
        </w:tc>
        <w:tc>
          <w:tcPr>
            <w:tcW w:w="1533" w:type="dxa"/>
          </w:tcPr>
          <w:p w:rsidR="006B0A70" w:rsidRDefault="006B0A70" w:rsidP="0096743B">
            <w:pPr>
              <w:tabs>
                <w:tab w:val="decimal" w:pos="1024"/>
              </w:tabs>
              <w:rPr>
                <w:sz w:val="22"/>
                <w:szCs w:val="22"/>
              </w:rPr>
            </w:pPr>
          </w:p>
          <w:p w:rsidR="006B0A70" w:rsidRPr="006B1890" w:rsidRDefault="006B0A70" w:rsidP="009614ED">
            <w:pPr>
              <w:tabs>
                <w:tab w:val="decimal" w:pos="1024"/>
              </w:tabs>
              <w:rPr>
                <w:sz w:val="22"/>
                <w:szCs w:val="22"/>
              </w:rPr>
            </w:pPr>
            <w:r>
              <w:rPr>
                <w:sz w:val="22"/>
                <w:szCs w:val="22"/>
              </w:rPr>
              <w:t>(12,</w:t>
            </w:r>
            <w:r w:rsidR="00695C8B">
              <w:rPr>
                <w:sz w:val="22"/>
                <w:szCs w:val="22"/>
              </w:rPr>
              <w:t>8</w:t>
            </w:r>
            <w:r w:rsidR="009614ED">
              <w:rPr>
                <w:sz w:val="22"/>
                <w:szCs w:val="22"/>
              </w:rPr>
              <w:t>57</w:t>
            </w:r>
            <w:r>
              <w:rPr>
                <w:sz w:val="22"/>
                <w:szCs w:val="22"/>
              </w:rPr>
              <w:t>)</w:t>
            </w:r>
          </w:p>
        </w:tc>
      </w:tr>
      <w:tr w:rsidR="006B0A70" w:rsidTr="00287824">
        <w:trPr>
          <w:trHeight w:hRule="exact" w:val="300"/>
        </w:trPr>
        <w:tc>
          <w:tcPr>
            <w:tcW w:w="5670" w:type="dxa"/>
          </w:tcPr>
          <w:p w:rsidR="006B0A70" w:rsidRPr="00672527" w:rsidRDefault="006B0A70" w:rsidP="00CD62E6">
            <w:pPr>
              <w:pStyle w:val="Footer"/>
              <w:tabs>
                <w:tab w:val="clear" w:pos="4153"/>
                <w:tab w:val="clear" w:pos="8306"/>
                <w:tab w:val="left" w:pos="720"/>
                <w:tab w:val="center" w:pos="6930"/>
              </w:tabs>
              <w:rPr>
                <w:sz w:val="22"/>
              </w:rPr>
            </w:pPr>
          </w:p>
        </w:tc>
        <w:tc>
          <w:tcPr>
            <w:tcW w:w="1557" w:type="dxa"/>
            <w:tcBorders>
              <w:bottom w:val="single" w:sz="4" w:space="0" w:color="auto"/>
            </w:tcBorders>
          </w:tcPr>
          <w:p w:rsidR="006B0A70" w:rsidRPr="009B6E08" w:rsidRDefault="006B0A70" w:rsidP="00287824">
            <w:pPr>
              <w:tabs>
                <w:tab w:val="decimal" w:pos="1024"/>
              </w:tabs>
              <w:rPr>
                <w:sz w:val="22"/>
                <w:szCs w:val="22"/>
                <w:highlight w:val="yellow"/>
              </w:rPr>
            </w:pPr>
          </w:p>
        </w:tc>
        <w:tc>
          <w:tcPr>
            <w:tcW w:w="1533" w:type="dxa"/>
            <w:tcBorders>
              <w:bottom w:val="single" w:sz="4" w:space="0" w:color="auto"/>
            </w:tcBorders>
          </w:tcPr>
          <w:p w:rsidR="006B0A70" w:rsidRPr="009B6E08" w:rsidRDefault="006B0A70" w:rsidP="0096743B">
            <w:pPr>
              <w:tabs>
                <w:tab w:val="decimal" w:pos="1024"/>
              </w:tabs>
              <w:rPr>
                <w:sz w:val="22"/>
                <w:szCs w:val="22"/>
                <w:highlight w:val="yellow"/>
              </w:rPr>
            </w:pPr>
          </w:p>
        </w:tc>
      </w:tr>
      <w:tr w:rsidR="006B0A70" w:rsidRPr="00971029" w:rsidTr="00287824">
        <w:trPr>
          <w:trHeight w:hRule="exact" w:val="300"/>
        </w:trPr>
        <w:tc>
          <w:tcPr>
            <w:tcW w:w="5670" w:type="dxa"/>
          </w:tcPr>
          <w:p w:rsidR="006B0A70" w:rsidRPr="00672527" w:rsidRDefault="006B0A70" w:rsidP="00CD62E6">
            <w:pPr>
              <w:pStyle w:val="Footer"/>
              <w:tabs>
                <w:tab w:val="clear" w:pos="4153"/>
                <w:tab w:val="clear" w:pos="8306"/>
                <w:tab w:val="left" w:pos="720"/>
                <w:tab w:val="center" w:pos="6930"/>
              </w:tabs>
              <w:rPr>
                <w:sz w:val="22"/>
              </w:rPr>
            </w:pPr>
          </w:p>
        </w:tc>
        <w:tc>
          <w:tcPr>
            <w:tcW w:w="1557" w:type="dxa"/>
            <w:tcBorders>
              <w:top w:val="single" w:sz="4" w:space="0" w:color="auto"/>
              <w:bottom w:val="double" w:sz="4" w:space="0" w:color="auto"/>
            </w:tcBorders>
          </w:tcPr>
          <w:p w:rsidR="006B0A70" w:rsidRPr="00AA2BC3" w:rsidRDefault="00C62FD1" w:rsidP="00C62FD1">
            <w:pPr>
              <w:tabs>
                <w:tab w:val="decimal" w:pos="1024"/>
              </w:tabs>
              <w:rPr>
                <w:sz w:val="22"/>
                <w:szCs w:val="22"/>
              </w:rPr>
            </w:pPr>
            <w:r>
              <w:rPr>
                <w:sz w:val="22"/>
                <w:szCs w:val="22"/>
              </w:rPr>
              <w:t>800</w:t>
            </w:r>
            <w:r w:rsidR="00E009DA">
              <w:rPr>
                <w:sz w:val="22"/>
                <w:szCs w:val="22"/>
              </w:rPr>
              <w:t>,</w:t>
            </w:r>
            <w:r>
              <w:rPr>
                <w:sz w:val="22"/>
                <w:szCs w:val="22"/>
              </w:rPr>
              <w:t>264</w:t>
            </w:r>
          </w:p>
        </w:tc>
        <w:tc>
          <w:tcPr>
            <w:tcW w:w="1533" w:type="dxa"/>
            <w:tcBorders>
              <w:top w:val="single" w:sz="4" w:space="0" w:color="auto"/>
              <w:bottom w:val="double" w:sz="4" w:space="0" w:color="auto"/>
            </w:tcBorders>
          </w:tcPr>
          <w:p w:rsidR="006B0A70" w:rsidRPr="00AA2BC3" w:rsidRDefault="006B0A70" w:rsidP="009614ED">
            <w:pPr>
              <w:tabs>
                <w:tab w:val="decimal" w:pos="1024"/>
              </w:tabs>
              <w:rPr>
                <w:sz w:val="22"/>
                <w:szCs w:val="22"/>
              </w:rPr>
            </w:pPr>
            <w:r>
              <w:rPr>
                <w:sz w:val="22"/>
                <w:szCs w:val="22"/>
              </w:rPr>
              <w:t>79</w:t>
            </w:r>
            <w:r w:rsidR="009614ED">
              <w:rPr>
                <w:sz w:val="22"/>
                <w:szCs w:val="22"/>
              </w:rPr>
              <w:t>7</w:t>
            </w:r>
            <w:r>
              <w:rPr>
                <w:sz w:val="22"/>
                <w:szCs w:val="22"/>
              </w:rPr>
              <w:t>,</w:t>
            </w:r>
            <w:r w:rsidR="009614ED">
              <w:rPr>
                <w:sz w:val="22"/>
                <w:szCs w:val="22"/>
              </w:rPr>
              <w:t>742</w:t>
            </w:r>
          </w:p>
        </w:tc>
      </w:tr>
    </w:tbl>
    <w:p w:rsidR="002B03B5" w:rsidRDefault="002B03B5" w:rsidP="00D90216">
      <w:pPr>
        <w:pStyle w:val="BodyTextIndent"/>
        <w:ind w:left="709"/>
        <w:jc w:val="both"/>
        <w:rPr>
          <w:rFonts w:cs="Arial"/>
          <w:b/>
          <w:sz w:val="22"/>
          <w:szCs w:val="22"/>
        </w:rPr>
      </w:pPr>
    </w:p>
    <w:p w:rsidR="00D90216" w:rsidRPr="001F7F67" w:rsidRDefault="00D90216" w:rsidP="00D90216">
      <w:pPr>
        <w:pStyle w:val="BodyTextIndent"/>
        <w:ind w:left="709"/>
        <w:jc w:val="both"/>
        <w:rPr>
          <w:rFonts w:cs="Arial"/>
          <w:b/>
          <w:sz w:val="22"/>
          <w:szCs w:val="22"/>
        </w:rPr>
      </w:pPr>
      <w:r w:rsidRPr="001F7F67">
        <w:rPr>
          <w:rFonts w:cs="Arial"/>
          <w:b/>
          <w:sz w:val="22"/>
          <w:szCs w:val="22"/>
        </w:rPr>
        <w:t>Collection Fund Adjustment Account</w:t>
      </w:r>
    </w:p>
    <w:p w:rsidR="00D90216" w:rsidRDefault="00D90216" w:rsidP="00D90216">
      <w:pPr>
        <w:pStyle w:val="BodyTextIndent"/>
        <w:ind w:left="709"/>
        <w:jc w:val="both"/>
        <w:rPr>
          <w:rFonts w:cs="Arial"/>
          <w:sz w:val="22"/>
          <w:szCs w:val="22"/>
        </w:rPr>
      </w:pPr>
    </w:p>
    <w:p w:rsidR="00D90216" w:rsidRDefault="00D90216" w:rsidP="00D90216">
      <w:pPr>
        <w:pStyle w:val="BodyTextIndent"/>
        <w:ind w:left="709"/>
        <w:jc w:val="both"/>
        <w:rPr>
          <w:rFonts w:cs="Arial"/>
          <w:sz w:val="22"/>
          <w:szCs w:val="22"/>
        </w:rPr>
      </w:pPr>
      <w:r>
        <w:rPr>
          <w:rFonts w:cs="Arial"/>
          <w:sz w:val="22"/>
          <w:szCs w:val="22"/>
        </w:rPr>
        <w:t>The Collection Fund Adjustment Account manages the differences arising from the recognition of council tax</w:t>
      </w:r>
      <w:r w:rsidR="00FC7AF7">
        <w:rPr>
          <w:rFonts w:cs="Arial"/>
          <w:sz w:val="22"/>
          <w:szCs w:val="22"/>
        </w:rPr>
        <w:t xml:space="preserve"> and business rates</w:t>
      </w:r>
      <w:r>
        <w:rPr>
          <w:rFonts w:cs="Arial"/>
          <w:sz w:val="22"/>
          <w:szCs w:val="22"/>
        </w:rPr>
        <w:t xml:space="preserve"> income in the Comprehensive Income and Expenditure Statement as it falls due from council tax </w:t>
      </w:r>
      <w:r w:rsidR="00FC7AF7">
        <w:rPr>
          <w:rFonts w:cs="Arial"/>
          <w:sz w:val="22"/>
          <w:szCs w:val="22"/>
        </w:rPr>
        <w:t xml:space="preserve">and business rates </w:t>
      </w:r>
      <w:r>
        <w:rPr>
          <w:rFonts w:cs="Arial"/>
          <w:sz w:val="22"/>
          <w:szCs w:val="22"/>
        </w:rPr>
        <w:t>payers compared with the statutory arrangements for paying across amounts to the General Fund.</w:t>
      </w:r>
    </w:p>
    <w:p w:rsidR="00D90216" w:rsidRPr="001F7F67" w:rsidRDefault="00D90216" w:rsidP="00D90216">
      <w:pPr>
        <w:pStyle w:val="BodyTextIndent"/>
        <w:ind w:left="709"/>
        <w:jc w:val="both"/>
        <w:rPr>
          <w:rFonts w:cs="Arial"/>
          <w:sz w:val="22"/>
          <w:szCs w:val="22"/>
        </w:rPr>
      </w:pPr>
    </w:p>
    <w:tbl>
      <w:tblPr>
        <w:tblW w:w="9878" w:type="dxa"/>
        <w:tblInd w:w="720" w:type="dxa"/>
        <w:tblLayout w:type="fixed"/>
        <w:tblLook w:val="0000" w:firstRow="0" w:lastRow="0" w:firstColumn="0" w:lastColumn="0" w:noHBand="0" w:noVBand="0"/>
      </w:tblPr>
      <w:tblGrid>
        <w:gridCol w:w="3074"/>
        <w:gridCol w:w="1134"/>
        <w:gridCol w:w="1134"/>
        <w:gridCol w:w="1134"/>
        <w:gridCol w:w="1134"/>
        <w:gridCol w:w="1134"/>
        <w:gridCol w:w="1134"/>
      </w:tblGrid>
      <w:tr w:rsidR="008A2F23" w:rsidRPr="00A60775" w:rsidTr="00E61A5C">
        <w:trPr>
          <w:trHeight w:hRule="exact" w:val="300"/>
        </w:trPr>
        <w:tc>
          <w:tcPr>
            <w:tcW w:w="3074" w:type="dxa"/>
          </w:tcPr>
          <w:p w:rsidR="008A2F23" w:rsidRPr="00A60775" w:rsidRDefault="008A2F23" w:rsidP="00CD62E6">
            <w:pPr>
              <w:tabs>
                <w:tab w:val="left" w:pos="720"/>
                <w:tab w:val="center" w:pos="6930"/>
              </w:tabs>
              <w:rPr>
                <w:sz w:val="22"/>
                <w:highlight w:val="cyan"/>
              </w:rPr>
            </w:pPr>
          </w:p>
        </w:tc>
        <w:tc>
          <w:tcPr>
            <w:tcW w:w="2268" w:type="dxa"/>
            <w:gridSpan w:val="2"/>
          </w:tcPr>
          <w:p w:rsidR="008A2F23" w:rsidRPr="0064777E" w:rsidRDefault="008A2F23" w:rsidP="00D71FAB">
            <w:pPr>
              <w:jc w:val="center"/>
              <w:rPr>
                <w:sz w:val="22"/>
                <w:szCs w:val="22"/>
              </w:rPr>
            </w:pPr>
            <w:r>
              <w:rPr>
                <w:sz w:val="22"/>
                <w:szCs w:val="22"/>
              </w:rPr>
              <w:t>Council Tax</w:t>
            </w:r>
          </w:p>
        </w:tc>
        <w:tc>
          <w:tcPr>
            <w:tcW w:w="2268" w:type="dxa"/>
            <w:gridSpan w:val="2"/>
          </w:tcPr>
          <w:p w:rsidR="008A2F23" w:rsidRPr="0064777E" w:rsidRDefault="008A2F23" w:rsidP="00D71FAB">
            <w:pPr>
              <w:jc w:val="center"/>
              <w:rPr>
                <w:sz w:val="22"/>
                <w:szCs w:val="22"/>
              </w:rPr>
            </w:pPr>
            <w:r>
              <w:rPr>
                <w:sz w:val="22"/>
                <w:szCs w:val="22"/>
              </w:rPr>
              <w:t>Business Rates</w:t>
            </w:r>
          </w:p>
        </w:tc>
        <w:tc>
          <w:tcPr>
            <w:tcW w:w="2268" w:type="dxa"/>
            <w:gridSpan w:val="2"/>
          </w:tcPr>
          <w:p w:rsidR="008A2F23" w:rsidRPr="0064777E" w:rsidRDefault="008A2F23" w:rsidP="00D71FAB">
            <w:pPr>
              <w:jc w:val="center"/>
              <w:rPr>
                <w:sz w:val="22"/>
                <w:szCs w:val="22"/>
              </w:rPr>
            </w:pPr>
            <w:r>
              <w:rPr>
                <w:sz w:val="22"/>
                <w:szCs w:val="22"/>
              </w:rPr>
              <w:t>Total</w:t>
            </w:r>
          </w:p>
        </w:tc>
      </w:tr>
      <w:tr w:rsidR="006B0A70" w:rsidRPr="00A60775" w:rsidTr="008A2F23">
        <w:trPr>
          <w:trHeight w:hRule="exact" w:val="300"/>
        </w:trPr>
        <w:tc>
          <w:tcPr>
            <w:tcW w:w="3074" w:type="dxa"/>
          </w:tcPr>
          <w:p w:rsidR="006B0A70" w:rsidRPr="00A60775" w:rsidRDefault="006B0A70" w:rsidP="00CD62E6">
            <w:pPr>
              <w:tabs>
                <w:tab w:val="left" w:pos="720"/>
                <w:tab w:val="center" w:pos="6930"/>
              </w:tabs>
              <w:rPr>
                <w:sz w:val="22"/>
                <w:highlight w:val="cyan"/>
              </w:rPr>
            </w:pPr>
          </w:p>
        </w:tc>
        <w:tc>
          <w:tcPr>
            <w:tcW w:w="1134" w:type="dxa"/>
          </w:tcPr>
          <w:p w:rsidR="006B0A70" w:rsidRPr="001844B0" w:rsidRDefault="006B0A70" w:rsidP="006B0A70">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134" w:type="dxa"/>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c>
          <w:tcPr>
            <w:tcW w:w="1134" w:type="dxa"/>
          </w:tcPr>
          <w:p w:rsidR="006B0A70" w:rsidRPr="001844B0" w:rsidRDefault="006B0A7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134" w:type="dxa"/>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c>
          <w:tcPr>
            <w:tcW w:w="1134" w:type="dxa"/>
          </w:tcPr>
          <w:p w:rsidR="006B0A70" w:rsidRPr="001844B0" w:rsidRDefault="006B0A7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134" w:type="dxa"/>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430B62" w:rsidRPr="00A60775" w:rsidTr="008A2F23">
        <w:trPr>
          <w:trHeight w:hRule="exact" w:val="300"/>
        </w:trPr>
        <w:tc>
          <w:tcPr>
            <w:tcW w:w="3074" w:type="dxa"/>
          </w:tcPr>
          <w:p w:rsidR="00430B62" w:rsidRPr="00A60775" w:rsidRDefault="00430B62" w:rsidP="00CD62E6">
            <w:pPr>
              <w:tabs>
                <w:tab w:val="left" w:pos="720"/>
                <w:tab w:val="center" w:pos="6930"/>
              </w:tabs>
              <w:spacing w:after="120"/>
              <w:rPr>
                <w:sz w:val="22"/>
                <w:highlight w:val="cyan"/>
              </w:rPr>
            </w:pPr>
          </w:p>
        </w:tc>
        <w:tc>
          <w:tcPr>
            <w:tcW w:w="1134" w:type="dxa"/>
          </w:tcPr>
          <w:p w:rsidR="00430B62" w:rsidRPr="00430B62" w:rsidRDefault="00430B62" w:rsidP="00974465">
            <w:pPr>
              <w:jc w:val="center"/>
              <w:rPr>
                <w:sz w:val="22"/>
              </w:rPr>
            </w:pPr>
            <w:r w:rsidRPr="00430B62">
              <w:rPr>
                <w:sz w:val="22"/>
              </w:rPr>
              <w:t>£000</w:t>
            </w:r>
          </w:p>
        </w:tc>
        <w:tc>
          <w:tcPr>
            <w:tcW w:w="1134" w:type="dxa"/>
          </w:tcPr>
          <w:p w:rsidR="00430B62" w:rsidRPr="00430B62" w:rsidRDefault="00430B62" w:rsidP="0090104C">
            <w:pPr>
              <w:jc w:val="center"/>
              <w:rPr>
                <w:sz w:val="22"/>
              </w:rPr>
            </w:pPr>
            <w:r w:rsidRPr="00430B62">
              <w:rPr>
                <w:sz w:val="22"/>
              </w:rPr>
              <w:t>£000</w:t>
            </w:r>
          </w:p>
        </w:tc>
        <w:tc>
          <w:tcPr>
            <w:tcW w:w="1134" w:type="dxa"/>
          </w:tcPr>
          <w:p w:rsidR="00430B62" w:rsidRPr="00430B62" w:rsidRDefault="00430B62" w:rsidP="00E61A5C">
            <w:pPr>
              <w:jc w:val="center"/>
              <w:rPr>
                <w:sz w:val="22"/>
              </w:rPr>
            </w:pPr>
            <w:r w:rsidRPr="00430B62">
              <w:rPr>
                <w:sz w:val="22"/>
              </w:rPr>
              <w:t>£000</w:t>
            </w:r>
          </w:p>
        </w:tc>
        <w:tc>
          <w:tcPr>
            <w:tcW w:w="1134" w:type="dxa"/>
          </w:tcPr>
          <w:p w:rsidR="00430B62" w:rsidRPr="00430B62" w:rsidRDefault="00430B62" w:rsidP="0090104C">
            <w:pPr>
              <w:jc w:val="center"/>
              <w:rPr>
                <w:sz w:val="22"/>
              </w:rPr>
            </w:pPr>
            <w:r w:rsidRPr="00430B62">
              <w:rPr>
                <w:sz w:val="22"/>
              </w:rPr>
              <w:t>£000</w:t>
            </w:r>
          </w:p>
        </w:tc>
        <w:tc>
          <w:tcPr>
            <w:tcW w:w="1134" w:type="dxa"/>
          </w:tcPr>
          <w:p w:rsidR="00430B62" w:rsidRPr="00430B62" w:rsidRDefault="00430B62" w:rsidP="00E61A5C">
            <w:pPr>
              <w:jc w:val="center"/>
              <w:rPr>
                <w:sz w:val="22"/>
              </w:rPr>
            </w:pPr>
            <w:r w:rsidRPr="00430B62">
              <w:rPr>
                <w:sz w:val="22"/>
              </w:rPr>
              <w:t>£000</w:t>
            </w:r>
          </w:p>
        </w:tc>
        <w:tc>
          <w:tcPr>
            <w:tcW w:w="1134" w:type="dxa"/>
          </w:tcPr>
          <w:p w:rsidR="00430B62" w:rsidRPr="00430B62" w:rsidRDefault="00430B62" w:rsidP="0090104C">
            <w:pPr>
              <w:jc w:val="center"/>
              <w:rPr>
                <w:sz w:val="22"/>
              </w:rPr>
            </w:pPr>
            <w:r w:rsidRPr="00430B62">
              <w:rPr>
                <w:sz w:val="22"/>
              </w:rPr>
              <w:t>£000</w:t>
            </w:r>
          </w:p>
        </w:tc>
      </w:tr>
      <w:tr w:rsidR="006B0A70" w:rsidRPr="00A60775" w:rsidTr="008A2F23">
        <w:trPr>
          <w:trHeight w:hRule="exact" w:val="300"/>
        </w:trPr>
        <w:tc>
          <w:tcPr>
            <w:tcW w:w="3074" w:type="dxa"/>
          </w:tcPr>
          <w:p w:rsidR="006B0A70" w:rsidRPr="001F7F67" w:rsidRDefault="006B0A70" w:rsidP="00CD62E6">
            <w:pPr>
              <w:tabs>
                <w:tab w:val="left" w:pos="720"/>
                <w:tab w:val="center" w:pos="6930"/>
              </w:tabs>
              <w:rPr>
                <w:sz w:val="22"/>
              </w:rPr>
            </w:pPr>
            <w:r w:rsidRPr="001F7F67">
              <w:rPr>
                <w:sz w:val="22"/>
              </w:rPr>
              <w:t>Balance at 1 April</w:t>
            </w:r>
          </w:p>
        </w:tc>
        <w:tc>
          <w:tcPr>
            <w:tcW w:w="1134" w:type="dxa"/>
          </w:tcPr>
          <w:p w:rsidR="006B0A70" w:rsidRPr="00430B62" w:rsidRDefault="006B0A70" w:rsidP="006B0A70">
            <w:pPr>
              <w:tabs>
                <w:tab w:val="decimal" w:pos="696"/>
              </w:tabs>
              <w:rPr>
                <w:sz w:val="22"/>
              </w:rPr>
            </w:pPr>
            <w:r w:rsidRPr="00430B62">
              <w:rPr>
                <w:sz w:val="22"/>
              </w:rPr>
              <w:t>(</w:t>
            </w:r>
            <w:r>
              <w:rPr>
                <w:sz w:val="22"/>
              </w:rPr>
              <w:t>734</w:t>
            </w:r>
            <w:r w:rsidRPr="00430B62">
              <w:rPr>
                <w:sz w:val="22"/>
              </w:rPr>
              <w:t>)</w:t>
            </w:r>
          </w:p>
        </w:tc>
        <w:tc>
          <w:tcPr>
            <w:tcW w:w="1134" w:type="dxa"/>
          </w:tcPr>
          <w:p w:rsidR="006B0A70" w:rsidRPr="00430B62" w:rsidRDefault="006B0A70" w:rsidP="0096743B">
            <w:pPr>
              <w:tabs>
                <w:tab w:val="decimal" w:pos="696"/>
              </w:tabs>
              <w:rPr>
                <w:sz w:val="22"/>
              </w:rPr>
            </w:pPr>
            <w:r w:rsidRPr="00430B62">
              <w:rPr>
                <w:sz w:val="22"/>
              </w:rPr>
              <w:t>(</w:t>
            </w:r>
            <w:r>
              <w:rPr>
                <w:sz w:val="22"/>
              </w:rPr>
              <w:t>792</w:t>
            </w:r>
            <w:r w:rsidRPr="00430B62">
              <w:rPr>
                <w:sz w:val="22"/>
              </w:rPr>
              <w:t>)</w:t>
            </w:r>
          </w:p>
        </w:tc>
        <w:tc>
          <w:tcPr>
            <w:tcW w:w="1134" w:type="dxa"/>
          </w:tcPr>
          <w:p w:rsidR="006B0A70" w:rsidRPr="00430B62" w:rsidRDefault="006B0A70" w:rsidP="006B0A70">
            <w:pPr>
              <w:tabs>
                <w:tab w:val="decimal" w:pos="696"/>
              </w:tabs>
              <w:rPr>
                <w:sz w:val="22"/>
              </w:rPr>
            </w:pPr>
            <w:r>
              <w:rPr>
                <w:sz w:val="22"/>
              </w:rPr>
              <w:t>70</w:t>
            </w:r>
          </w:p>
        </w:tc>
        <w:tc>
          <w:tcPr>
            <w:tcW w:w="1134" w:type="dxa"/>
          </w:tcPr>
          <w:p w:rsidR="006B0A70" w:rsidRPr="00430B62" w:rsidRDefault="006B0A70" w:rsidP="0096743B">
            <w:pPr>
              <w:tabs>
                <w:tab w:val="decimal" w:pos="696"/>
              </w:tabs>
              <w:rPr>
                <w:sz w:val="22"/>
              </w:rPr>
            </w:pPr>
            <w:r>
              <w:rPr>
                <w:sz w:val="22"/>
              </w:rPr>
              <w:t>727</w:t>
            </w:r>
          </w:p>
        </w:tc>
        <w:tc>
          <w:tcPr>
            <w:tcW w:w="1134" w:type="dxa"/>
          </w:tcPr>
          <w:p w:rsidR="006B0A70" w:rsidRPr="00430B62" w:rsidRDefault="006B0A70" w:rsidP="006B0A70">
            <w:pPr>
              <w:tabs>
                <w:tab w:val="decimal" w:pos="696"/>
              </w:tabs>
              <w:rPr>
                <w:sz w:val="22"/>
              </w:rPr>
            </w:pPr>
            <w:r w:rsidRPr="00430B62">
              <w:rPr>
                <w:sz w:val="22"/>
              </w:rPr>
              <w:t>(</w:t>
            </w:r>
            <w:r>
              <w:rPr>
                <w:sz w:val="22"/>
              </w:rPr>
              <w:t>664</w:t>
            </w:r>
            <w:r w:rsidRPr="00430B62">
              <w:rPr>
                <w:sz w:val="22"/>
              </w:rPr>
              <w:t>)</w:t>
            </w:r>
          </w:p>
        </w:tc>
        <w:tc>
          <w:tcPr>
            <w:tcW w:w="1134" w:type="dxa"/>
          </w:tcPr>
          <w:p w:rsidR="006B0A70" w:rsidRPr="00430B62" w:rsidRDefault="006B0A70" w:rsidP="0096743B">
            <w:pPr>
              <w:tabs>
                <w:tab w:val="decimal" w:pos="696"/>
              </w:tabs>
              <w:rPr>
                <w:sz w:val="22"/>
              </w:rPr>
            </w:pPr>
            <w:r w:rsidRPr="00430B62">
              <w:rPr>
                <w:sz w:val="22"/>
              </w:rPr>
              <w:t>(</w:t>
            </w:r>
            <w:r>
              <w:rPr>
                <w:sz w:val="22"/>
              </w:rPr>
              <w:t>65</w:t>
            </w:r>
            <w:r w:rsidRPr="00430B62">
              <w:rPr>
                <w:sz w:val="22"/>
              </w:rPr>
              <w:t>)</w:t>
            </w:r>
          </w:p>
        </w:tc>
      </w:tr>
      <w:tr w:rsidR="006B0A70" w:rsidRPr="00A60775" w:rsidTr="008A2F23">
        <w:trPr>
          <w:trHeight w:hRule="exact" w:val="2088"/>
        </w:trPr>
        <w:tc>
          <w:tcPr>
            <w:tcW w:w="3074" w:type="dxa"/>
          </w:tcPr>
          <w:p w:rsidR="006B0A70" w:rsidRPr="00A60775" w:rsidRDefault="006B0A70" w:rsidP="00CD62E6">
            <w:pPr>
              <w:tabs>
                <w:tab w:val="left" w:pos="720"/>
                <w:tab w:val="center" w:pos="6930"/>
              </w:tabs>
              <w:rPr>
                <w:sz w:val="22"/>
                <w:highlight w:val="cyan"/>
              </w:rPr>
            </w:pPr>
            <w:r w:rsidRPr="001F7F67">
              <w:rPr>
                <w:sz w:val="22"/>
              </w:rPr>
              <w:t>Amount by which council tax</w:t>
            </w:r>
            <w:r>
              <w:rPr>
                <w:sz w:val="22"/>
              </w:rPr>
              <w:t xml:space="preserve"> </w:t>
            </w:r>
            <w:r w:rsidRPr="001F7F67">
              <w:rPr>
                <w:sz w:val="22"/>
              </w:rPr>
              <w:t xml:space="preserve">income credited to the </w:t>
            </w:r>
            <w:r w:rsidRPr="001F7F67">
              <w:rPr>
                <w:rFonts w:cs="Arial"/>
                <w:sz w:val="22"/>
                <w:szCs w:val="22"/>
              </w:rPr>
              <w:t>Comprehensive</w:t>
            </w:r>
            <w:r>
              <w:rPr>
                <w:rFonts w:cs="Arial"/>
                <w:sz w:val="22"/>
                <w:szCs w:val="22"/>
              </w:rPr>
              <w:t xml:space="preserve"> Income and Expenditure Statement is different from council tax income calculated for the year in accordance with statutory requirements</w:t>
            </w:r>
          </w:p>
        </w:tc>
        <w:tc>
          <w:tcPr>
            <w:tcW w:w="1134" w:type="dxa"/>
          </w:tcPr>
          <w:p w:rsidR="006B0A70" w:rsidRPr="00430B62" w:rsidRDefault="006B0A70" w:rsidP="00974465">
            <w:pPr>
              <w:tabs>
                <w:tab w:val="decimal" w:pos="696"/>
              </w:tabs>
              <w:rPr>
                <w:sz w:val="22"/>
              </w:rPr>
            </w:pPr>
          </w:p>
          <w:p w:rsidR="006B0A70" w:rsidRPr="00430B62" w:rsidRDefault="006B0A70" w:rsidP="00974465">
            <w:pPr>
              <w:tabs>
                <w:tab w:val="decimal" w:pos="696"/>
              </w:tabs>
              <w:rPr>
                <w:sz w:val="22"/>
              </w:rPr>
            </w:pPr>
          </w:p>
          <w:p w:rsidR="006B0A70" w:rsidRPr="00430B62" w:rsidRDefault="006B0A70" w:rsidP="00974465">
            <w:pPr>
              <w:tabs>
                <w:tab w:val="decimal" w:pos="696"/>
              </w:tabs>
              <w:rPr>
                <w:sz w:val="22"/>
              </w:rPr>
            </w:pPr>
          </w:p>
          <w:p w:rsidR="006B0A70" w:rsidRPr="00430B62" w:rsidRDefault="0075774F" w:rsidP="00665B11">
            <w:pPr>
              <w:tabs>
                <w:tab w:val="decimal" w:pos="696"/>
              </w:tabs>
              <w:rPr>
                <w:sz w:val="22"/>
              </w:rPr>
            </w:pPr>
            <w:r>
              <w:rPr>
                <w:sz w:val="22"/>
              </w:rPr>
              <w:t>133</w:t>
            </w:r>
          </w:p>
        </w:tc>
        <w:tc>
          <w:tcPr>
            <w:tcW w:w="1134" w:type="dxa"/>
          </w:tcPr>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r>
              <w:rPr>
                <w:sz w:val="22"/>
              </w:rPr>
              <w:t>58</w:t>
            </w:r>
          </w:p>
        </w:tc>
        <w:tc>
          <w:tcPr>
            <w:tcW w:w="1134" w:type="dxa"/>
          </w:tcPr>
          <w:p w:rsidR="006B0A70" w:rsidRPr="00430B62" w:rsidRDefault="006B0A70" w:rsidP="00D71FAB">
            <w:pPr>
              <w:tabs>
                <w:tab w:val="decimal" w:pos="696"/>
              </w:tabs>
              <w:rPr>
                <w:sz w:val="22"/>
              </w:rPr>
            </w:pPr>
          </w:p>
          <w:p w:rsidR="006B0A70" w:rsidRPr="00430B62" w:rsidRDefault="006B0A70" w:rsidP="00D71FAB">
            <w:pPr>
              <w:tabs>
                <w:tab w:val="decimal" w:pos="696"/>
              </w:tabs>
              <w:rPr>
                <w:sz w:val="22"/>
              </w:rPr>
            </w:pPr>
          </w:p>
          <w:p w:rsidR="006B0A70" w:rsidRPr="00430B62" w:rsidRDefault="006B0A70" w:rsidP="00D71FAB">
            <w:pPr>
              <w:tabs>
                <w:tab w:val="decimal" w:pos="696"/>
              </w:tabs>
              <w:rPr>
                <w:sz w:val="22"/>
              </w:rPr>
            </w:pPr>
          </w:p>
          <w:p w:rsidR="006B0A70" w:rsidRPr="00430B62" w:rsidRDefault="006B0A70" w:rsidP="00D71FAB">
            <w:pPr>
              <w:tabs>
                <w:tab w:val="decimal" w:pos="696"/>
              </w:tabs>
              <w:rPr>
                <w:sz w:val="22"/>
              </w:rPr>
            </w:pPr>
            <w:r w:rsidRPr="00430B62">
              <w:rPr>
                <w:sz w:val="22"/>
              </w:rPr>
              <w:t>-</w:t>
            </w:r>
          </w:p>
        </w:tc>
        <w:tc>
          <w:tcPr>
            <w:tcW w:w="1134" w:type="dxa"/>
          </w:tcPr>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r w:rsidRPr="00430B62">
              <w:rPr>
                <w:sz w:val="22"/>
              </w:rPr>
              <w:t>-</w:t>
            </w:r>
          </w:p>
        </w:tc>
        <w:tc>
          <w:tcPr>
            <w:tcW w:w="1134" w:type="dxa"/>
          </w:tcPr>
          <w:p w:rsidR="006B0A70" w:rsidRDefault="006B0A70" w:rsidP="00665B11">
            <w:pPr>
              <w:tabs>
                <w:tab w:val="decimal" w:pos="696"/>
              </w:tabs>
              <w:rPr>
                <w:sz w:val="22"/>
              </w:rPr>
            </w:pPr>
          </w:p>
          <w:p w:rsidR="0075774F" w:rsidRDefault="0075774F" w:rsidP="00665B11">
            <w:pPr>
              <w:tabs>
                <w:tab w:val="decimal" w:pos="696"/>
              </w:tabs>
              <w:rPr>
                <w:sz w:val="22"/>
              </w:rPr>
            </w:pPr>
          </w:p>
          <w:p w:rsidR="0075774F" w:rsidRDefault="0075774F" w:rsidP="00665B11">
            <w:pPr>
              <w:tabs>
                <w:tab w:val="decimal" w:pos="696"/>
              </w:tabs>
              <w:rPr>
                <w:sz w:val="22"/>
              </w:rPr>
            </w:pPr>
          </w:p>
          <w:p w:rsidR="0075774F" w:rsidRPr="00430B62" w:rsidRDefault="0075774F" w:rsidP="00665B11">
            <w:pPr>
              <w:tabs>
                <w:tab w:val="decimal" w:pos="696"/>
              </w:tabs>
              <w:rPr>
                <w:sz w:val="22"/>
              </w:rPr>
            </w:pPr>
            <w:r>
              <w:rPr>
                <w:sz w:val="22"/>
              </w:rPr>
              <w:t>133</w:t>
            </w:r>
          </w:p>
        </w:tc>
        <w:tc>
          <w:tcPr>
            <w:tcW w:w="1134" w:type="dxa"/>
          </w:tcPr>
          <w:p w:rsidR="006B0A70" w:rsidRDefault="006B0A70" w:rsidP="0096743B">
            <w:pPr>
              <w:tabs>
                <w:tab w:val="decimal" w:pos="696"/>
              </w:tabs>
              <w:rPr>
                <w:sz w:val="22"/>
              </w:rPr>
            </w:pPr>
          </w:p>
          <w:p w:rsidR="006B0A70" w:rsidRDefault="006B0A70" w:rsidP="0096743B">
            <w:pPr>
              <w:tabs>
                <w:tab w:val="decimal" w:pos="696"/>
              </w:tabs>
              <w:rPr>
                <w:sz w:val="22"/>
              </w:rPr>
            </w:pPr>
          </w:p>
          <w:p w:rsidR="006B0A70" w:rsidRDefault="006B0A70" w:rsidP="0096743B">
            <w:pPr>
              <w:tabs>
                <w:tab w:val="decimal" w:pos="696"/>
              </w:tabs>
              <w:rPr>
                <w:sz w:val="22"/>
              </w:rPr>
            </w:pPr>
          </w:p>
          <w:p w:rsidR="006B0A70" w:rsidRPr="00430B62" w:rsidRDefault="006B0A70" w:rsidP="0096743B">
            <w:pPr>
              <w:tabs>
                <w:tab w:val="decimal" w:pos="696"/>
              </w:tabs>
              <w:rPr>
                <w:sz w:val="22"/>
              </w:rPr>
            </w:pPr>
            <w:r>
              <w:rPr>
                <w:sz w:val="22"/>
              </w:rPr>
              <w:t>58</w:t>
            </w:r>
          </w:p>
        </w:tc>
      </w:tr>
      <w:tr w:rsidR="006B0A70" w:rsidRPr="00A60775" w:rsidTr="008A2F23">
        <w:trPr>
          <w:trHeight w:hRule="exact" w:val="2108"/>
        </w:trPr>
        <w:tc>
          <w:tcPr>
            <w:tcW w:w="3074" w:type="dxa"/>
          </w:tcPr>
          <w:p w:rsidR="006B0A70" w:rsidRPr="00A60775" w:rsidRDefault="006B0A70" w:rsidP="00E61A5C">
            <w:pPr>
              <w:tabs>
                <w:tab w:val="left" w:pos="720"/>
                <w:tab w:val="center" w:pos="6930"/>
              </w:tabs>
              <w:rPr>
                <w:sz w:val="22"/>
                <w:highlight w:val="cyan"/>
              </w:rPr>
            </w:pPr>
            <w:r w:rsidRPr="001F7F67">
              <w:rPr>
                <w:sz w:val="22"/>
              </w:rPr>
              <w:t xml:space="preserve">Amount by which </w:t>
            </w:r>
            <w:r>
              <w:rPr>
                <w:sz w:val="22"/>
              </w:rPr>
              <w:t>business</w:t>
            </w:r>
            <w:r w:rsidRPr="001F7F67">
              <w:rPr>
                <w:sz w:val="22"/>
              </w:rPr>
              <w:t xml:space="preserve"> </w:t>
            </w:r>
            <w:r>
              <w:rPr>
                <w:sz w:val="22"/>
              </w:rPr>
              <w:t xml:space="preserve">rates </w:t>
            </w:r>
            <w:r w:rsidRPr="001F7F67">
              <w:rPr>
                <w:sz w:val="22"/>
              </w:rPr>
              <w:t xml:space="preserve">income credited to the </w:t>
            </w:r>
            <w:r w:rsidRPr="001F7F67">
              <w:rPr>
                <w:rFonts w:cs="Arial"/>
                <w:sz w:val="22"/>
                <w:szCs w:val="22"/>
              </w:rPr>
              <w:t>Comprehensive</w:t>
            </w:r>
            <w:r>
              <w:rPr>
                <w:rFonts w:cs="Arial"/>
                <w:sz w:val="22"/>
                <w:szCs w:val="22"/>
              </w:rPr>
              <w:t xml:space="preserve"> Income and Expenditure Statement is different from </w:t>
            </w:r>
            <w:r>
              <w:rPr>
                <w:sz w:val="22"/>
              </w:rPr>
              <w:t>business</w:t>
            </w:r>
            <w:r w:rsidRPr="001F7F67">
              <w:rPr>
                <w:sz w:val="22"/>
              </w:rPr>
              <w:t xml:space="preserve"> </w:t>
            </w:r>
            <w:r>
              <w:rPr>
                <w:sz w:val="22"/>
              </w:rPr>
              <w:t>rates</w:t>
            </w:r>
            <w:r>
              <w:rPr>
                <w:rFonts w:cs="Arial"/>
                <w:sz w:val="22"/>
                <w:szCs w:val="22"/>
              </w:rPr>
              <w:t xml:space="preserve"> income calculated for the year in accordance with statutory requirements</w:t>
            </w:r>
          </w:p>
        </w:tc>
        <w:tc>
          <w:tcPr>
            <w:tcW w:w="1134" w:type="dxa"/>
          </w:tcPr>
          <w:p w:rsidR="006B0A70" w:rsidRPr="00430B62" w:rsidRDefault="006B0A70" w:rsidP="00974465">
            <w:pPr>
              <w:tabs>
                <w:tab w:val="decimal" w:pos="696"/>
              </w:tabs>
              <w:rPr>
                <w:sz w:val="22"/>
              </w:rPr>
            </w:pPr>
          </w:p>
          <w:p w:rsidR="006B0A70" w:rsidRPr="00430B62" w:rsidRDefault="006B0A70" w:rsidP="00974465">
            <w:pPr>
              <w:tabs>
                <w:tab w:val="decimal" w:pos="696"/>
              </w:tabs>
              <w:rPr>
                <w:sz w:val="22"/>
              </w:rPr>
            </w:pPr>
          </w:p>
          <w:p w:rsidR="006B0A70" w:rsidRPr="00430B62" w:rsidRDefault="006B0A70" w:rsidP="00974465">
            <w:pPr>
              <w:tabs>
                <w:tab w:val="decimal" w:pos="696"/>
              </w:tabs>
              <w:rPr>
                <w:sz w:val="22"/>
              </w:rPr>
            </w:pPr>
          </w:p>
          <w:p w:rsidR="006B0A70" w:rsidRPr="00430B62" w:rsidRDefault="006B0A70" w:rsidP="00974465">
            <w:pPr>
              <w:tabs>
                <w:tab w:val="decimal" w:pos="696"/>
              </w:tabs>
              <w:rPr>
                <w:sz w:val="22"/>
              </w:rPr>
            </w:pPr>
            <w:r w:rsidRPr="00430B62">
              <w:rPr>
                <w:sz w:val="22"/>
              </w:rPr>
              <w:t>-</w:t>
            </w:r>
          </w:p>
        </w:tc>
        <w:tc>
          <w:tcPr>
            <w:tcW w:w="1134" w:type="dxa"/>
          </w:tcPr>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p>
          <w:p w:rsidR="006B0A70" w:rsidRPr="00430B62" w:rsidRDefault="006B0A70" w:rsidP="0096743B">
            <w:pPr>
              <w:tabs>
                <w:tab w:val="decimal" w:pos="696"/>
              </w:tabs>
              <w:rPr>
                <w:sz w:val="22"/>
              </w:rPr>
            </w:pPr>
            <w:r w:rsidRPr="00430B62">
              <w:rPr>
                <w:sz w:val="22"/>
              </w:rPr>
              <w:t>-</w:t>
            </w:r>
          </w:p>
        </w:tc>
        <w:tc>
          <w:tcPr>
            <w:tcW w:w="1134" w:type="dxa"/>
          </w:tcPr>
          <w:p w:rsidR="006B0A70" w:rsidRDefault="006B0A70" w:rsidP="00D71FAB">
            <w:pPr>
              <w:tabs>
                <w:tab w:val="decimal" w:pos="696"/>
              </w:tabs>
              <w:rPr>
                <w:sz w:val="22"/>
              </w:rPr>
            </w:pPr>
          </w:p>
          <w:p w:rsidR="0075774F" w:rsidRDefault="0075774F" w:rsidP="00D71FAB">
            <w:pPr>
              <w:tabs>
                <w:tab w:val="decimal" w:pos="696"/>
              </w:tabs>
              <w:rPr>
                <w:sz w:val="22"/>
              </w:rPr>
            </w:pPr>
          </w:p>
          <w:p w:rsidR="0075774F" w:rsidRDefault="0075774F" w:rsidP="00D71FAB">
            <w:pPr>
              <w:tabs>
                <w:tab w:val="decimal" w:pos="696"/>
              </w:tabs>
              <w:rPr>
                <w:sz w:val="22"/>
              </w:rPr>
            </w:pPr>
          </w:p>
          <w:p w:rsidR="0075774F" w:rsidRPr="00430B62" w:rsidRDefault="0075774F" w:rsidP="0075774F">
            <w:pPr>
              <w:tabs>
                <w:tab w:val="decimal" w:pos="696"/>
              </w:tabs>
              <w:rPr>
                <w:sz w:val="22"/>
              </w:rPr>
            </w:pPr>
            <w:r>
              <w:rPr>
                <w:sz w:val="22"/>
              </w:rPr>
              <w:t>(173)</w:t>
            </w:r>
          </w:p>
        </w:tc>
        <w:tc>
          <w:tcPr>
            <w:tcW w:w="1134" w:type="dxa"/>
          </w:tcPr>
          <w:p w:rsidR="006B0A70" w:rsidRDefault="006B0A70" w:rsidP="0096743B">
            <w:pPr>
              <w:tabs>
                <w:tab w:val="decimal" w:pos="696"/>
              </w:tabs>
              <w:rPr>
                <w:sz w:val="22"/>
              </w:rPr>
            </w:pPr>
          </w:p>
          <w:p w:rsidR="006B0A70" w:rsidRDefault="006B0A70" w:rsidP="0096743B">
            <w:pPr>
              <w:tabs>
                <w:tab w:val="decimal" w:pos="696"/>
              </w:tabs>
              <w:rPr>
                <w:sz w:val="22"/>
              </w:rPr>
            </w:pPr>
          </w:p>
          <w:p w:rsidR="006B0A70" w:rsidRDefault="006B0A70" w:rsidP="0096743B">
            <w:pPr>
              <w:tabs>
                <w:tab w:val="decimal" w:pos="696"/>
              </w:tabs>
              <w:rPr>
                <w:sz w:val="22"/>
              </w:rPr>
            </w:pPr>
          </w:p>
          <w:p w:rsidR="006B0A70" w:rsidRPr="00430B62" w:rsidRDefault="006B0A70" w:rsidP="0096743B">
            <w:pPr>
              <w:tabs>
                <w:tab w:val="decimal" w:pos="696"/>
              </w:tabs>
              <w:rPr>
                <w:sz w:val="22"/>
              </w:rPr>
            </w:pPr>
            <w:r>
              <w:rPr>
                <w:sz w:val="22"/>
              </w:rPr>
              <w:t>(657)</w:t>
            </w:r>
          </w:p>
        </w:tc>
        <w:tc>
          <w:tcPr>
            <w:tcW w:w="1134" w:type="dxa"/>
          </w:tcPr>
          <w:p w:rsidR="006B0A70" w:rsidRDefault="006B0A70" w:rsidP="00D71FAB">
            <w:pPr>
              <w:tabs>
                <w:tab w:val="decimal" w:pos="696"/>
              </w:tabs>
              <w:rPr>
                <w:sz w:val="22"/>
              </w:rPr>
            </w:pPr>
          </w:p>
          <w:p w:rsidR="0075774F" w:rsidRDefault="0075774F" w:rsidP="00D71FAB">
            <w:pPr>
              <w:tabs>
                <w:tab w:val="decimal" w:pos="696"/>
              </w:tabs>
              <w:rPr>
                <w:sz w:val="22"/>
              </w:rPr>
            </w:pPr>
          </w:p>
          <w:p w:rsidR="0075774F" w:rsidRDefault="0075774F" w:rsidP="00D71FAB">
            <w:pPr>
              <w:tabs>
                <w:tab w:val="decimal" w:pos="696"/>
              </w:tabs>
              <w:rPr>
                <w:sz w:val="22"/>
              </w:rPr>
            </w:pPr>
          </w:p>
          <w:p w:rsidR="0075774F" w:rsidRPr="00430B62" w:rsidRDefault="0075774F" w:rsidP="0075774F">
            <w:pPr>
              <w:tabs>
                <w:tab w:val="decimal" w:pos="696"/>
              </w:tabs>
              <w:rPr>
                <w:sz w:val="22"/>
              </w:rPr>
            </w:pPr>
            <w:r>
              <w:rPr>
                <w:sz w:val="22"/>
              </w:rPr>
              <w:t>(173)</w:t>
            </w:r>
          </w:p>
        </w:tc>
        <w:tc>
          <w:tcPr>
            <w:tcW w:w="1134" w:type="dxa"/>
          </w:tcPr>
          <w:p w:rsidR="006B0A70" w:rsidRDefault="006B0A70" w:rsidP="0096743B">
            <w:pPr>
              <w:tabs>
                <w:tab w:val="decimal" w:pos="696"/>
              </w:tabs>
              <w:rPr>
                <w:sz w:val="22"/>
              </w:rPr>
            </w:pPr>
          </w:p>
          <w:p w:rsidR="006B0A70" w:rsidRDefault="006B0A70" w:rsidP="0096743B">
            <w:pPr>
              <w:tabs>
                <w:tab w:val="decimal" w:pos="696"/>
              </w:tabs>
              <w:rPr>
                <w:sz w:val="22"/>
              </w:rPr>
            </w:pPr>
          </w:p>
          <w:p w:rsidR="006B0A70" w:rsidRDefault="006B0A70" w:rsidP="0096743B">
            <w:pPr>
              <w:tabs>
                <w:tab w:val="decimal" w:pos="696"/>
              </w:tabs>
              <w:rPr>
                <w:sz w:val="22"/>
              </w:rPr>
            </w:pPr>
          </w:p>
          <w:p w:rsidR="006B0A70" w:rsidRPr="00430B62" w:rsidRDefault="006B0A70" w:rsidP="0096743B">
            <w:pPr>
              <w:tabs>
                <w:tab w:val="decimal" w:pos="696"/>
              </w:tabs>
              <w:rPr>
                <w:sz w:val="22"/>
              </w:rPr>
            </w:pPr>
            <w:r>
              <w:rPr>
                <w:sz w:val="22"/>
              </w:rPr>
              <w:t>(657)</w:t>
            </w:r>
          </w:p>
        </w:tc>
      </w:tr>
      <w:tr w:rsidR="006B0A70" w:rsidRPr="00A60775" w:rsidTr="008A2F23">
        <w:trPr>
          <w:trHeight w:hRule="exact" w:val="300"/>
        </w:trPr>
        <w:tc>
          <w:tcPr>
            <w:tcW w:w="3074" w:type="dxa"/>
          </w:tcPr>
          <w:p w:rsidR="006B0A70" w:rsidRPr="00A60775" w:rsidRDefault="006B0A70" w:rsidP="00CD62E6">
            <w:pPr>
              <w:tabs>
                <w:tab w:val="left" w:pos="720"/>
                <w:tab w:val="center" w:pos="6930"/>
              </w:tabs>
              <w:rPr>
                <w:sz w:val="22"/>
                <w:highlight w:val="cyan"/>
              </w:rPr>
            </w:pPr>
          </w:p>
        </w:tc>
        <w:tc>
          <w:tcPr>
            <w:tcW w:w="1134" w:type="dxa"/>
            <w:tcBorders>
              <w:bottom w:val="single" w:sz="4" w:space="0" w:color="auto"/>
            </w:tcBorders>
          </w:tcPr>
          <w:p w:rsidR="006B0A70" w:rsidRPr="009B6E08" w:rsidRDefault="006B0A70" w:rsidP="00974465">
            <w:pPr>
              <w:tabs>
                <w:tab w:val="decimal" w:pos="696"/>
              </w:tabs>
              <w:rPr>
                <w:sz w:val="22"/>
                <w:highlight w:val="yellow"/>
              </w:rPr>
            </w:pPr>
          </w:p>
        </w:tc>
        <w:tc>
          <w:tcPr>
            <w:tcW w:w="1134" w:type="dxa"/>
            <w:tcBorders>
              <w:bottom w:val="single" w:sz="4" w:space="0" w:color="auto"/>
            </w:tcBorders>
          </w:tcPr>
          <w:p w:rsidR="006B0A70" w:rsidRPr="009B6E08" w:rsidRDefault="006B0A70" w:rsidP="0096743B">
            <w:pPr>
              <w:tabs>
                <w:tab w:val="decimal" w:pos="696"/>
              </w:tabs>
              <w:rPr>
                <w:sz w:val="22"/>
                <w:highlight w:val="yellow"/>
              </w:rPr>
            </w:pPr>
          </w:p>
        </w:tc>
        <w:tc>
          <w:tcPr>
            <w:tcW w:w="1134" w:type="dxa"/>
            <w:tcBorders>
              <w:bottom w:val="single" w:sz="4" w:space="0" w:color="auto"/>
            </w:tcBorders>
          </w:tcPr>
          <w:p w:rsidR="006B0A70" w:rsidRPr="009B6E08" w:rsidRDefault="006B0A70" w:rsidP="00D71FAB">
            <w:pPr>
              <w:tabs>
                <w:tab w:val="decimal" w:pos="696"/>
              </w:tabs>
              <w:rPr>
                <w:sz w:val="22"/>
                <w:highlight w:val="yellow"/>
              </w:rPr>
            </w:pPr>
          </w:p>
        </w:tc>
        <w:tc>
          <w:tcPr>
            <w:tcW w:w="1134" w:type="dxa"/>
            <w:tcBorders>
              <w:bottom w:val="single" w:sz="4" w:space="0" w:color="auto"/>
            </w:tcBorders>
          </w:tcPr>
          <w:p w:rsidR="006B0A70" w:rsidRPr="009B6E08" w:rsidRDefault="006B0A70" w:rsidP="0096743B">
            <w:pPr>
              <w:tabs>
                <w:tab w:val="decimal" w:pos="696"/>
              </w:tabs>
              <w:rPr>
                <w:sz w:val="22"/>
                <w:highlight w:val="yellow"/>
              </w:rPr>
            </w:pPr>
          </w:p>
        </w:tc>
        <w:tc>
          <w:tcPr>
            <w:tcW w:w="1134" w:type="dxa"/>
            <w:tcBorders>
              <w:bottom w:val="single" w:sz="4" w:space="0" w:color="auto"/>
            </w:tcBorders>
          </w:tcPr>
          <w:p w:rsidR="006B0A70" w:rsidRPr="009B6E08" w:rsidRDefault="006B0A70" w:rsidP="00D71FAB">
            <w:pPr>
              <w:tabs>
                <w:tab w:val="decimal" w:pos="696"/>
              </w:tabs>
              <w:rPr>
                <w:sz w:val="22"/>
                <w:highlight w:val="yellow"/>
              </w:rPr>
            </w:pPr>
          </w:p>
        </w:tc>
        <w:tc>
          <w:tcPr>
            <w:tcW w:w="1134" w:type="dxa"/>
            <w:tcBorders>
              <w:bottom w:val="single" w:sz="4" w:space="0" w:color="auto"/>
            </w:tcBorders>
          </w:tcPr>
          <w:p w:rsidR="006B0A70" w:rsidRPr="009B6E08" w:rsidRDefault="006B0A70" w:rsidP="0096743B">
            <w:pPr>
              <w:tabs>
                <w:tab w:val="decimal" w:pos="696"/>
              </w:tabs>
              <w:rPr>
                <w:sz w:val="22"/>
                <w:highlight w:val="yellow"/>
              </w:rPr>
            </w:pPr>
          </w:p>
        </w:tc>
      </w:tr>
      <w:tr w:rsidR="006B0A70" w:rsidRPr="00A60775" w:rsidTr="008A2F23">
        <w:trPr>
          <w:trHeight w:hRule="exact" w:val="300"/>
        </w:trPr>
        <w:tc>
          <w:tcPr>
            <w:tcW w:w="3074" w:type="dxa"/>
          </w:tcPr>
          <w:p w:rsidR="006B0A70" w:rsidRPr="001F7F67" w:rsidRDefault="006B0A70" w:rsidP="00CD62E6">
            <w:pPr>
              <w:tabs>
                <w:tab w:val="left" w:pos="720"/>
                <w:tab w:val="center" w:pos="6930"/>
              </w:tabs>
              <w:rPr>
                <w:sz w:val="22"/>
              </w:rPr>
            </w:pPr>
            <w:r w:rsidRPr="001F7F67">
              <w:rPr>
                <w:sz w:val="22"/>
              </w:rPr>
              <w:t>Balance at 31 March</w:t>
            </w:r>
          </w:p>
        </w:tc>
        <w:tc>
          <w:tcPr>
            <w:tcW w:w="1134" w:type="dxa"/>
            <w:tcBorders>
              <w:top w:val="single" w:sz="4" w:space="0" w:color="auto"/>
              <w:bottom w:val="double" w:sz="4" w:space="0" w:color="auto"/>
            </w:tcBorders>
          </w:tcPr>
          <w:p w:rsidR="006B0A70" w:rsidRPr="00430B62" w:rsidRDefault="0075774F" w:rsidP="00665B11">
            <w:pPr>
              <w:tabs>
                <w:tab w:val="decimal" w:pos="696"/>
              </w:tabs>
              <w:rPr>
                <w:sz w:val="22"/>
              </w:rPr>
            </w:pPr>
            <w:r>
              <w:rPr>
                <w:sz w:val="22"/>
              </w:rPr>
              <w:t>(601)</w:t>
            </w:r>
          </w:p>
        </w:tc>
        <w:tc>
          <w:tcPr>
            <w:tcW w:w="1134" w:type="dxa"/>
            <w:tcBorders>
              <w:top w:val="single" w:sz="4" w:space="0" w:color="auto"/>
              <w:bottom w:val="double" w:sz="4" w:space="0" w:color="auto"/>
            </w:tcBorders>
          </w:tcPr>
          <w:p w:rsidR="006B0A70" w:rsidRPr="00430B62" w:rsidRDefault="006B0A70" w:rsidP="0096743B">
            <w:pPr>
              <w:tabs>
                <w:tab w:val="decimal" w:pos="696"/>
              </w:tabs>
              <w:rPr>
                <w:sz w:val="22"/>
              </w:rPr>
            </w:pPr>
            <w:r>
              <w:rPr>
                <w:sz w:val="22"/>
              </w:rPr>
              <w:t>(734)</w:t>
            </w:r>
          </w:p>
        </w:tc>
        <w:tc>
          <w:tcPr>
            <w:tcW w:w="1134" w:type="dxa"/>
            <w:tcBorders>
              <w:top w:val="single" w:sz="4" w:space="0" w:color="auto"/>
              <w:bottom w:val="double" w:sz="4" w:space="0" w:color="auto"/>
            </w:tcBorders>
          </w:tcPr>
          <w:p w:rsidR="006B0A70" w:rsidRPr="00430B62" w:rsidRDefault="0075774F" w:rsidP="00D71FAB">
            <w:pPr>
              <w:tabs>
                <w:tab w:val="decimal" w:pos="696"/>
              </w:tabs>
              <w:rPr>
                <w:sz w:val="22"/>
              </w:rPr>
            </w:pPr>
            <w:r>
              <w:rPr>
                <w:sz w:val="22"/>
              </w:rPr>
              <w:t>(103)</w:t>
            </w:r>
          </w:p>
        </w:tc>
        <w:tc>
          <w:tcPr>
            <w:tcW w:w="1134" w:type="dxa"/>
            <w:tcBorders>
              <w:top w:val="single" w:sz="4" w:space="0" w:color="auto"/>
              <w:bottom w:val="double" w:sz="4" w:space="0" w:color="auto"/>
            </w:tcBorders>
          </w:tcPr>
          <w:p w:rsidR="006B0A70" w:rsidRPr="00430B62" w:rsidRDefault="006B0A70" w:rsidP="0096743B">
            <w:pPr>
              <w:tabs>
                <w:tab w:val="decimal" w:pos="696"/>
              </w:tabs>
              <w:rPr>
                <w:sz w:val="22"/>
              </w:rPr>
            </w:pPr>
            <w:r>
              <w:rPr>
                <w:sz w:val="22"/>
              </w:rPr>
              <w:t>70</w:t>
            </w:r>
          </w:p>
        </w:tc>
        <w:tc>
          <w:tcPr>
            <w:tcW w:w="1134" w:type="dxa"/>
            <w:tcBorders>
              <w:top w:val="single" w:sz="4" w:space="0" w:color="auto"/>
              <w:bottom w:val="double" w:sz="4" w:space="0" w:color="auto"/>
            </w:tcBorders>
          </w:tcPr>
          <w:p w:rsidR="006B0A70" w:rsidRPr="00430B62" w:rsidRDefault="0075774F" w:rsidP="00430B62">
            <w:pPr>
              <w:tabs>
                <w:tab w:val="decimal" w:pos="696"/>
              </w:tabs>
              <w:rPr>
                <w:sz w:val="22"/>
              </w:rPr>
            </w:pPr>
            <w:r>
              <w:rPr>
                <w:sz w:val="22"/>
              </w:rPr>
              <w:t>(704)</w:t>
            </w:r>
          </w:p>
        </w:tc>
        <w:tc>
          <w:tcPr>
            <w:tcW w:w="1134" w:type="dxa"/>
            <w:tcBorders>
              <w:top w:val="single" w:sz="4" w:space="0" w:color="auto"/>
              <w:bottom w:val="double" w:sz="4" w:space="0" w:color="auto"/>
            </w:tcBorders>
          </w:tcPr>
          <w:p w:rsidR="006B0A70" w:rsidRPr="00430B62" w:rsidRDefault="006B0A70" w:rsidP="0096743B">
            <w:pPr>
              <w:tabs>
                <w:tab w:val="decimal" w:pos="696"/>
              </w:tabs>
              <w:rPr>
                <w:sz w:val="22"/>
              </w:rPr>
            </w:pPr>
            <w:r>
              <w:rPr>
                <w:sz w:val="22"/>
              </w:rPr>
              <w:t>(664)</w:t>
            </w:r>
          </w:p>
        </w:tc>
      </w:tr>
    </w:tbl>
    <w:p w:rsidR="00D90216" w:rsidRDefault="00D90216" w:rsidP="00D90216">
      <w:pPr>
        <w:pStyle w:val="BodyTextIndent"/>
        <w:ind w:left="709"/>
        <w:jc w:val="both"/>
        <w:rPr>
          <w:rFonts w:cs="Arial"/>
          <w:b/>
          <w:sz w:val="22"/>
          <w:szCs w:val="22"/>
        </w:rPr>
      </w:pPr>
    </w:p>
    <w:p w:rsidR="00D90216" w:rsidRPr="001F7F67" w:rsidRDefault="00350024" w:rsidP="00D90216">
      <w:pPr>
        <w:pStyle w:val="BodyTextIndent"/>
        <w:ind w:left="709"/>
        <w:jc w:val="both"/>
        <w:rPr>
          <w:rFonts w:cs="Arial"/>
          <w:b/>
          <w:sz w:val="22"/>
          <w:szCs w:val="22"/>
        </w:rPr>
      </w:pPr>
      <w:r>
        <w:rPr>
          <w:rFonts w:cs="Arial"/>
          <w:b/>
          <w:sz w:val="22"/>
          <w:szCs w:val="22"/>
        </w:rPr>
        <w:br w:type="page"/>
      </w:r>
      <w:r w:rsidR="00D90216">
        <w:rPr>
          <w:rFonts w:cs="Arial"/>
          <w:b/>
          <w:sz w:val="22"/>
          <w:szCs w:val="22"/>
        </w:rPr>
        <w:lastRenderedPageBreak/>
        <w:t>Accumulated Absences</w:t>
      </w:r>
      <w:r w:rsidR="00D90216" w:rsidRPr="001F7F67">
        <w:rPr>
          <w:rFonts w:cs="Arial"/>
          <w:b/>
          <w:sz w:val="22"/>
          <w:szCs w:val="22"/>
        </w:rPr>
        <w:t xml:space="preserve"> Adjustment Account</w:t>
      </w:r>
    </w:p>
    <w:p w:rsidR="00D90216" w:rsidRDefault="00D90216" w:rsidP="00D90216">
      <w:pPr>
        <w:pStyle w:val="BodyTextIndent"/>
        <w:ind w:left="709"/>
        <w:jc w:val="both"/>
        <w:rPr>
          <w:rFonts w:cs="Arial"/>
          <w:sz w:val="22"/>
          <w:szCs w:val="22"/>
        </w:rPr>
      </w:pPr>
    </w:p>
    <w:p w:rsidR="00D90216" w:rsidRDefault="00D90216" w:rsidP="00D90216">
      <w:pPr>
        <w:pStyle w:val="BodyTextIndent"/>
        <w:ind w:left="709"/>
        <w:jc w:val="both"/>
        <w:rPr>
          <w:rFonts w:cs="Arial"/>
          <w:sz w:val="22"/>
          <w:szCs w:val="22"/>
        </w:rPr>
      </w:pPr>
      <w:r>
        <w:rPr>
          <w:rFonts w:cs="Arial"/>
          <w:sz w:val="22"/>
          <w:szCs w:val="22"/>
        </w:rPr>
        <w:t>The Accumulated Absences Adjustment Account manages the differences arising from the recognition of accrued employee costs in the Comprehensive Income and Expenditure Statement compared with the statutory arrangements for paying across amounts to the General Fund.</w:t>
      </w:r>
    </w:p>
    <w:p w:rsidR="00D90216" w:rsidRPr="001F7F67" w:rsidRDefault="00D90216" w:rsidP="00D90216">
      <w:pPr>
        <w:pStyle w:val="BodyTextIndent"/>
        <w:ind w:left="709"/>
        <w:jc w:val="both"/>
        <w:rPr>
          <w:rFonts w:cs="Arial"/>
          <w:sz w:val="22"/>
          <w:szCs w:val="22"/>
        </w:rPr>
      </w:pPr>
    </w:p>
    <w:tbl>
      <w:tblPr>
        <w:tblW w:w="8626" w:type="dxa"/>
        <w:tblInd w:w="720" w:type="dxa"/>
        <w:tblLayout w:type="fixed"/>
        <w:tblLook w:val="0000" w:firstRow="0" w:lastRow="0" w:firstColumn="0" w:lastColumn="0" w:noHBand="0" w:noVBand="0"/>
      </w:tblPr>
      <w:tblGrid>
        <w:gridCol w:w="5909"/>
        <w:gridCol w:w="1371"/>
        <w:gridCol w:w="1346"/>
      </w:tblGrid>
      <w:tr w:rsidR="006B0A70" w:rsidRPr="00A60775" w:rsidTr="00EF30E5">
        <w:trPr>
          <w:trHeight w:hRule="exact" w:val="300"/>
        </w:trPr>
        <w:tc>
          <w:tcPr>
            <w:tcW w:w="5909" w:type="dxa"/>
          </w:tcPr>
          <w:p w:rsidR="006B0A70" w:rsidRPr="00A60775" w:rsidRDefault="006B0A70" w:rsidP="00CD62E6">
            <w:pPr>
              <w:tabs>
                <w:tab w:val="left" w:pos="720"/>
                <w:tab w:val="center" w:pos="6930"/>
              </w:tabs>
              <w:rPr>
                <w:sz w:val="22"/>
                <w:highlight w:val="cyan"/>
              </w:rPr>
            </w:pPr>
          </w:p>
        </w:tc>
        <w:tc>
          <w:tcPr>
            <w:tcW w:w="1371" w:type="dxa"/>
          </w:tcPr>
          <w:p w:rsidR="006B0A70" w:rsidRPr="001844B0" w:rsidRDefault="006B0A7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346" w:type="dxa"/>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D90216" w:rsidRPr="00A60775" w:rsidTr="00EF30E5">
        <w:trPr>
          <w:trHeight w:hRule="exact" w:val="300"/>
        </w:trPr>
        <w:tc>
          <w:tcPr>
            <w:tcW w:w="5909" w:type="dxa"/>
          </w:tcPr>
          <w:p w:rsidR="00D90216" w:rsidRPr="00A60775" w:rsidRDefault="00D90216" w:rsidP="00CD62E6">
            <w:pPr>
              <w:tabs>
                <w:tab w:val="left" w:pos="720"/>
                <w:tab w:val="center" w:pos="6930"/>
              </w:tabs>
              <w:spacing w:after="120"/>
              <w:rPr>
                <w:sz w:val="22"/>
                <w:highlight w:val="cyan"/>
              </w:rPr>
            </w:pPr>
          </w:p>
        </w:tc>
        <w:tc>
          <w:tcPr>
            <w:tcW w:w="1371" w:type="dxa"/>
          </w:tcPr>
          <w:p w:rsidR="00D90216" w:rsidRPr="003F77B0" w:rsidRDefault="00D90216" w:rsidP="00EF30E5">
            <w:pPr>
              <w:jc w:val="center"/>
              <w:rPr>
                <w:sz w:val="22"/>
              </w:rPr>
            </w:pPr>
            <w:r w:rsidRPr="003F77B0">
              <w:rPr>
                <w:sz w:val="22"/>
              </w:rPr>
              <w:t>£000</w:t>
            </w:r>
          </w:p>
        </w:tc>
        <w:tc>
          <w:tcPr>
            <w:tcW w:w="1346" w:type="dxa"/>
          </w:tcPr>
          <w:p w:rsidR="00D90216" w:rsidRPr="003F77B0" w:rsidRDefault="00D90216" w:rsidP="00EF30E5">
            <w:pPr>
              <w:jc w:val="center"/>
              <w:rPr>
                <w:sz w:val="22"/>
              </w:rPr>
            </w:pPr>
            <w:r w:rsidRPr="003F77B0">
              <w:rPr>
                <w:sz w:val="22"/>
              </w:rPr>
              <w:t>£000</w:t>
            </w:r>
          </w:p>
        </w:tc>
      </w:tr>
      <w:tr w:rsidR="006B0A70" w:rsidRPr="00A60775" w:rsidTr="00EF30E5">
        <w:trPr>
          <w:trHeight w:hRule="exact" w:val="300"/>
        </w:trPr>
        <w:tc>
          <w:tcPr>
            <w:tcW w:w="5909" w:type="dxa"/>
          </w:tcPr>
          <w:p w:rsidR="006B0A70" w:rsidRPr="001F7F67" w:rsidRDefault="006B0A70" w:rsidP="00CD62E6">
            <w:pPr>
              <w:tabs>
                <w:tab w:val="left" w:pos="720"/>
                <w:tab w:val="center" w:pos="6930"/>
              </w:tabs>
              <w:rPr>
                <w:sz w:val="22"/>
              </w:rPr>
            </w:pPr>
            <w:r w:rsidRPr="001F7F67">
              <w:rPr>
                <w:sz w:val="22"/>
              </w:rPr>
              <w:t>Balance at 1 April</w:t>
            </w:r>
          </w:p>
        </w:tc>
        <w:tc>
          <w:tcPr>
            <w:tcW w:w="1371" w:type="dxa"/>
          </w:tcPr>
          <w:p w:rsidR="006B0A70" w:rsidRPr="003F77B0" w:rsidRDefault="006B0A70" w:rsidP="00EF30E5">
            <w:pPr>
              <w:tabs>
                <w:tab w:val="decimal" w:pos="837"/>
              </w:tabs>
              <w:rPr>
                <w:sz w:val="22"/>
              </w:rPr>
            </w:pPr>
            <w:r>
              <w:rPr>
                <w:sz w:val="22"/>
              </w:rPr>
              <w:t>804</w:t>
            </w:r>
          </w:p>
        </w:tc>
        <w:tc>
          <w:tcPr>
            <w:tcW w:w="1346" w:type="dxa"/>
          </w:tcPr>
          <w:p w:rsidR="006B0A70" w:rsidRPr="003F77B0" w:rsidRDefault="006B0A70" w:rsidP="0096743B">
            <w:pPr>
              <w:tabs>
                <w:tab w:val="decimal" w:pos="837"/>
              </w:tabs>
              <w:rPr>
                <w:sz w:val="22"/>
              </w:rPr>
            </w:pPr>
            <w:r>
              <w:rPr>
                <w:sz w:val="22"/>
              </w:rPr>
              <w:t>761</w:t>
            </w:r>
          </w:p>
        </w:tc>
      </w:tr>
      <w:tr w:rsidR="006B0A70" w:rsidRPr="00A60775" w:rsidTr="00EF30E5">
        <w:trPr>
          <w:trHeight w:hRule="exact" w:val="810"/>
        </w:trPr>
        <w:tc>
          <w:tcPr>
            <w:tcW w:w="5909" w:type="dxa"/>
          </w:tcPr>
          <w:p w:rsidR="006B0A70" w:rsidRPr="00A60775" w:rsidRDefault="006B0A70" w:rsidP="00CD62E6">
            <w:pPr>
              <w:tabs>
                <w:tab w:val="left" w:pos="720"/>
                <w:tab w:val="center" w:pos="6930"/>
              </w:tabs>
              <w:rPr>
                <w:sz w:val="22"/>
                <w:highlight w:val="cyan"/>
              </w:rPr>
            </w:pPr>
            <w:r w:rsidRPr="002064FD">
              <w:rPr>
                <w:sz w:val="22"/>
              </w:rPr>
              <w:t>Amount by which remuneration charged on an accruals basis is different from remuneration chargeable in the year in accordance with statutory requirements</w:t>
            </w:r>
          </w:p>
        </w:tc>
        <w:tc>
          <w:tcPr>
            <w:tcW w:w="1371" w:type="dxa"/>
          </w:tcPr>
          <w:p w:rsidR="006B0A70" w:rsidRDefault="006B0A70" w:rsidP="00125137">
            <w:pPr>
              <w:tabs>
                <w:tab w:val="decimal" w:pos="837"/>
              </w:tabs>
              <w:rPr>
                <w:sz w:val="22"/>
              </w:rPr>
            </w:pPr>
          </w:p>
          <w:p w:rsidR="00FD0B0E" w:rsidRDefault="00FD0B0E" w:rsidP="00125137">
            <w:pPr>
              <w:tabs>
                <w:tab w:val="decimal" w:pos="837"/>
              </w:tabs>
              <w:rPr>
                <w:sz w:val="22"/>
              </w:rPr>
            </w:pPr>
          </w:p>
          <w:p w:rsidR="00FD0B0E" w:rsidRPr="003F77B0" w:rsidRDefault="00FD0B0E" w:rsidP="00125137">
            <w:pPr>
              <w:tabs>
                <w:tab w:val="decimal" w:pos="837"/>
              </w:tabs>
              <w:rPr>
                <w:sz w:val="22"/>
              </w:rPr>
            </w:pPr>
            <w:r>
              <w:rPr>
                <w:sz w:val="22"/>
              </w:rPr>
              <w:t>9</w:t>
            </w:r>
          </w:p>
        </w:tc>
        <w:tc>
          <w:tcPr>
            <w:tcW w:w="1346" w:type="dxa"/>
          </w:tcPr>
          <w:p w:rsidR="006B0A70" w:rsidRDefault="006B0A70" w:rsidP="0096743B">
            <w:pPr>
              <w:tabs>
                <w:tab w:val="decimal" w:pos="837"/>
              </w:tabs>
              <w:rPr>
                <w:sz w:val="22"/>
              </w:rPr>
            </w:pPr>
          </w:p>
          <w:p w:rsidR="006B0A70" w:rsidRDefault="006B0A70" w:rsidP="0096743B">
            <w:pPr>
              <w:tabs>
                <w:tab w:val="decimal" w:pos="837"/>
              </w:tabs>
              <w:rPr>
                <w:sz w:val="22"/>
              </w:rPr>
            </w:pPr>
          </w:p>
          <w:p w:rsidR="006B0A70" w:rsidRPr="003F77B0" w:rsidRDefault="006B0A70" w:rsidP="0096743B">
            <w:pPr>
              <w:tabs>
                <w:tab w:val="decimal" w:pos="837"/>
              </w:tabs>
              <w:rPr>
                <w:sz w:val="22"/>
              </w:rPr>
            </w:pPr>
            <w:r>
              <w:rPr>
                <w:sz w:val="22"/>
              </w:rPr>
              <w:t>43</w:t>
            </w:r>
          </w:p>
        </w:tc>
      </w:tr>
      <w:tr w:rsidR="006B0A70" w:rsidRPr="00A60775" w:rsidTr="00EF30E5">
        <w:trPr>
          <w:trHeight w:hRule="exact" w:val="300"/>
        </w:trPr>
        <w:tc>
          <w:tcPr>
            <w:tcW w:w="5909" w:type="dxa"/>
          </w:tcPr>
          <w:p w:rsidR="006B0A70" w:rsidRPr="00A60775" w:rsidRDefault="006B0A70" w:rsidP="00CD62E6">
            <w:pPr>
              <w:tabs>
                <w:tab w:val="left" w:pos="720"/>
                <w:tab w:val="center" w:pos="6930"/>
              </w:tabs>
              <w:rPr>
                <w:sz w:val="22"/>
                <w:highlight w:val="cyan"/>
              </w:rPr>
            </w:pPr>
          </w:p>
        </w:tc>
        <w:tc>
          <w:tcPr>
            <w:tcW w:w="1371" w:type="dxa"/>
            <w:tcBorders>
              <w:bottom w:val="single" w:sz="4" w:space="0" w:color="auto"/>
            </w:tcBorders>
          </w:tcPr>
          <w:p w:rsidR="006B0A70" w:rsidRPr="003F77B0" w:rsidRDefault="006B0A70" w:rsidP="00EF30E5">
            <w:pPr>
              <w:tabs>
                <w:tab w:val="decimal" w:pos="837"/>
              </w:tabs>
              <w:rPr>
                <w:sz w:val="22"/>
              </w:rPr>
            </w:pPr>
          </w:p>
        </w:tc>
        <w:tc>
          <w:tcPr>
            <w:tcW w:w="1346" w:type="dxa"/>
            <w:tcBorders>
              <w:bottom w:val="single" w:sz="4" w:space="0" w:color="auto"/>
            </w:tcBorders>
          </w:tcPr>
          <w:p w:rsidR="006B0A70" w:rsidRPr="003F77B0" w:rsidRDefault="006B0A70" w:rsidP="0096743B">
            <w:pPr>
              <w:tabs>
                <w:tab w:val="decimal" w:pos="837"/>
              </w:tabs>
              <w:rPr>
                <w:sz w:val="22"/>
              </w:rPr>
            </w:pPr>
          </w:p>
        </w:tc>
      </w:tr>
      <w:tr w:rsidR="006B0A70" w:rsidRPr="00A60775" w:rsidTr="00EF30E5">
        <w:trPr>
          <w:trHeight w:hRule="exact" w:val="300"/>
        </w:trPr>
        <w:tc>
          <w:tcPr>
            <w:tcW w:w="5909" w:type="dxa"/>
          </w:tcPr>
          <w:p w:rsidR="006B0A70" w:rsidRPr="001F7F67" w:rsidRDefault="006B0A70" w:rsidP="00CD62E6">
            <w:pPr>
              <w:tabs>
                <w:tab w:val="left" w:pos="720"/>
                <w:tab w:val="center" w:pos="6930"/>
              </w:tabs>
              <w:rPr>
                <w:sz w:val="22"/>
              </w:rPr>
            </w:pPr>
            <w:r w:rsidRPr="001F7F67">
              <w:rPr>
                <w:sz w:val="22"/>
              </w:rPr>
              <w:t>Balance at 31 March</w:t>
            </w:r>
          </w:p>
        </w:tc>
        <w:tc>
          <w:tcPr>
            <w:tcW w:w="1371" w:type="dxa"/>
            <w:tcBorders>
              <w:top w:val="single" w:sz="4" w:space="0" w:color="auto"/>
              <w:bottom w:val="double" w:sz="4" w:space="0" w:color="auto"/>
            </w:tcBorders>
          </w:tcPr>
          <w:p w:rsidR="006B0A70" w:rsidRPr="003F77B0" w:rsidRDefault="00FD0B0E" w:rsidP="00EF30E5">
            <w:pPr>
              <w:tabs>
                <w:tab w:val="decimal" w:pos="837"/>
              </w:tabs>
              <w:rPr>
                <w:sz w:val="22"/>
              </w:rPr>
            </w:pPr>
            <w:r>
              <w:rPr>
                <w:sz w:val="22"/>
              </w:rPr>
              <w:t>813</w:t>
            </w:r>
          </w:p>
        </w:tc>
        <w:tc>
          <w:tcPr>
            <w:tcW w:w="1346" w:type="dxa"/>
            <w:tcBorders>
              <w:top w:val="single" w:sz="4" w:space="0" w:color="auto"/>
              <w:bottom w:val="double" w:sz="4" w:space="0" w:color="auto"/>
            </w:tcBorders>
          </w:tcPr>
          <w:p w:rsidR="006B0A70" w:rsidRPr="003F77B0" w:rsidRDefault="006B0A70" w:rsidP="0096743B">
            <w:pPr>
              <w:tabs>
                <w:tab w:val="decimal" w:pos="837"/>
              </w:tabs>
              <w:rPr>
                <w:sz w:val="22"/>
              </w:rPr>
            </w:pPr>
            <w:r>
              <w:rPr>
                <w:sz w:val="22"/>
              </w:rPr>
              <w:t>804</w:t>
            </w:r>
          </w:p>
        </w:tc>
      </w:tr>
    </w:tbl>
    <w:p w:rsidR="00D90216" w:rsidRDefault="00D90216" w:rsidP="00D90216">
      <w:pPr>
        <w:rPr>
          <w:b/>
          <w:sz w:val="22"/>
        </w:rPr>
      </w:pPr>
    </w:p>
    <w:p w:rsidR="00D90216" w:rsidRPr="008F66F8" w:rsidRDefault="006B0A70" w:rsidP="00D90216">
      <w:pPr>
        <w:rPr>
          <w:sz w:val="22"/>
        </w:rPr>
      </w:pPr>
      <w:r>
        <w:rPr>
          <w:b/>
          <w:sz w:val="22"/>
        </w:rPr>
        <w:t>19</w:t>
      </w:r>
      <w:r w:rsidR="00D90216" w:rsidRPr="003B5992">
        <w:rPr>
          <w:b/>
          <w:sz w:val="22"/>
        </w:rPr>
        <w:tab/>
      </w:r>
      <w:r w:rsidR="00D90216" w:rsidRPr="008F66F8">
        <w:rPr>
          <w:b/>
          <w:sz w:val="22"/>
        </w:rPr>
        <w:t>Contingent Liability</w:t>
      </w:r>
    </w:p>
    <w:p w:rsidR="00D90216" w:rsidRDefault="00D90216" w:rsidP="00D90216">
      <w:pPr>
        <w:ind w:left="720"/>
        <w:jc w:val="both"/>
        <w:rPr>
          <w:sz w:val="22"/>
        </w:rPr>
      </w:pPr>
    </w:p>
    <w:p w:rsidR="00920AED" w:rsidRPr="00EE5090" w:rsidRDefault="00920AED" w:rsidP="00920AED">
      <w:pPr>
        <w:ind w:left="720"/>
        <w:jc w:val="both"/>
        <w:rPr>
          <w:b/>
          <w:u w:val="single"/>
        </w:rPr>
      </w:pPr>
      <w:r w:rsidRPr="00EE5090">
        <w:rPr>
          <w:sz w:val="22"/>
          <w:u w:val="single"/>
        </w:rPr>
        <w:t>Municipal</w:t>
      </w:r>
      <w:r w:rsidRPr="00EE5090">
        <w:rPr>
          <w:b/>
          <w:u w:val="single"/>
        </w:rPr>
        <w:t xml:space="preserve"> </w:t>
      </w:r>
      <w:r w:rsidRPr="00EE5090">
        <w:rPr>
          <w:sz w:val="22"/>
          <w:szCs w:val="22"/>
          <w:u w:val="single"/>
        </w:rPr>
        <w:t>Mutual Insurance</w:t>
      </w:r>
      <w:r w:rsidR="00D87194">
        <w:rPr>
          <w:sz w:val="22"/>
          <w:szCs w:val="22"/>
          <w:u w:val="single"/>
        </w:rPr>
        <w:t xml:space="preserve"> Limited</w:t>
      </w:r>
    </w:p>
    <w:p w:rsidR="00B55C99" w:rsidRPr="00EE5090" w:rsidRDefault="005B1736" w:rsidP="005B1736">
      <w:pPr>
        <w:ind w:left="720"/>
        <w:jc w:val="both"/>
        <w:rPr>
          <w:rFonts w:cs="Arial"/>
          <w:color w:val="000000"/>
          <w:sz w:val="22"/>
          <w:szCs w:val="22"/>
        </w:rPr>
      </w:pPr>
      <w:r w:rsidRPr="00EE5090">
        <w:rPr>
          <w:rFonts w:cs="Arial"/>
          <w:color w:val="000000"/>
          <w:sz w:val="22"/>
          <w:szCs w:val="22"/>
        </w:rPr>
        <w:t xml:space="preserve">Municipal Mutual Insurance </w:t>
      </w:r>
      <w:r w:rsidR="00D87194">
        <w:rPr>
          <w:rFonts w:cs="Arial"/>
          <w:color w:val="000000"/>
          <w:sz w:val="22"/>
          <w:szCs w:val="22"/>
        </w:rPr>
        <w:t xml:space="preserve">Limited (MMI) </w:t>
      </w:r>
      <w:r w:rsidRPr="00EE5090">
        <w:rPr>
          <w:rFonts w:cs="Arial"/>
          <w:color w:val="000000"/>
          <w:sz w:val="22"/>
          <w:szCs w:val="22"/>
        </w:rPr>
        <w:t xml:space="preserve">provided insurance to Lancashire County Council until the company ceased to underwrite in 1992. A scheme of arrangement was entered into by MMI with its creditors under the terms of which claims relating to the period of insurance continue to be paid out but, if a trigger point is reached where </w:t>
      </w:r>
      <w:r w:rsidRPr="00EE5090">
        <w:rPr>
          <w:sz w:val="22"/>
          <w:szCs w:val="22"/>
        </w:rPr>
        <w:t>MMI</w:t>
      </w:r>
      <w:r w:rsidRPr="00EE5090">
        <w:rPr>
          <w:rFonts w:cs="Arial"/>
          <w:color w:val="000000"/>
          <w:sz w:val="22"/>
          <w:szCs w:val="22"/>
        </w:rPr>
        <w:t xml:space="preserve"> has insufficient assets to pay remaining claims, a clawback of a proportion of claims paid since 30 September 1993 could occur to cover the outstanding claims.  During the period in question, fire and rescue services were provided as part of Lancashire County Council, prior to the creation of Lancashire Combined Fire Authority as an independent body from 1 April 1998. </w:t>
      </w:r>
    </w:p>
    <w:p w:rsidR="00B55C99" w:rsidRPr="00EE5090" w:rsidRDefault="00B55C99" w:rsidP="005B1736">
      <w:pPr>
        <w:ind w:left="720"/>
        <w:jc w:val="both"/>
        <w:rPr>
          <w:rFonts w:cs="Arial"/>
          <w:color w:val="000000"/>
          <w:sz w:val="22"/>
          <w:szCs w:val="22"/>
        </w:rPr>
      </w:pPr>
    </w:p>
    <w:p w:rsidR="00B55C99" w:rsidRPr="00EE5090" w:rsidRDefault="00B55C99" w:rsidP="005B1736">
      <w:pPr>
        <w:ind w:left="720"/>
        <w:jc w:val="both"/>
        <w:rPr>
          <w:rFonts w:cs="Arial"/>
          <w:color w:val="000000"/>
          <w:sz w:val="22"/>
          <w:szCs w:val="22"/>
        </w:rPr>
      </w:pPr>
      <w:r w:rsidRPr="00EE5090">
        <w:rPr>
          <w:rFonts w:cs="Arial"/>
          <w:color w:val="000000"/>
          <w:sz w:val="22"/>
          <w:szCs w:val="22"/>
        </w:rPr>
        <w:t>The position of the company has been reviewed on an ongoing basis to ascertain the likelihood of the trigger point being reached. Up until the Annual Reports &amp; Accounts of the Company for the year ended 30 June 2011, the Directors of MMI were hopeful of achieving a solvent run-off of the Company with all claims costs (past or future) being met in full by MMI providing they received a successful Supreme Court judgement in early 2012. However, following the loss of the appeal in the Supreme Court, a solvent run-off became no longer likely, and the scheme of arrangement was triggered by the Directors on 13 November 2012.</w:t>
      </w:r>
    </w:p>
    <w:p w:rsidR="00B55C99" w:rsidRPr="00EE5090" w:rsidRDefault="00B55C99" w:rsidP="005B1736">
      <w:pPr>
        <w:ind w:left="720"/>
        <w:jc w:val="both"/>
        <w:rPr>
          <w:rFonts w:cs="Arial"/>
          <w:color w:val="000000"/>
          <w:sz w:val="22"/>
          <w:szCs w:val="22"/>
        </w:rPr>
      </w:pPr>
    </w:p>
    <w:p w:rsidR="005B1736" w:rsidRPr="00EE5090" w:rsidRDefault="005B1736" w:rsidP="005B1736">
      <w:pPr>
        <w:ind w:left="720"/>
        <w:jc w:val="both"/>
        <w:rPr>
          <w:rFonts w:cs="Arial"/>
          <w:color w:val="000000"/>
          <w:sz w:val="22"/>
          <w:szCs w:val="22"/>
        </w:rPr>
      </w:pPr>
      <w:r w:rsidRPr="00875AD5">
        <w:rPr>
          <w:rFonts w:cs="Arial"/>
          <w:color w:val="000000"/>
          <w:sz w:val="22"/>
          <w:szCs w:val="22"/>
        </w:rPr>
        <w:t>However</w:t>
      </w:r>
      <w:r w:rsidR="00B55C99" w:rsidRPr="00875AD5">
        <w:rPr>
          <w:rFonts w:cs="Arial"/>
          <w:color w:val="000000"/>
          <w:sz w:val="22"/>
          <w:szCs w:val="22"/>
        </w:rPr>
        <w:t>,</w:t>
      </w:r>
      <w:r w:rsidRPr="00875AD5">
        <w:rPr>
          <w:rFonts w:cs="Arial"/>
          <w:color w:val="000000"/>
          <w:sz w:val="22"/>
          <w:szCs w:val="22"/>
        </w:rPr>
        <w:t xml:space="preserve"> it is currently unclear whether Lancashire Combined Fire Authority accepted liability for any future </w:t>
      </w:r>
      <w:proofErr w:type="gramStart"/>
      <w:r w:rsidRPr="00875AD5">
        <w:rPr>
          <w:rFonts w:cs="Arial"/>
          <w:color w:val="000000"/>
          <w:sz w:val="22"/>
          <w:szCs w:val="22"/>
        </w:rPr>
        <w:t>costs associated</w:t>
      </w:r>
      <w:proofErr w:type="gramEnd"/>
      <w:r w:rsidRPr="00875AD5">
        <w:rPr>
          <w:rFonts w:cs="Arial"/>
          <w:color w:val="000000"/>
          <w:sz w:val="22"/>
          <w:szCs w:val="22"/>
        </w:rPr>
        <w:t xml:space="preserve"> with insurance claims on disaggregation, and hence would potentially be lia</w:t>
      </w:r>
      <w:r w:rsidR="00B55C99" w:rsidRPr="00875AD5">
        <w:rPr>
          <w:rFonts w:cs="Arial"/>
          <w:color w:val="000000"/>
          <w:sz w:val="22"/>
          <w:szCs w:val="22"/>
        </w:rPr>
        <w:t xml:space="preserve">ble for a share of the </w:t>
      </w:r>
      <w:r w:rsidR="000211AD" w:rsidRPr="00875AD5">
        <w:rPr>
          <w:rFonts w:cs="Arial"/>
          <w:color w:val="000000"/>
          <w:sz w:val="22"/>
          <w:szCs w:val="22"/>
        </w:rPr>
        <w:t xml:space="preserve">clawback, nor </w:t>
      </w:r>
      <w:r w:rsidR="00B55C99" w:rsidRPr="00875AD5">
        <w:rPr>
          <w:rFonts w:cs="Arial"/>
          <w:color w:val="000000"/>
          <w:sz w:val="22"/>
          <w:szCs w:val="22"/>
        </w:rPr>
        <w:t xml:space="preserve">is </w:t>
      </w:r>
      <w:r w:rsidR="000211AD" w:rsidRPr="00875AD5">
        <w:rPr>
          <w:rFonts w:cs="Arial"/>
          <w:color w:val="000000"/>
          <w:sz w:val="22"/>
          <w:szCs w:val="22"/>
        </w:rPr>
        <w:t xml:space="preserve">it </w:t>
      </w:r>
      <w:r w:rsidR="00B55C99" w:rsidRPr="00875AD5">
        <w:rPr>
          <w:rFonts w:cs="Arial"/>
          <w:color w:val="000000"/>
          <w:sz w:val="22"/>
          <w:szCs w:val="22"/>
        </w:rPr>
        <w:t>possible to estimate the amount of this contingent liability, therefore nothing has been included in the accounts.</w:t>
      </w:r>
    </w:p>
    <w:p w:rsidR="00202CB0" w:rsidRPr="009B6E08" w:rsidRDefault="00202CB0" w:rsidP="005B1736">
      <w:pPr>
        <w:ind w:left="720"/>
        <w:jc w:val="both"/>
        <w:rPr>
          <w:rFonts w:cs="Arial"/>
          <w:color w:val="000000"/>
          <w:sz w:val="22"/>
          <w:szCs w:val="22"/>
          <w:highlight w:val="yellow"/>
        </w:rPr>
      </w:pPr>
    </w:p>
    <w:p w:rsidR="00202CB0" w:rsidRPr="0068683F" w:rsidRDefault="00202CB0" w:rsidP="00202CB0">
      <w:pPr>
        <w:ind w:left="720"/>
        <w:jc w:val="both"/>
        <w:rPr>
          <w:rFonts w:cs="Arial"/>
          <w:color w:val="000000"/>
          <w:sz w:val="22"/>
          <w:szCs w:val="22"/>
          <w:u w:val="single"/>
        </w:rPr>
      </w:pPr>
      <w:r w:rsidRPr="0068683F">
        <w:rPr>
          <w:rFonts w:cs="Arial"/>
          <w:color w:val="000000"/>
          <w:sz w:val="22"/>
          <w:szCs w:val="22"/>
          <w:u w:val="single"/>
        </w:rPr>
        <w:t>No</w:t>
      </w:r>
      <w:r w:rsidR="0012759E" w:rsidRPr="0068683F">
        <w:rPr>
          <w:rFonts w:cs="Arial"/>
          <w:color w:val="000000"/>
          <w:sz w:val="22"/>
          <w:szCs w:val="22"/>
          <w:u w:val="single"/>
        </w:rPr>
        <w:t>r</w:t>
      </w:r>
      <w:r w:rsidRPr="0068683F">
        <w:rPr>
          <w:rFonts w:cs="Arial"/>
          <w:color w:val="000000"/>
          <w:sz w:val="22"/>
          <w:szCs w:val="22"/>
          <w:u w:val="single"/>
        </w:rPr>
        <w:t>man v Cheshire Fire &amp; Rescue Service</w:t>
      </w:r>
    </w:p>
    <w:p w:rsidR="0068683F" w:rsidRPr="0068683F" w:rsidRDefault="0068683F" w:rsidP="0068683F">
      <w:pPr>
        <w:ind w:left="720"/>
        <w:jc w:val="both"/>
        <w:rPr>
          <w:rFonts w:cs="Arial"/>
          <w:color w:val="000000"/>
          <w:sz w:val="22"/>
          <w:szCs w:val="22"/>
        </w:rPr>
      </w:pPr>
      <w:r w:rsidRPr="0068683F">
        <w:rPr>
          <w:rFonts w:cs="Arial"/>
          <w:color w:val="000000"/>
          <w:sz w:val="22"/>
          <w:szCs w:val="22"/>
        </w:rPr>
        <w:t xml:space="preserve">As a result of the “Norman vs Cheshire” case there is a possibility that some allowances paid to staff working certain duty systems maybe pensionable. It is not yet clear if this ruling </w:t>
      </w:r>
      <w:proofErr w:type="gramStart"/>
      <w:r w:rsidRPr="0068683F">
        <w:rPr>
          <w:rFonts w:cs="Arial"/>
          <w:color w:val="000000"/>
          <w:sz w:val="22"/>
          <w:szCs w:val="22"/>
        </w:rPr>
        <w:t>applies</w:t>
      </w:r>
      <w:proofErr w:type="gramEnd"/>
      <w:r w:rsidRPr="0068683F">
        <w:rPr>
          <w:rFonts w:cs="Arial"/>
          <w:color w:val="000000"/>
          <w:sz w:val="22"/>
          <w:szCs w:val="22"/>
        </w:rPr>
        <w:t xml:space="preserve"> to our staff, nor how the calculation would be made, however there is a potential cost which may arise in the future if it is found that this ruling does apply. No allowance has been made in the accounts for this potential cost. The service is attempting to resolve this issue via the collective bargaining arrangements, but this has not yet been concluded. </w:t>
      </w:r>
    </w:p>
    <w:p w:rsidR="00430DBB" w:rsidRPr="009B6E08" w:rsidRDefault="00430DBB" w:rsidP="00973B02">
      <w:pPr>
        <w:tabs>
          <w:tab w:val="num" w:pos="1080"/>
        </w:tabs>
        <w:jc w:val="both"/>
        <w:rPr>
          <w:rFonts w:eastAsiaTheme="minorHAnsi" w:cs="Arial"/>
          <w:sz w:val="22"/>
          <w:szCs w:val="22"/>
          <w:highlight w:val="yellow"/>
        </w:rPr>
      </w:pPr>
    </w:p>
    <w:p w:rsidR="009B6E08" w:rsidRPr="0068683F" w:rsidRDefault="009B6E08" w:rsidP="009B6E08">
      <w:pPr>
        <w:tabs>
          <w:tab w:val="num" w:pos="1080"/>
        </w:tabs>
        <w:ind w:left="720"/>
        <w:jc w:val="both"/>
        <w:rPr>
          <w:rFonts w:eastAsiaTheme="minorHAnsi" w:cs="Arial"/>
          <w:sz w:val="22"/>
          <w:szCs w:val="22"/>
          <w:u w:val="single"/>
        </w:rPr>
      </w:pPr>
      <w:r w:rsidRPr="0068683F">
        <w:rPr>
          <w:rFonts w:eastAsiaTheme="minorHAnsi" w:cs="Arial"/>
          <w:sz w:val="22"/>
          <w:szCs w:val="22"/>
          <w:u w:val="single"/>
        </w:rPr>
        <w:t>Firefighters Pension Scheme Transitional protection arrangements</w:t>
      </w:r>
    </w:p>
    <w:p w:rsidR="00DD01FE" w:rsidRDefault="0068683F" w:rsidP="00DD01FE">
      <w:pPr>
        <w:ind w:left="720"/>
        <w:jc w:val="both"/>
        <w:rPr>
          <w:rFonts w:cs="Arial"/>
          <w:color w:val="000000"/>
          <w:sz w:val="22"/>
          <w:szCs w:val="22"/>
        </w:rPr>
      </w:pPr>
      <w:r w:rsidRPr="0068683F">
        <w:rPr>
          <w:rFonts w:cs="Arial"/>
          <w:color w:val="000000"/>
          <w:sz w:val="22"/>
          <w:szCs w:val="22"/>
        </w:rPr>
        <w:t>In July 2015, the Fire Brigades Union (FBU) launched a collective legal challenge against the Government over the transitional protections under the new pension arrangements, which came into force on 1st April 2015. Their claim relates to alleged age, sex and race discrimination and possible equal pay complaints.  This challenge was partly upheld at the Employment Appeal Tribunal, but this determination has been appealed by both parties. There is presently no indication of the final determination. The Firefighters Pension Scheme would meet any additional costs, rather than them being an additional cost to the Authority.</w:t>
      </w:r>
    </w:p>
    <w:p w:rsidR="00323206" w:rsidRDefault="00323206" w:rsidP="00DD01FE">
      <w:pPr>
        <w:ind w:left="720"/>
        <w:jc w:val="both"/>
        <w:rPr>
          <w:b/>
          <w:sz w:val="22"/>
        </w:rPr>
      </w:pPr>
    </w:p>
    <w:p w:rsidR="00D90216" w:rsidRPr="00CE4D3E" w:rsidRDefault="00D90216" w:rsidP="00D90216">
      <w:pPr>
        <w:rPr>
          <w:sz w:val="22"/>
        </w:rPr>
      </w:pPr>
      <w:r w:rsidRPr="003B5992">
        <w:rPr>
          <w:b/>
          <w:sz w:val="22"/>
        </w:rPr>
        <w:t>2</w:t>
      </w:r>
      <w:r w:rsidR="006B0A70">
        <w:rPr>
          <w:b/>
          <w:sz w:val="22"/>
        </w:rPr>
        <w:t>0</w:t>
      </w:r>
      <w:r w:rsidRPr="003B5992">
        <w:rPr>
          <w:b/>
          <w:sz w:val="22"/>
        </w:rPr>
        <w:tab/>
      </w:r>
      <w:r w:rsidRPr="00CE4D3E">
        <w:rPr>
          <w:b/>
          <w:sz w:val="22"/>
        </w:rPr>
        <w:t>Post Balance Sheet Events</w:t>
      </w:r>
    </w:p>
    <w:p w:rsidR="00D90216" w:rsidRPr="00CE4D3E" w:rsidRDefault="00D90216" w:rsidP="00D90216">
      <w:pPr>
        <w:rPr>
          <w:sz w:val="22"/>
        </w:rPr>
      </w:pPr>
    </w:p>
    <w:p w:rsidR="00D90216" w:rsidRPr="00CE4D3E" w:rsidRDefault="00051B22" w:rsidP="00D90216">
      <w:pPr>
        <w:tabs>
          <w:tab w:val="num" w:pos="1080"/>
        </w:tabs>
        <w:ind w:left="720"/>
        <w:jc w:val="both"/>
        <w:rPr>
          <w:sz w:val="22"/>
          <w:lang w:val="en-US"/>
        </w:rPr>
      </w:pPr>
      <w:r>
        <w:rPr>
          <w:sz w:val="22"/>
          <w:lang w:val="en-US"/>
        </w:rPr>
        <w:t xml:space="preserve">As at the date the Treasurer signed the accounts, </w:t>
      </w:r>
      <w:r w:rsidR="006B0A70" w:rsidRPr="00263999">
        <w:rPr>
          <w:sz w:val="22"/>
          <w:lang w:val="en-US"/>
        </w:rPr>
        <w:t>31 May 2018</w:t>
      </w:r>
      <w:r w:rsidRPr="00263999">
        <w:rPr>
          <w:sz w:val="22"/>
          <w:lang w:val="en-US"/>
        </w:rPr>
        <w:t>, there were no post balance sheet events to report.</w:t>
      </w:r>
    </w:p>
    <w:p w:rsidR="00202CB0" w:rsidRDefault="00202CB0" w:rsidP="00D90216">
      <w:pPr>
        <w:rPr>
          <w:b/>
          <w:sz w:val="22"/>
        </w:rPr>
      </w:pPr>
    </w:p>
    <w:p w:rsidR="00D90216" w:rsidRPr="003B5992" w:rsidRDefault="00D90216" w:rsidP="00D90216">
      <w:pPr>
        <w:rPr>
          <w:b/>
          <w:sz w:val="22"/>
        </w:rPr>
      </w:pPr>
      <w:r w:rsidRPr="003B5992">
        <w:rPr>
          <w:b/>
          <w:sz w:val="22"/>
        </w:rPr>
        <w:t>2</w:t>
      </w:r>
      <w:r w:rsidR="006B0A70">
        <w:rPr>
          <w:b/>
          <w:sz w:val="22"/>
        </w:rPr>
        <w:t>1</w:t>
      </w:r>
      <w:r w:rsidRPr="003B5992">
        <w:rPr>
          <w:b/>
          <w:sz w:val="22"/>
        </w:rPr>
        <w:tab/>
        <w:t>Nature and Extent of Risks Arising from Financial Instruments</w:t>
      </w:r>
    </w:p>
    <w:p w:rsidR="00D90216" w:rsidRPr="003B5992" w:rsidRDefault="00D90216" w:rsidP="00D90216">
      <w:pPr>
        <w:ind w:left="709"/>
        <w:jc w:val="both"/>
        <w:rPr>
          <w:sz w:val="22"/>
        </w:rPr>
      </w:pPr>
    </w:p>
    <w:p w:rsidR="00D90216" w:rsidRDefault="00D90216" w:rsidP="00D90216">
      <w:pPr>
        <w:ind w:left="709"/>
        <w:jc w:val="both"/>
        <w:rPr>
          <w:sz w:val="22"/>
        </w:rPr>
      </w:pPr>
      <w:r>
        <w:rPr>
          <w:sz w:val="22"/>
        </w:rPr>
        <w:t>The Authority’s activities expose it to a variety of financial risks:</w:t>
      </w:r>
    </w:p>
    <w:p w:rsidR="00D90216" w:rsidRDefault="00D90216" w:rsidP="00D90216">
      <w:pPr>
        <w:ind w:left="709"/>
        <w:jc w:val="both"/>
        <w:rPr>
          <w:sz w:val="22"/>
        </w:rPr>
      </w:pPr>
    </w:p>
    <w:p w:rsidR="00D90216" w:rsidRDefault="00D90216" w:rsidP="00882E25">
      <w:pPr>
        <w:numPr>
          <w:ilvl w:val="0"/>
          <w:numId w:val="19"/>
        </w:numPr>
        <w:jc w:val="both"/>
        <w:rPr>
          <w:sz w:val="22"/>
        </w:rPr>
      </w:pPr>
      <w:r>
        <w:rPr>
          <w:sz w:val="22"/>
        </w:rPr>
        <w:t>Credit risk – the possibility that other parties might fail to pay amounts due to the Authority</w:t>
      </w:r>
    </w:p>
    <w:p w:rsidR="00D90216" w:rsidRDefault="00D90216" w:rsidP="00882E25">
      <w:pPr>
        <w:numPr>
          <w:ilvl w:val="0"/>
          <w:numId w:val="19"/>
        </w:numPr>
        <w:jc w:val="both"/>
        <w:rPr>
          <w:sz w:val="22"/>
        </w:rPr>
      </w:pPr>
      <w:r>
        <w:rPr>
          <w:sz w:val="22"/>
        </w:rPr>
        <w:t>Liquidity risk – the possibility that the Authority might not have funds available to meet its commitments to make payments</w:t>
      </w:r>
    </w:p>
    <w:p w:rsidR="00D90216" w:rsidRDefault="00D90216" w:rsidP="00882E25">
      <w:pPr>
        <w:numPr>
          <w:ilvl w:val="0"/>
          <w:numId w:val="19"/>
        </w:numPr>
        <w:jc w:val="both"/>
        <w:rPr>
          <w:sz w:val="22"/>
        </w:rPr>
      </w:pPr>
      <w:r>
        <w:rPr>
          <w:sz w:val="22"/>
        </w:rPr>
        <w:t>Market risk – the possibility that financial loss might arise for the Authority as a result of changes in such measures as interest rates and stock market movements.</w:t>
      </w:r>
    </w:p>
    <w:p w:rsidR="00D90216" w:rsidRDefault="00D90216" w:rsidP="00D90216">
      <w:pPr>
        <w:jc w:val="both"/>
        <w:rPr>
          <w:sz w:val="22"/>
        </w:rPr>
      </w:pPr>
    </w:p>
    <w:p w:rsidR="00D90216" w:rsidRDefault="00D90216" w:rsidP="00D90216">
      <w:pPr>
        <w:ind w:left="709"/>
        <w:jc w:val="both"/>
        <w:rPr>
          <w:sz w:val="22"/>
        </w:rPr>
      </w:pPr>
      <w:r>
        <w:rPr>
          <w:sz w:val="22"/>
        </w:rPr>
        <w:t>Risk management is carried out by Lancashire County Council’s Treasury Management Team, under policies approved by the Authority in the annual Treasury Management Strategy.  The strategy provides written principles for overall risk management, as well as written policies covering specific areas, such as interest rate risk, credit risk and the investment of surplus cash.</w:t>
      </w:r>
    </w:p>
    <w:p w:rsidR="00D92F67" w:rsidRDefault="00D92F67" w:rsidP="00D90216">
      <w:pPr>
        <w:ind w:left="720"/>
        <w:jc w:val="both"/>
        <w:rPr>
          <w:b/>
          <w:sz w:val="22"/>
          <w:szCs w:val="22"/>
        </w:rPr>
      </w:pPr>
    </w:p>
    <w:p w:rsidR="00D90216" w:rsidRPr="005A1BFB" w:rsidRDefault="00D90216" w:rsidP="00D90216">
      <w:pPr>
        <w:ind w:left="720"/>
        <w:jc w:val="both"/>
        <w:rPr>
          <w:b/>
          <w:sz w:val="22"/>
          <w:szCs w:val="22"/>
          <w:highlight w:val="cyan"/>
        </w:rPr>
      </w:pPr>
      <w:r w:rsidRPr="00452CC2">
        <w:rPr>
          <w:b/>
          <w:sz w:val="22"/>
          <w:szCs w:val="22"/>
        </w:rPr>
        <w:t>Credit Risk</w:t>
      </w:r>
    </w:p>
    <w:p w:rsidR="00D90216" w:rsidRDefault="00D90216" w:rsidP="00D90216">
      <w:pPr>
        <w:ind w:left="709"/>
        <w:jc w:val="both"/>
        <w:rPr>
          <w:sz w:val="22"/>
        </w:rPr>
      </w:pPr>
    </w:p>
    <w:p w:rsidR="00D90216" w:rsidRDefault="00D90216" w:rsidP="00D90216">
      <w:pPr>
        <w:ind w:left="709"/>
        <w:jc w:val="both"/>
        <w:rPr>
          <w:sz w:val="22"/>
        </w:rPr>
      </w:pPr>
      <w:r>
        <w:rPr>
          <w:sz w:val="22"/>
        </w:rPr>
        <w:t>Credit risk arises from deposits with banks and financial institutions, as well as credit exposures to the Authority’s customers.</w:t>
      </w:r>
    </w:p>
    <w:p w:rsidR="00D90216" w:rsidRDefault="00D90216" w:rsidP="00D90216">
      <w:pPr>
        <w:ind w:left="709"/>
        <w:jc w:val="both"/>
        <w:rPr>
          <w:sz w:val="22"/>
        </w:rPr>
      </w:pPr>
    </w:p>
    <w:p w:rsidR="00A7369F" w:rsidRDefault="00A7369F" w:rsidP="00A7369F">
      <w:pPr>
        <w:ind w:left="709"/>
        <w:jc w:val="both"/>
        <w:rPr>
          <w:sz w:val="22"/>
        </w:rPr>
      </w:pPr>
      <w:r>
        <w:rPr>
          <w:sz w:val="22"/>
        </w:rPr>
        <w:t xml:space="preserve">This risk is minimised through the Annual Investment Strategy, which states that any investment counterparty must have a minimum actual or implied credit rating of AA- in order to be eligible. The Authority will also have regard to recent banking reform legislation which provides for creditor 'bail-in' rather than state 'bail-out' of banks should the bank fail. The effect of this legislation is that a local authority is likely to lose a higher proportion of any assets caught up in a credit event than almost any other type of institution. Credit risk control therefore means that unsecured bank deposits are, unless for very short duration, not suitable as an investment instrument in the future.  </w:t>
      </w:r>
    </w:p>
    <w:p w:rsidR="00D90216" w:rsidRDefault="00D90216" w:rsidP="00094F7B">
      <w:pPr>
        <w:jc w:val="both"/>
        <w:rPr>
          <w:sz w:val="22"/>
        </w:rPr>
      </w:pPr>
    </w:p>
    <w:p w:rsidR="00D90216" w:rsidRPr="00F04394" w:rsidRDefault="00D90216" w:rsidP="00D90216">
      <w:pPr>
        <w:ind w:left="720"/>
        <w:jc w:val="both"/>
        <w:rPr>
          <w:sz w:val="22"/>
          <w:szCs w:val="22"/>
        </w:rPr>
      </w:pPr>
      <w:r w:rsidRPr="00F04394">
        <w:rPr>
          <w:sz w:val="22"/>
          <w:szCs w:val="22"/>
        </w:rPr>
        <w:t xml:space="preserve">In the context of credit risk, trade debtors are treated as financial instruments. </w:t>
      </w:r>
    </w:p>
    <w:p w:rsidR="00D90216" w:rsidRDefault="00D90216" w:rsidP="00D90216">
      <w:pPr>
        <w:ind w:left="709"/>
        <w:jc w:val="both"/>
        <w:rPr>
          <w:sz w:val="22"/>
        </w:rPr>
      </w:pPr>
    </w:p>
    <w:p w:rsidR="00D90216" w:rsidRPr="00F97F2C" w:rsidRDefault="00D90216" w:rsidP="00D90216">
      <w:pPr>
        <w:ind w:left="720"/>
        <w:jc w:val="both"/>
        <w:rPr>
          <w:b/>
          <w:sz w:val="22"/>
          <w:szCs w:val="22"/>
        </w:rPr>
      </w:pPr>
      <w:r w:rsidRPr="00F97F2C">
        <w:rPr>
          <w:b/>
          <w:sz w:val="22"/>
          <w:szCs w:val="22"/>
        </w:rPr>
        <w:t>Trade debtor credit risk</w:t>
      </w:r>
    </w:p>
    <w:p w:rsidR="00D90216" w:rsidRPr="00F97F2C" w:rsidRDefault="00D90216" w:rsidP="00D90216">
      <w:pPr>
        <w:ind w:left="720"/>
        <w:jc w:val="both"/>
        <w:rPr>
          <w:sz w:val="22"/>
          <w:szCs w:val="22"/>
        </w:rPr>
      </w:pPr>
    </w:p>
    <w:p w:rsidR="00D90216" w:rsidRPr="00BF0081" w:rsidRDefault="00D90216" w:rsidP="00D90216">
      <w:pPr>
        <w:ind w:left="709"/>
        <w:jc w:val="both"/>
        <w:rPr>
          <w:sz w:val="22"/>
          <w:szCs w:val="22"/>
        </w:rPr>
      </w:pPr>
      <w:r w:rsidRPr="00F97F2C">
        <w:rPr>
          <w:sz w:val="22"/>
          <w:szCs w:val="22"/>
        </w:rPr>
        <w:t xml:space="preserve">The Authority does not generally allow credit for customers, such </w:t>
      </w:r>
      <w:r w:rsidRPr="00A844D9">
        <w:rPr>
          <w:sz w:val="22"/>
          <w:szCs w:val="22"/>
        </w:rPr>
        <w:t xml:space="preserve">that </w:t>
      </w:r>
      <w:r w:rsidR="007603E1" w:rsidRPr="001C52D8">
        <w:rPr>
          <w:sz w:val="22"/>
          <w:szCs w:val="22"/>
        </w:rPr>
        <w:t>£0.</w:t>
      </w:r>
      <w:r w:rsidR="00875AD5" w:rsidRPr="001C52D8">
        <w:rPr>
          <w:sz w:val="22"/>
          <w:szCs w:val="22"/>
        </w:rPr>
        <w:t>0</w:t>
      </w:r>
      <w:r w:rsidR="001C52D8" w:rsidRPr="001C52D8">
        <w:rPr>
          <w:sz w:val="22"/>
          <w:szCs w:val="22"/>
        </w:rPr>
        <w:t>0</w:t>
      </w:r>
      <w:r w:rsidR="0007614F">
        <w:rPr>
          <w:sz w:val="22"/>
          <w:szCs w:val="22"/>
        </w:rPr>
        <w:t>4</w:t>
      </w:r>
      <w:r w:rsidRPr="001C52D8">
        <w:rPr>
          <w:sz w:val="22"/>
          <w:szCs w:val="22"/>
        </w:rPr>
        <w:t xml:space="preserve">m of the </w:t>
      </w:r>
      <w:r w:rsidR="007603E1" w:rsidRPr="001C52D8">
        <w:rPr>
          <w:sz w:val="22"/>
          <w:szCs w:val="22"/>
        </w:rPr>
        <w:t>£0</w:t>
      </w:r>
      <w:r w:rsidRPr="001C52D8">
        <w:rPr>
          <w:sz w:val="22"/>
          <w:szCs w:val="22"/>
        </w:rPr>
        <w:t>.</w:t>
      </w:r>
      <w:r w:rsidR="00875AD5" w:rsidRPr="001C52D8">
        <w:rPr>
          <w:sz w:val="22"/>
          <w:szCs w:val="22"/>
        </w:rPr>
        <w:t>062</w:t>
      </w:r>
      <w:r w:rsidRPr="001C52D8">
        <w:rPr>
          <w:sz w:val="22"/>
          <w:szCs w:val="22"/>
        </w:rPr>
        <w:t>m</w:t>
      </w:r>
      <w:r w:rsidRPr="00BF0081">
        <w:rPr>
          <w:sz w:val="22"/>
          <w:szCs w:val="22"/>
        </w:rPr>
        <w:t xml:space="preserve"> balance is past due date for payment.  On a prudent basis the Authority has created a provision for bad debts to cover any potential loss arising from this, which currently stands at </w:t>
      </w:r>
      <w:r w:rsidR="007603E1" w:rsidRPr="001C52D8">
        <w:rPr>
          <w:sz w:val="22"/>
          <w:szCs w:val="22"/>
        </w:rPr>
        <w:t>£0.</w:t>
      </w:r>
      <w:r w:rsidR="001C52D8" w:rsidRPr="001C52D8">
        <w:rPr>
          <w:sz w:val="22"/>
          <w:szCs w:val="22"/>
        </w:rPr>
        <w:t>00</w:t>
      </w:r>
      <w:r w:rsidR="0007614F">
        <w:rPr>
          <w:sz w:val="22"/>
          <w:szCs w:val="22"/>
        </w:rPr>
        <w:t>3</w:t>
      </w:r>
      <w:r w:rsidRPr="001C52D8">
        <w:rPr>
          <w:sz w:val="22"/>
          <w:szCs w:val="22"/>
        </w:rPr>
        <w:t>m</w:t>
      </w:r>
      <w:r w:rsidRPr="00A844D9">
        <w:rPr>
          <w:sz w:val="22"/>
          <w:szCs w:val="22"/>
        </w:rPr>
        <w:t xml:space="preserve"> and</w:t>
      </w:r>
      <w:r w:rsidRPr="00BF0081">
        <w:rPr>
          <w:sz w:val="22"/>
          <w:szCs w:val="22"/>
        </w:rPr>
        <w:t xml:space="preserve"> which is considered sufficient for this purpose. </w:t>
      </w:r>
    </w:p>
    <w:p w:rsidR="00255965" w:rsidRDefault="00255965">
      <w:pPr>
        <w:rPr>
          <w:sz w:val="22"/>
          <w:szCs w:val="22"/>
        </w:rPr>
      </w:pPr>
    </w:p>
    <w:p w:rsidR="00D90216" w:rsidRPr="00F97F2C" w:rsidRDefault="00D90216" w:rsidP="00D90216">
      <w:pPr>
        <w:ind w:left="709"/>
        <w:jc w:val="both"/>
        <w:rPr>
          <w:sz w:val="22"/>
          <w:szCs w:val="22"/>
        </w:rPr>
      </w:pPr>
      <w:r w:rsidRPr="00F97F2C">
        <w:rPr>
          <w:sz w:val="22"/>
          <w:szCs w:val="22"/>
        </w:rPr>
        <w:t xml:space="preserve">The past due amount can be analysed by age as follows: </w:t>
      </w:r>
    </w:p>
    <w:p w:rsidR="00D90216" w:rsidRPr="005A1BFB" w:rsidRDefault="00D90216" w:rsidP="00D90216">
      <w:pPr>
        <w:ind w:left="709"/>
        <w:rPr>
          <w:sz w:val="22"/>
          <w:szCs w:val="22"/>
          <w:highlight w:val="cyan"/>
        </w:rPr>
      </w:pPr>
    </w:p>
    <w:tbl>
      <w:tblPr>
        <w:tblW w:w="6379" w:type="dxa"/>
        <w:tblInd w:w="1526" w:type="dxa"/>
        <w:tblLook w:val="01E0" w:firstRow="1" w:lastRow="1" w:firstColumn="1" w:lastColumn="1" w:noHBand="0" w:noVBand="0"/>
      </w:tblPr>
      <w:tblGrid>
        <w:gridCol w:w="3118"/>
        <w:gridCol w:w="1701"/>
        <w:gridCol w:w="1560"/>
      </w:tblGrid>
      <w:tr w:rsidR="006B0A70" w:rsidRPr="00D72DD9" w:rsidTr="00D72DD9">
        <w:tc>
          <w:tcPr>
            <w:tcW w:w="3118" w:type="dxa"/>
            <w:shd w:val="clear" w:color="auto" w:fill="auto"/>
          </w:tcPr>
          <w:p w:rsidR="006B0A70" w:rsidRPr="00D72DD9" w:rsidRDefault="006B0A70" w:rsidP="00CD62E6">
            <w:pPr>
              <w:rPr>
                <w:sz w:val="22"/>
                <w:szCs w:val="22"/>
              </w:rPr>
            </w:pPr>
          </w:p>
        </w:tc>
        <w:tc>
          <w:tcPr>
            <w:tcW w:w="1701" w:type="dxa"/>
            <w:shd w:val="clear" w:color="auto" w:fill="auto"/>
          </w:tcPr>
          <w:p w:rsidR="006B0A70" w:rsidRPr="001844B0" w:rsidRDefault="006B0A70" w:rsidP="006B0A70">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560" w:type="dxa"/>
            <w:shd w:val="clear" w:color="auto" w:fill="auto"/>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40280F" w:rsidRPr="00D72DD9" w:rsidTr="00D72DD9">
        <w:tc>
          <w:tcPr>
            <w:tcW w:w="3118" w:type="dxa"/>
            <w:shd w:val="clear" w:color="auto" w:fill="auto"/>
          </w:tcPr>
          <w:p w:rsidR="0040280F" w:rsidRPr="00D72DD9" w:rsidRDefault="0040280F" w:rsidP="00CD62E6">
            <w:pPr>
              <w:rPr>
                <w:sz w:val="22"/>
                <w:szCs w:val="22"/>
              </w:rPr>
            </w:pPr>
          </w:p>
        </w:tc>
        <w:tc>
          <w:tcPr>
            <w:tcW w:w="1701" w:type="dxa"/>
            <w:shd w:val="clear" w:color="auto" w:fill="auto"/>
          </w:tcPr>
          <w:p w:rsidR="0040280F" w:rsidRPr="00BF0081" w:rsidRDefault="0040280F" w:rsidP="00D72DD9">
            <w:pPr>
              <w:jc w:val="center"/>
              <w:rPr>
                <w:sz w:val="22"/>
                <w:szCs w:val="22"/>
              </w:rPr>
            </w:pPr>
            <w:r w:rsidRPr="00BF0081">
              <w:rPr>
                <w:sz w:val="22"/>
                <w:szCs w:val="22"/>
              </w:rPr>
              <w:t>£000</w:t>
            </w:r>
          </w:p>
        </w:tc>
        <w:tc>
          <w:tcPr>
            <w:tcW w:w="1560" w:type="dxa"/>
            <w:shd w:val="clear" w:color="auto" w:fill="auto"/>
          </w:tcPr>
          <w:p w:rsidR="0040280F" w:rsidRPr="00D72DD9" w:rsidRDefault="0040280F" w:rsidP="00D72DD9">
            <w:pPr>
              <w:ind w:right="459"/>
              <w:jc w:val="right"/>
              <w:rPr>
                <w:sz w:val="22"/>
                <w:szCs w:val="22"/>
              </w:rPr>
            </w:pPr>
            <w:r w:rsidRPr="00D72DD9">
              <w:rPr>
                <w:sz w:val="22"/>
                <w:szCs w:val="22"/>
              </w:rPr>
              <w:t>£000</w:t>
            </w:r>
          </w:p>
        </w:tc>
      </w:tr>
      <w:tr w:rsidR="0040280F" w:rsidRPr="00D72DD9" w:rsidTr="00D72DD9">
        <w:tc>
          <w:tcPr>
            <w:tcW w:w="3118" w:type="dxa"/>
            <w:shd w:val="clear" w:color="auto" w:fill="auto"/>
          </w:tcPr>
          <w:p w:rsidR="0040280F" w:rsidRPr="00D72DD9" w:rsidRDefault="0040280F" w:rsidP="00D72DD9">
            <w:pPr>
              <w:ind w:left="34"/>
              <w:rPr>
                <w:sz w:val="22"/>
                <w:szCs w:val="22"/>
              </w:rPr>
            </w:pPr>
          </w:p>
        </w:tc>
        <w:tc>
          <w:tcPr>
            <w:tcW w:w="1701" w:type="dxa"/>
            <w:shd w:val="clear" w:color="auto" w:fill="auto"/>
          </w:tcPr>
          <w:p w:rsidR="0040280F" w:rsidRPr="00306ECC" w:rsidRDefault="0040280F" w:rsidP="00D72DD9">
            <w:pPr>
              <w:tabs>
                <w:tab w:val="left" w:pos="1026"/>
              </w:tabs>
              <w:ind w:right="459"/>
              <w:jc w:val="right"/>
              <w:rPr>
                <w:sz w:val="22"/>
                <w:szCs w:val="22"/>
                <w:highlight w:val="yellow"/>
              </w:rPr>
            </w:pPr>
          </w:p>
        </w:tc>
        <w:tc>
          <w:tcPr>
            <w:tcW w:w="1560" w:type="dxa"/>
            <w:shd w:val="clear" w:color="auto" w:fill="auto"/>
          </w:tcPr>
          <w:p w:rsidR="0040280F" w:rsidRPr="00D72DD9" w:rsidRDefault="0040280F" w:rsidP="00D72DD9">
            <w:pPr>
              <w:tabs>
                <w:tab w:val="left" w:pos="1026"/>
              </w:tabs>
              <w:ind w:right="459"/>
              <w:jc w:val="right"/>
              <w:rPr>
                <w:sz w:val="22"/>
                <w:szCs w:val="22"/>
              </w:rPr>
            </w:pPr>
          </w:p>
        </w:tc>
      </w:tr>
      <w:tr w:rsidR="006B0A70" w:rsidRPr="00D72DD9" w:rsidTr="00D72DD9">
        <w:tc>
          <w:tcPr>
            <w:tcW w:w="3118" w:type="dxa"/>
            <w:shd w:val="clear" w:color="auto" w:fill="auto"/>
          </w:tcPr>
          <w:p w:rsidR="006B0A70" w:rsidRPr="00D72DD9" w:rsidRDefault="006B0A70" w:rsidP="00D72DD9">
            <w:pPr>
              <w:ind w:left="34"/>
              <w:rPr>
                <w:sz w:val="22"/>
                <w:szCs w:val="22"/>
              </w:rPr>
            </w:pPr>
            <w:r w:rsidRPr="00D72DD9">
              <w:rPr>
                <w:sz w:val="22"/>
                <w:szCs w:val="22"/>
              </w:rPr>
              <w:t>0 to 30 days</w:t>
            </w:r>
          </w:p>
        </w:tc>
        <w:tc>
          <w:tcPr>
            <w:tcW w:w="1701" w:type="dxa"/>
            <w:shd w:val="clear" w:color="auto" w:fill="auto"/>
          </w:tcPr>
          <w:p w:rsidR="006B0A70" w:rsidRPr="00BF0081" w:rsidRDefault="001C52D8" w:rsidP="00D72DD9">
            <w:pPr>
              <w:tabs>
                <w:tab w:val="left" w:pos="1026"/>
              </w:tabs>
              <w:ind w:right="459"/>
              <w:jc w:val="right"/>
              <w:rPr>
                <w:sz w:val="22"/>
                <w:szCs w:val="22"/>
              </w:rPr>
            </w:pPr>
            <w:r>
              <w:rPr>
                <w:sz w:val="22"/>
                <w:szCs w:val="22"/>
              </w:rPr>
              <w:t>58</w:t>
            </w:r>
          </w:p>
        </w:tc>
        <w:tc>
          <w:tcPr>
            <w:tcW w:w="1560" w:type="dxa"/>
            <w:shd w:val="clear" w:color="auto" w:fill="auto"/>
          </w:tcPr>
          <w:p w:rsidR="006B0A70" w:rsidRPr="00BF0081" w:rsidRDefault="006B0A70" w:rsidP="0096743B">
            <w:pPr>
              <w:tabs>
                <w:tab w:val="left" w:pos="1026"/>
              </w:tabs>
              <w:ind w:right="459"/>
              <w:jc w:val="right"/>
              <w:rPr>
                <w:sz w:val="22"/>
                <w:szCs w:val="22"/>
              </w:rPr>
            </w:pPr>
            <w:r>
              <w:rPr>
                <w:sz w:val="22"/>
                <w:szCs w:val="22"/>
              </w:rPr>
              <w:t>40</w:t>
            </w:r>
          </w:p>
        </w:tc>
      </w:tr>
      <w:tr w:rsidR="006B0A70" w:rsidRPr="00D72DD9" w:rsidTr="00D72DD9">
        <w:tc>
          <w:tcPr>
            <w:tcW w:w="3118" w:type="dxa"/>
            <w:shd w:val="clear" w:color="auto" w:fill="auto"/>
          </w:tcPr>
          <w:p w:rsidR="006B0A70" w:rsidRPr="00D72DD9" w:rsidRDefault="006B0A70" w:rsidP="00D72DD9">
            <w:pPr>
              <w:ind w:left="34"/>
              <w:rPr>
                <w:sz w:val="22"/>
                <w:szCs w:val="22"/>
              </w:rPr>
            </w:pPr>
            <w:r w:rsidRPr="00D72DD9">
              <w:rPr>
                <w:sz w:val="22"/>
                <w:szCs w:val="22"/>
              </w:rPr>
              <w:t>31 to 60 days</w:t>
            </w:r>
          </w:p>
        </w:tc>
        <w:tc>
          <w:tcPr>
            <w:tcW w:w="1701" w:type="dxa"/>
            <w:shd w:val="clear" w:color="auto" w:fill="auto"/>
          </w:tcPr>
          <w:p w:rsidR="006B0A70" w:rsidRPr="00BF0081" w:rsidRDefault="001C52D8" w:rsidP="00D72DD9">
            <w:pPr>
              <w:tabs>
                <w:tab w:val="left" w:pos="1026"/>
              </w:tabs>
              <w:ind w:right="459"/>
              <w:jc w:val="right"/>
              <w:rPr>
                <w:sz w:val="22"/>
                <w:szCs w:val="22"/>
              </w:rPr>
            </w:pPr>
            <w:r>
              <w:rPr>
                <w:sz w:val="22"/>
                <w:szCs w:val="22"/>
              </w:rPr>
              <w:t>2</w:t>
            </w:r>
          </w:p>
        </w:tc>
        <w:tc>
          <w:tcPr>
            <w:tcW w:w="1560" w:type="dxa"/>
            <w:shd w:val="clear" w:color="auto" w:fill="auto"/>
          </w:tcPr>
          <w:p w:rsidR="006B0A70" w:rsidRPr="00BF0081" w:rsidRDefault="006B0A70" w:rsidP="0096743B">
            <w:pPr>
              <w:tabs>
                <w:tab w:val="left" w:pos="1026"/>
              </w:tabs>
              <w:ind w:right="459"/>
              <w:jc w:val="right"/>
              <w:rPr>
                <w:sz w:val="22"/>
                <w:szCs w:val="22"/>
              </w:rPr>
            </w:pPr>
            <w:r>
              <w:rPr>
                <w:sz w:val="22"/>
                <w:szCs w:val="22"/>
              </w:rPr>
              <w:t>4</w:t>
            </w:r>
          </w:p>
        </w:tc>
      </w:tr>
      <w:tr w:rsidR="006B0A70" w:rsidRPr="00D72DD9" w:rsidTr="00D72DD9">
        <w:tc>
          <w:tcPr>
            <w:tcW w:w="3118" w:type="dxa"/>
            <w:shd w:val="clear" w:color="auto" w:fill="auto"/>
          </w:tcPr>
          <w:p w:rsidR="006B0A70" w:rsidRPr="00D72DD9" w:rsidRDefault="006B0A70" w:rsidP="00D72DD9">
            <w:pPr>
              <w:ind w:left="34"/>
              <w:rPr>
                <w:sz w:val="22"/>
                <w:szCs w:val="22"/>
              </w:rPr>
            </w:pPr>
            <w:r w:rsidRPr="00D72DD9">
              <w:rPr>
                <w:sz w:val="22"/>
                <w:szCs w:val="22"/>
              </w:rPr>
              <w:t>61 to 90 days</w:t>
            </w:r>
          </w:p>
        </w:tc>
        <w:tc>
          <w:tcPr>
            <w:tcW w:w="1701" w:type="dxa"/>
            <w:shd w:val="clear" w:color="auto" w:fill="auto"/>
          </w:tcPr>
          <w:p w:rsidR="006B0A70" w:rsidRPr="00BF0081" w:rsidRDefault="001C52D8" w:rsidP="00D72DD9">
            <w:pPr>
              <w:tabs>
                <w:tab w:val="left" w:pos="1026"/>
              </w:tabs>
              <w:ind w:right="459"/>
              <w:jc w:val="right"/>
              <w:rPr>
                <w:sz w:val="22"/>
                <w:szCs w:val="22"/>
              </w:rPr>
            </w:pPr>
            <w:r>
              <w:rPr>
                <w:sz w:val="22"/>
                <w:szCs w:val="22"/>
              </w:rPr>
              <w:t>1</w:t>
            </w:r>
          </w:p>
        </w:tc>
        <w:tc>
          <w:tcPr>
            <w:tcW w:w="1560" w:type="dxa"/>
            <w:shd w:val="clear" w:color="auto" w:fill="auto"/>
          </w:tcPr>
          <w:p w:rsidR="006B0A70" w:rsidRPr="00BF0081" w:rsidRDefault="006B0A70" w:rsidP="0096743B">
            <w:pPr>
              <w:tabs>
                <w:tab w:val="left" w:pos="1026"/>
              </w:tabs>
              <w:ind w:right="459"/>
              <w:jc w:val="right"/>
              <w:rPr>
                <w:sz w:val="22"/>
                <w:szCs w:val="22"/>
              </w:rPr>
            </w:pPr>
            <w:r>
              <w:rPr>
                <w:sz w:val="22"/>
                <w:szCs w:val="22"/>
              </w:rPr>
              <w:t>2</w:t>
            </w:r>
          </w:p>
        </w:tc>
      </w:tr>
      <w:tr w:rsidR="006B0A70" w:rsidRPr="00D72DD9" w:rsidTr="00D72DD9">
        <w:tc>
          <w:tcPr>
            <w:tcW w:w="3118" w:type="dxa"/>
            <w:shd w:val="clear" w:color="auto" w:fill="auto"/>
          </w:tcPr>
          <w:p w:rsidR="006B0A70" w:rsidRPr="00D72DD9" w:rsidRDefault="006B0A70" w:rsidP="00D72DD9">
            <w:pPr>
              <w:ind w:left="34"/>
              <w:rPr>
                <w:sz w:val="22"/>
                <w:szCs w:val="22"/>
              </w:rPr>
            </w:pPr>
            <w:r w:rsidRPr="00D72DD9">
              <w:rPr>
                <w:sz w:val="22"/>
                <w:szCs w:val="22"/>
              </w:rPr>
              <w:t>91 to 1</w:t>
            </w:r>
            <w:r>
              <w:rPr>
                <w:sz w:val="22"/>
                <w:szCs w:val="22"/>
              </w:rPr>
              <w:t>8</w:t>
            </w:r>
            <w:r w:rsidRPr="00D72DD9">
              <w:rPr>
                <w:sz w:val="22"/>
                <w:szCs w:val="22"/>
              </w:rPr>
              <w:t>0 days</w:t>
            </w:r>
          </w:p>
        </w:tc>
        <w:tc>
          <w:tcPr>
            <w:tcW w:w="1701" w:type="dxa"/>
            <w:shd w:val="clear" w:color="auto" w:fill="auto"/>
          </w:tcPr>
          <w:p w:rsidR="006B0A70" w:rsidRPr="00306ECC" w:rsidRDefault="001C52D8" w:rsidP="00D72DD9">
            <w:pPr>
              <w:tabs>
                <w:tab w:val="left" w:pos="1026"/>
              </w:tabs>
              <w:ind w:right="459"/>
              <w:jc w:val="right"/>
              <w:rPr>
                <w:sz w:val="22"/>
                <w:szCs w:val="22"/>
                <w:highlight w:val="yellow"/>
              </w:rPr>
            </w:pPr>
            <w:r w:rsidRPr="001C52D8">
              <w:rPr>
                <w:sz w:val="22"/>
                <w:szCs w:val="22"/>
              </w:rPr>
              <w:t>-</w:t>
            </w:r>
          </w:p>
        </w:tc>
        <w:tc>
          <w:tcPr>
            <w:tcW w:w="1560" w:type="dxa"/>
            <w:shd w:val="clear" w:color="auto" w:fill="auto"/>
          </w:tcPr>
          <w:p w:rsidR="006B0A70" w:rsidRPr="00306ECC" w:rsidRDefault="006B0A70" w:rsidP="0096743B">
            <w:pPr>
              <w:tabs>
                <w:tab w:val="left" w:pos="1026"/>
              </w:tabs>
              <w:ind w:right="459"/>
              <w:jc w:val="right"/>
              <w:rPr>
                <w:sz w:val="22"/>
                <w:szCs w:val="22"/>
                <w:highlight w:val="yellow"/>
              </w:rPr>
            </w:pPr>
            <w:r w:rsidRPr="00A844D9">
              <w:rPr>
                <w:sz w:val="22"/>
                <w:szCs w:val="22"/>
              </w:rPr>
              <w:t>13</w:t>
            </w:r>
          </w:p>
        </w:tc>
      </w:tr>
      <w:tr w:rsidR="006B0A70" w:rsidRPr="00D72DD9" w:rsidTr="00D72DD9">
        <w:tc>
          <w:tcPr>
            <w:tcW w:w="3118" w:type="dxa"/>
            <w:shd w:val="clear" w:color="auto" w:fill="auto"/>
          </w:tcPr>
          <w:p w:rsidR="006B0A70" w:rsidRPr="00D72DD9" w:rsidRDefault="006B0A70" w:rsidP="00D72DD9">
            <w:pPr>
              <w:ind w:left="34"/>
              <w:rPr>
                <w:sz w:val="22"/>
                <w:szCs w:val="22"/>
              </w:rPr>
            </w:pPr>
            <w:r w:rsidRPr="00D72DD9">
              <w:rPr>
                <w:sz w:val="22"/>
                <w:szCs w:val="22"/>
              </w:rPr>
              <w:t>Over 1</w:t>
            </w:r>
            <w:r>
              <w:rPr>
                <w:sz w:val="22"/>
                <w:szCs w:val="22"/>
              </w:rPr>
              <w:t>8</w:t>
            </w:r>
            <w:r w:rsidRPr="00D72DD9">
              <w:rPr>
                <w:sz w:val="22"/>
                <w:szCs w:val="22"/>
              </w:rPr>
              <w:t xml:space="preserve">0 days </w:t>
            </w:r>
          </w:p>
        </w:tc>
        <w:tc>
          <w:tcPr>
            <w:tcW w:w="1701" w:type="dxa"/>
            <w:tcBorders>
              <w:bottom w:val="single" w:sz="4" w:space="0" w:color="auto"/>
            </w:tcBorders>
            <w:shd w:val="clear" w:color="auto" w:fill="auto"/>
          </w:tcPr>
          <w:p w:rsidR="006B0A70" w:rsidRPr="00BF0081" w:rsidRDefault="001C52D8" w:rsidP="00D72DD9">
            <w:pPr>
              <w:tabs>
                <w:tab w:val="left" w:pos="1026"/>
              </w:tabs>
              <w:ind w:right="459"/>
              <w:jc w:val="right"/>
              <w:rPr>
                <w:sz w:val="22"/>
                <w:szCs w:val="22"/>
              </w:rPr>
            </w:pPr>
            <w:r>
              <w:rPr>
                <w:sz w:val="22"/>
                <w:szCs w:val="22"/>
              </w:rPr>
              <w:t>1</w:t>
            </w:r>
          </w:p>
        </w:tc>
        <w:tc>
          <w:tcPr>
            <w:tcW w:w="1560" w:type="dxa"/>
            <w:tcBorders>
              <w:bottom w:val="single" w:sz="4" w:space="0" w:color="auto"/>
            </w:tcBorders>
            <w:shd w:val="clear" w:color="auto" w:fill="auto"/>
          </w:tcPr>
          <w:p w:rsidR="006B0A70" w:rsidRPr="00BF0081" w:rsidRDefault="006B0A70" w:rsidP="0096743B">
            <w:pPr>
              <w:tabs>
                <w:tab w:val="left" w:pos="1026"/>
              </w:tabs>
              <w:ind w:right="459"/>
              <w:jc w:val="right"/>
              <w:rPr>
                <w:sz w:val="22"/>
                <w:szCs w:val="22"/>
              </w:rPr>
            </w:pPr>
            <w:r>
              <w:rPr>
                <w:sz w:val="22"/>
                <w:szCs w:val="22"/>
              </w:rPr>
              <w:t>10</w:t>
            </w:r>
          </w:p>
        </w:tc>
      </w:tr>
      <w:tr w:rsidR="006B0A70" w:rsidRPr="00D72DD9" w:rsidTr="00D72DD9">
        <w:tc>
          <w:tcPr>
            <w:tcW w:w="3118" w:type="dxa"/>
            <w:shd w:val="clear" w:color="auto" w:fill="auto"/>
          </w:tcPr>
          <w:p w:rsidR="006B0A70" w:rsidRPr="00D72DD9" w:rsidRDefault="006B0A70" w:rsidP="00D72DD9">
            <w:pPr>
              <w:ind w:left="34"/>
              <w:rPr>
                <w:sz w:val="22"/>
                <w:szCs w:val="22"/>
              </w:rPr>
            </w:pPr>
          </w:p>
        </w:tc>
        <w:tc>
          <w:tcPr>
            <w:tcW w:w="1701" w:type="dxa"/>
            <w:tcBorders>
              <w:top w:val="single" w:sz="4" w:space="0" w:color="auto"/>
              <w:bottom w:val="double" w:sz="4" w:space="0" w:color="auto"/>
            </w:tcBorders>
            <w:shd w:val="clear" w:color="auto" w:fill="auto"/>
          </w:tcPr>
          <w:p w:rsidR="006B0A70" w:rsidRPr="00BF0081" w:rsidRDefault="001C52D8" w:rsidP="00D72DD9">
            <w:pPr>
              <w:tabs>
                <w:tab w:val="left" w:pos="1026"/>
              </w:tabs>
              <w:ind w:right="459"/>
              <w:jc w:val="right"/>
              <w:rPr>
                <w:sz w:val="22"/>
                <w:szCs w:val="22"/>
              </w:rPr>
            </w:pPr>
            <w:r>
              <w:rPr>
                <w:sz w:val="22"/>
                <w:szCs w:val="22"/>
              </w:rPr>
              <w:t>62</w:t>
            </w:r>
          </w:p>
        </w:tc>
        <w:tc>
          <w:tcPr>
            <w:tcW w:w="1560" w:type="dxa"/>
            <w:tcBorders>
              <w:top w:val="single" w:sz="4" w:space="0" w:color="auto"/>
              <w:bottom w:val="double" w:sz="4" w:space="0" w:color="auto"/>
            </w:tcBorders>
            <w:shd w:val="clear" w:color="auto" w:fill="auto"/>
          </w:tcPr>
          <w:p w:rsidR="006B0A70" w:rsidRPr="00BF0081" w:rsidRDefault="006B0A70" w:rsidP="0096743B">
            <w:pPr>
              <w:tabs>
                <w:tab w:val="left" w:pos="1026"/>
              </w:tabs>
              <w:ind w:right="459"/>
              <w:jc w:val="right"/>
              <w:rPr>
                <w:sz w:val="22"/>
                <w:szCs w:val="22"/>
              </w:rPr>
            </w:pPr>
            <w:r>
              <w:rPr>
                <w:sz w:val="22"/>
                <w:szCs w:val="22"/>
              </w:rPr>
              <w:t>69</w:t>
            </w:r>
          </w:p>
        </w:tc>
      </w:tr>
    </w:tbl>
    <w:p w:rsidR="006B460B" w:rsidRDefault="006B460B" w:rsidP="001F1848">
      <w:pPr>
        <w:jc w:val="both"/>
        <w:rPr>
          <w:b/>
          <w:sz w:val="22"/>
          <w:szCs w:val="22"/>
        </w:rPr>
      </w:pPr>
    </w:p>
    <w:p w:rsidR="008216A1" w:rsidRDefault="008216A1" w:rsidP="00D90216">
      <w:pPr>
        <w:ind w:firstLine="720"/>
        <w:jc w:val="both"/>
        <w:rPr>
          <w:b/>
          <w:sz w:val="22"/>
          <w:szCs w:val="22"/>
        </w:rPr>
      </w:pPr>
    </w:p>
    <w:p w:rsidR="008216A1" w:rsidRDefault="008216A1" w:rsidP="00D90216">
      <w:pPr>
        <w:ind w:firstLine="720"/>
        <w:jc w:val="both"/>
        <w:rPr>
          <w:b/>
          <w:sz w:val="22"/>
          <w:szCs w:val="22"/>
        </w:rPr>
      </w:pPr>
    </w:p>
    <w:p w:rsidR="008216A1" w:rsidRDefault="008216A1" w:rsidP="00D90216">
      <w:pPr>
        <w:ind w:firstLine="720"/>
        <w:jc w:val="both"/>
        <w:rPr>
          <w:b/>
          <w:sz w:val="22"/>
          <w:szCs w:val="22"/>
        </w:rPr>
      </w:pPr>
    </w:p>
    <w:p w:rsidR="00D90216" w:rsidRPr="00F97F2C" w:rsidRDefault="00D90216" w:rsidP="00D90216">
      <w:pPr>
        <w:ind w:firstLine="720"/>
        <w:jc w:val="both"/>
        <w:rPr>
          <w:b/>
          <w:sz w:val="22"/>
          <w:szCs w:val="22"/>
        </w:rPr>
      </w:pPr>
      <w:r w:rsidRPr="00F97F2C">
        <w:rPr>
          <w:b/>
          <w:sz w:val="22"/>
          <w:szCs w:val="22"/>
        </w:rPr>
        <w:t>Liquidity Risk</w:t>
      </w:r>
    </w:p>
    <w:p w:rsidR="00D90216" w:rsidRPr="00812AC4" w:rsidRDefault="00D90216" w:rsidP="00D90216">
      <w:pPr>
        <w:ind w:firstLine="720"/>
        <w:jc w:val="both"/>
        <w:rPr>
          <w:b/>
          <w:sz w:val="22"/>
          <w:szCs w:val="22"/>
        </w:rPr>
      </w:pPr>
    </w:p>
    <w:p w:rsidR="00D90216" w:rsidRPr="00812AC4" w:rsidRDefault="00D90216" w:rsidP="00D90216">
      <w:pPr>
        <w:ind w:left="720"/>
        <w:jc w:val="both"/>
        <w:rPr>
          <w:sz w:val="22"/>
          <w:szCs w:val="22"/>
        </w:rPr>
      </w:pPr>
      <w:r w:rsidRPr="00812AC4">
        <w:rPr>
          <w:sz w:val="22"/>
          <w:szCs w:val="22"/>
        </w:rPr>
        <w:t xml:space="preserve">The Authority has a comprehensive cash flow management system (administered by </w:t>
      </w:r>
      <w:r>
        <w:rPr>
          <w:sz w:val="22"/>
        </w:rPr>
        <w:t>Lancashire County Council’s Treasury Management Team) that seeks to ensure that cash is available as needed.  If unexpected movements happen, the Authority has ready access to borrowings from Lancashire County Council at current market rates.  There is no significant risk that it will be unable to raise finance to meet its commitments under financial instruments.</w:t>
      </w:r>
      <w:r w:rsidR="002D74C1">
        <w:rPr>
          <w:sz w:val="22"/>
        </w:rPr>
        <w:t xml:space="preserve">  During 2017/18 £3.2m of debt was repaid, leaving a balance of £2m.</w:t>
      </w:r>
      <w:r>
        <w:rPr>
          <w:sz w:val="22"/>
        </w:rPr>
        <w:t xml:space="preserve">  </w:t>
      </w:r>
    </w:p>
    <w:p w:rsidR="00D90216" w:rsidRPr="005A1BFB" w:rsidRDefault="00D90216" w:rsidP="00D90216">
      <w:pPr>
        <w:ind w:left="720"/>
        <w:jc w:val="both"/>
        <w:rPr>
          <w:sz w:val="22"/>
          <w:szCs w:val="22"/>
          <w:highlight w:val="cyan"/>
        </w:rPr>
      </w:pPr>
    </w:p>
    <w:p w:rsidR="00D90216" w:rsidRPr="00812AC4" w:rsidRDefault="00D90216" w:rsidP="00D90216">
      <w:pPr>
        <w:ind w:left="720"/>
        <w:jc w:val="both"/>
        <w:rPr>
          <w:sz w:val="22"/>
          <w:szCs w:val="22"/>
        </w:rPr>
      </w:pPr>
      <w:r w:rsidRPr="00812AC4">
        <w:rPr>
          <w:sz w:val="22"/>
          <w:szCs w:val="22"/>
        </w:rPr>
        <w:t xml:space="preserve">The maturity profile of our </w:t>
      </w:r>
      <w:r w:rsidR="002D74C1">
        <w:rPr>
          <w:sz w:val="22"/>
          <w:szCs w:val="22"/>
        </w:rPr>
        <w:t xml:space="preserve">remaining </w:t>
      </w:r>
      <w:r w:rsidRPr="00812AC4">
        <w:rPr>
          <w:sz w:val="22"/>
          <w:szCs w:val="22"/>
        </w:rPr>
        <w:t xml:space="preserve">debt is shown in the table below. </w:t>
      </w:r>
    </w:p>
    <w:p w:rsidR="00D90216" w:rsidRDefault="00D90216" w:rsidP="002D74C1">
      <w:pPr>
        <w:ind w:left="180" w:firstLine="540"/>
        <w:jc w:val="center"/>
        <w:rPr>
          <w:sz w:val="22"/>
          <w:szCs w:val="22"/>
          <w:highlight w:val="yellow"/>
        </w:rPr>
      </w:pPr>
    </w:p>
    <w:tbl>
      <w:tblPr>
        <w:tblStyle w:val="TableGrid"/>
        <w:tblW w:w="5404" w:type="dxa"/>
        <w:tblInd w:w="2802" w:type="dxa"/>
        <w:tblLook w:val="04A0" w:firstRow="1" w:lastRow="0" w:firstColumn="1" w:lastColumn="0" w:noHBand="0" w:noVBand="1"/>
      </w:tblPr>
      <w:tblGrid>
        <w:gridCol w:w="2702"/>
        <w:gridCol w:w="2702"/>
      </w:tblGrid>
      <w:tr w:rsidR="002D74C1" w:rsidTr="002D74C1">
        <w:tc>
          <w:tcPr>
            <w:tcW w:w="5404" w:type="dxa"/>
            <w:gridSpan w:val="2"/>
          </w:tcPr>
          <w:p w:rsidR="002D74C1" w:rsidRPr="002D74C1" w:rsidRDefault="002D74C1" w:rsidP="00EA0739">
            <w:pPr>
              <w:jc w:val="center"/>
              <w:rPr>
                <w:sz w:val="22"/>
                <w:szCs w:val="22"/>
              </w:rPr>
            </w:pPr>
            <w:r w:rsidRPr="002D74C1">
              <w:rPr>
                <w:sz w:val="22"/>
                <w:szCs w:val="22"/>
              </w:rPr>
              <w:t>Value of PWLB loans maturing in future years</w:t>
            </w:r>
          </w:p>
        </w:tc>
      </w:tr>
      <w:tr w:rsidR="002D74C1" w:rsidTr="002D74C1">
        <w:tc>
          <w:tcPr>
            <w:tcW w:w="5404" w:type="dxa"/>
            <w:gridSpan w:val="2"/>
          </w:tcPr>
          <w:p w:rsidR="002D74C1" w:rsidRPr="002D74C1" w:rsidRDefault="002D74C1" w:rsidP="00EA0739">
            <w:pPr>
              <w:jc w:val="center"/>
              <w:rPr>
                <w:sz w:val="22"/>
                <w:szCs w:val="22"/>
              </w:rPr>
            </w:pPr>
            <w:r w:rsidRPr="002D74C1">
              <w:rPr>
                <w:sz w:val="22"/>
                <w:szCs w:val="22"/>
              </w:rPr>
              <w:t>As at 31 March 2018</w:t>
            </w:r>
          </w:p>
        </w:tc>
      </w:tr>
      <w:tr w:rsidR="002D74C1" w:rsidTr="002D74C1">
        <w:tc>
          <w:tcPr>
            <w:tcW w:w="2702" w:type="dxa"/>
          </w:tcPr>
          <w:p w:rsidR="002D74C1" w:rsidRPr="002D74C1" w:rsidRDefault="002D74C1" w:rsidP="00EA0739">
            <w:pPr>
              <w:jc w:val="center"/>
              <w:rPr>
                <w:sz w:val="22"/>
                <w:szCs w:val="22"/>
              </w:rPr>
            </w:pPr>
            <w:r w:rsidRPr="002D74C1">
              <w:rPr>
                <w:sz w:val="22"/>
                <w:szCs w:val="22"/>
              </w:rPr>
              <w:t>Year</w:t>
            </w:r>
          </w:p>
          <w:p w:rsidR="002D74C1" w:rsidRPr="002D74C1" w:rsidRDefault="002D74C1" w:rsidP="00EA0739">
            <w:pPr>
              <w:jc w:val="center"/>
              <w:rPr>
                <w:sz w:val="22"/>
                <w:szCs w:val="22"/>
              </w:rPr>
            </w:pPr>
          </w:p>
        </w:tc>
        <w:tc>
          <w:tcPr>
            <w:tcW w:w="2702" w:type="dxa"/>
          </w:tcPr>
          <w:p w:rsidR="002D74C1" w:rsidRPr="002D74C1" w:rsidRDefault="002D74C1" w:rsidP="00EA0739">
            <w:pPr>
              <w:jc w:val="center"/>
              <w:rPr>
                <w:sz w:val="22"/>
                <w:szCs w:val="22"/>
              </w:rPr>
            </w:pPr>
            <w:r w:rsidRPr="002D74C1">
              <w:rPr>
                <w:sz w:val="22"/>
                <w:szCs w:val="22"/>
              </w:rPr>
              <w:t>Loan value</w:t>
            </w:r>
          </w:p>
          <w:p w:rsidR="002D74C1" w:rsidRPr="002D74C1" w:rsidRDefault="002D74C1" w:rsidP="00EA0739">
            <w:pPr>
              <w:jc w:val="center"/>
              <w:rPr>
                <w:sz w:val="22"/>
                <w:szCs w:val="22"/>
              </w:rPr>
            </w:pPr>
            <w:r w:rsidRPr="002D74C1">
              <w:rPr>
                <w:sz w:val="22"/>
                <w:szCs w:val="22"/>
              </w:rPr>
              <w:t>£000</w:t>
            </w:r>
          </w:p>
        </w:tc>
      </w:tr>
      <w:tr w:rsidR="002D74C1" w:rsidTr="002D74C1">
        <w:tc>
          <w:tcPr>
            <w:tcW w:w="2702" w:type="dxa"/>
          </w:tcPr>
          <w:p w:rsidR="002D74C1" w:rsidRPr="002D74C1" w:rsidRDefault="002D74C1" w:rsidP="00EA0739">
            <w:pPr>
              <w:jc w:val="center"/>
              <w:rPr>
                <w:sz w:val="22"/>
                <w:szCs w:val="22"/>
              </w:rPr>
            </w:pPr>
            <w:r w:rsidRPr="002D74C1">
              <w:rPr>
                <w:sz w:val="22"/>
                <w:szCs w:val="22"/>
              </w:rPr>
              <w:t>2036</w:t>
            </w:r>
          </w:p>
        </w:tc>
        <w:tc>
          <w:tcPr>
            <w:tcW w:w="2702" w:type="dxa"/>
          </w:tcPr>
          <w:p w:rsidR="002D74C1" w:rsidRPr="002D74C1" w:rsidRDefault="002D74C1" w:rsidP="00EA0739">
            <w:pPr>
              <w:jc w:val="center"/>
              <w:rPr>
                <w:sz w:val="22"/>
                <w:szCs w:val="22"/>
              </w:rPr>
            </w:pPr>
            <w:r w:rsidRPr="002D74C1">
              <w:rPr>
                <w:sz w:val="22"/>
                <w:szCs w:val="22"/>
              </w:rPr>
              <w:t>650</w:t>
            </w:r>
          </w:p>
        </w:tc>
      </w:tr>
      <w:tr w:rsidR="002D74C1" w:rsidTr="002D74C1">
        <w:tc>
          <w:tcPr>
            <w:tcW w:w="2702" w:type="dxa"/>
          </w:tcPr>
          <w:p w:rsidR="002D74C1" w:rsidRPr="002D74C1" w:rsidRDefault="002D74C1" w:rsidP="00EA0739">
            <w:pPr>
              <w:jc w:val="center"/>
              <w:rPr>
                <w:sz w:val="22"/>
                <w:szCs w:val="22"/>
              </w:rPr>
            </w:pPr>
            <w:r w:rsidRPr="002D74C1">
              <w:rPr>
                <w:sz w:val="22"/>
                <w:szCs w:val="22"/>
              </w:rPr>
              <w:t>2037</w:t>
            </w:r>
          </w:p>
        </w:tc>
        <w:tc>
          <w:tcPr>
            <w:tcW w:w="2702" w:type="dxa"/>
          </w:tcPr>
          <w:p w:rsidR="002D74C1" w:rsidRPr="002D74C1" w:rsidRDefault="002D74C1" w:rsidP="00EA0739">
            <w:pPr>
              <w:jc w:val="center"/>
              <w:rPr>
                <w:sz w:val="22"/>
                <w:szCs w:val="22"/>
              </w:rPr>
            </w:pPr>
            <w:r w:rsidRPr="002D74C1">
              <w:rPr>
                <w:sz w:val="22"/>
                <w:szCs w:val="22"/>
              </w:rPr>
              <w:t>650</w:t>
            </w:r>
          </w:p>
        </w:tc>
      </w:tr>
      <w:tr w:rsidR="002D74C1" w:rsidTr="002D74C1">
        <w:tc>
          <w:tcPr>
            <w:tcW w:w="2702" w:type="dxa"/>
          </w:tcPr>
          <w:p w:rsidR="002D74C1" w:rsidRPr="002D74C1" w:rsidRDefault="002D74C1" w:rsidP="00EA0739">
            <w:pPr>
              <w:jc w:val="center"/>
              <w:rPr>
                <w:sz w:val="22"/>
                <w:szCs w:val="22"/>
              </w:rPr>
            </w:pPr>
            <w:r w:rsidRPr="002D74C1">
              <w:rPr>
                <w:sz w:val="22"/>
                <w:szCs w:val="22"/>
              </w:rPr>
              <w:t>2038</w:t>
            </w:r>
          </w:p>
        </w:tc>
        <w:tc>
          <w:tcPr>
            <w:tcW w:w="2702" w:type="dxa"/>
          </w:tcPr>
          <w:p w:rsidR="002D74C1" w:rsidRPr="002D74C1" w:rsidRDefault="002D74C1" w:rsidP="00EA0739">
            <w:pPr>
              <w:jc w:val="center"/>
              <w:rPr>
                <w:sz w:val="22"/>
                <w:szCs w:val="22"/>
              </w:rPr>
            </w:pPr>
            <w:r w:rsidRPr="002D74C1">
              <w:rPr>
                <w:sz w:val="22"/>
                <w:szCs w:val="22"/>
              </w:rPr>
              <w:t>700</w:t>
            </w:r>
          </w:p>
        </w:tc>
      </w:tr>
      <w:tr w:rsidR="002D74C1" w:rsidTr="002D74C1">
        <w:tc>
          <w:tcPr>
            <w:tcW w:w="2702" w:type="dxa"/>
          </w:tcPr>
          <w:p w:rsidR="002D74C1" w:rsidRPr="002D74C1" w:rsidRDefault="002D74C1" w:rsidP="00EA0739">
            <w:pPr>
              <w:jc w:val="center"/>
              <w:rPr>
                <w:sz w:val="22"/>
                <w:szCs w:val="22"/>
              </w:rPr>
            </w:pPr>
            <w:r w:rsidRPr="002D74C1">
              <w:rPr>
                <w:sz w:val="22"/>
                <w:szCs w:val="22"/>
              </w:rPr>
              <w:t>Total</w:t>
            </w:r>
          </w:p>
        </w:tc>
        <w:tc>
          <w:tcPr>
            <w:tcW w:w="2702" w:type="dxa"/>
          </w:tcPr>
          <w:p w:rsidR="002D74C1" w:rsidRPr="002D74C1" w:rsidRDefault="002D74C1" w:rsidP="00EA0739">
            <w:pPr>
              <w:jc w:val="center"/>
              <w:rPr>
                <w:sz w:val="22"/>
                <w:szCs w:val="22"/>
              </w:rPr>
            </w:pPr>
            <w:r w:rsidRPr="002D74C1">
              <w:rPr>
                <w:sz w:val="22"/>
                <w:szCs w:val="22"/>
              </w:rPr>
              <w:t>2,000</w:t>
            </w:r>
          </w:p>
        </w:tc>
      </w:tr>
    </w:tbl>
    <w:p w:rsidR="001543B8" w:rsidRDefault="001543B8" w:rsidP="006D1B7A">
      <w:pPr>
        <w:ind w:left="720"/>
        <w:jc w:val="both"/>
        <w:rPr>
          <w:b/>
          <w:sz w:val="22"/>
          <w:szCs w:val="22"/>
        </w:rPr>
      </w:pPr>
    </w:p>
    <w:p w:rsidR="00D90216" w:rsidRPr="00206AF4" w:rsidRDefault="00D90216" w:rsidP="006D1B7A">
      <w:pPr>
        <w:ind w:left="720"/>
        <w:jc w:val="both"/>
        <w:rPr>
          <w:b/>
          <w:sz w:val="22"/>
          <w:szCs w:val="22"/>
        </w:rPr>
      </w:pPr>
      <w:r w:rsidRPr="00417250">
        <w:rPr>
          <w:b/>
          <w:sz w:val="22"/>
          <w:szCs w:val="22"/>
        </w:rPr>
        <w:t>Market risk</w:t>
      </w:r>
    </w:p>
    <w:p w:rsidR="00D90216" w:rsidRPr="005A1BFB" w:rsidRDefault="00D90216" w:rsidP="00D90216">
      <w:pPr>
        <w:ind w:left="720"/>
        <w:jc w:val="both"/>
        <w:rPr>
          <w:b/>
          <w:sz w:val="22"/>
          <w:szCs w:val="22"/>
          <w:highlight w:val="cyan"/>
        </w:rPr>
      </w:pPr>
    </w:p>
    <w:p w:rsidR="00D90216" w:rsidRPr="00206AF4" w:rsidRDefault="00D90216" w:rsidP="00D90216">
      <w:pPr>
        <w:spacing w:after="240"/>
        <w:ind w:left="720"/>
        <w:jc w:val="both"/>
        <w:rPr>
          <w:sz w:val="22"/>
          <w:szCs w:val="22"/>
        </w:rPr>
      </w:pPr>
      <w:r w:rsidRPr="00206AF4">
        <w:rPr>
          <w:sz w:val="22"/>
          <w:szCs w:val="22"/>
        </w:rPr>
        <w:t>The Authority is exposed to risk in terms of its exposure to interest rate movements on its borrowings and investments.  Movements in interest rates have a complex impact on the Authority.  For instance, a rise in interest rate movements would have the following effects:</w:t>
      </w:r>
    </w:p>
    <w:p w:rsidR="00D90216" w:rsidRPr="00206AF4" w:rsidRDefault="00D90216" w:rsidP="00882E25">
      <w:pPr>
        <w:numPr>
          <w:ilvl w:val="0"/>
          <w:numId w:val="20"/>
        </w:numPr>
        <w:spacing w:after="240"/>
        <w:jc w:val="both"/>
        <w:rPr>
          <w:sz w:val="22"/>
          <w:szCs w:val="22"/>
        </w:rPr>
      </w:pPr>
      <w:r w:rsidRPr="00206AF4">
        <w:rPr>
          <w:sz w:val="22"/>
          <w:szCs w:val="22"/>
        </w:rPr>
        <w:t>Borrowings at fixed rates – the fair value of the liabilities borrowings will fall</w:t>
      </w:r>
    </w:p>
    <w:p w:rsidR="00D90216" w:rsidRPr="00206AF4" w:rsidRDefault="00D90216" w:rsidP="00882E25">
      <w:pPr>
        <w:numPr>
          <w:ilvl w:val="0"/>
          <w:numId w:val="20"/>
        </w:numPr>
        <w:spacing w:after="240"/>
        <w:jc w:val="both"/>
        <w:rPr>
          <w:sz w:val="22"/>
          <w:szCs w:val="22"/>
        </w:rPr>
      </w:pPr>
      <w:r w:rsidRPr="00206AF4">
        <w:rPr>
          <w:sz w:val="22"/>
          <w:szCs w:val="22"/>
        </w:rPr>
        <w:t>Investments at variable rates – the interest income credited to the deficit on the provision of services will rise</w:t>
      </w:r>
    </w:p>
    <w:p w:rsidR="00D90216" w:rsidRDefault="00D90216" w:rsidP="00D90216">
      <w:pPr>
        <w:spacing w:after="240"/>
        <w:ind w:left="720"/>
        <w:jc w:val="both"/>
        <w:rPr>
          <w:sz w:val="22"/>
          <w:szCs w:val="22"/>
        </w:rPr>
      </w:pPr>
      <w:r w:rsidRPr="003D20F0">
        <w:rPr>
          <w:sz w:val="22"/>
          <w:szCs w:val="22"/>
        </w:rPr>
        <w:t xml:space="preserve">We hold fixed rate financial liabilities </w:t>
      </w:r>
      <w:r w:rsidR="004D6EE3">
        <w:rPr>
          <w:sz w:val="22"/>
          <w:szCs w:val="22"/>
        </w:rPr>
        <w:t xml:space="preserve">(borrowings) </w:t>
      </w:r>
      <w:r w:rsidRPr="003D20F0">
        <w:rPr>
          <w:sz w:val="22"/>
          <w:szCs w:val="22"/>
        </w:rPr>
        <w:t xml:space="preserve">and </w:t>
      </w:r>
      <w:r>
        <w:rPr>
          <w:sz w:val="22"/>
          <w:szCs w:val="22"/>
        </w:rPr>
        <w:t xml:space="preserve">variable rate financial </w:t>
      </w:r>
      <w:r w:rsidRPr="00024D9B">
        <w:rPr>
          <w:sz w:val="22"/>
          <w:szCs w:val="22"/>
        </w:rPr>
        <w:t>assets</w:t>
      </w:r>
      <w:r w:rsidR="004D6EE3">
        <w:rPr>
          <w:sz w:val="22"/>
          <w:szCs w:val="22"/>
        </w:rPr>
        <w:t xml:space="preserve"> (investments)</w:t>
      </w:r>
      <w:r w:rsidRPr="00024D9B">
        <w:rPr>
          <w:sz w:val="22"/>
          <w:szCs w:val="22"/>
        </w:rPr>
        <w:t xml:space="preserve">.  </w:t>
      </w:r>
    </w:p>
    <w:p w:rsidR="00D90216" w:rsidRPr="008711E5" w:rsidRDefault="00D90216" w:rsidP="00D90216">
      <w:pPr>
        <w:spacing w:after="240"/>
        <w:ind w:left="720"/>
        <w:jc w:val="both"/>
        <w:rPr>
          <w:sz w:val="22"/>
          <w:szCs w:val="22"/>
        </w:rPr>
      </w:pPr>
      <w:r w:rsidRPr="00024D9B">
        <w:rPr>
          <w:sz w:val="22"/>
          <w:szCs w:val="22"/>
        </w:rPr>
        <w:t>Borrowings are not carried at fair value, so nominal gains and losses on fixed rate loans would not impact on the Deficit on the Provision of Services or Other Comprehensive Income and Expenditure.</w:t>
      </w:r>
      <w:r>
        <w:rPr>
          <w:sz w:val="22"/>
          <w:szCs w:val="22"/>
        </w:rPr>
        <w:t xml:space="preserve">  Instead, </w:t>
      </w:r>
      <w:r w:rsidRPr="008711E5">
        <w:rPr>
          <w:sz w:val="22"/>
          <w:szCs w:val="22"/>
        </w:rPr>
        <w:t>the effect of changes in market interest rates is to change the fair value of the liabilities reported in the notes to the balance sheet.  Fair values represent the amount due if debt is repaid before its maturity date. When the loans finally mature, they will be repayable at their nominal values.</w:t>
      </w:r>
    </w:p>
    <w:p w:rsidR="00D90216" w:rsidRPr="00C45FE5" w:rsidRDefault="00D90216" w:rsidP="00D90216">
      <w:pPr>
        <w:spacing w:after="240"/>
        <w:ind w:left="720"/>
        <w:jc w:val="both"/>
        <w:rPr>
          <w:sz w:val="22"/>
        </w:rPr>
      </w:pPr>
      <w:r w:rsidRPr="008711E5">
        <w:rPr>
          <w:sz w:val="22"/>
          <w:szCs w:val="22"/>
        </w:rPr>
        <w:t xml:space="preserve">Our financial assets are the cash deposits </w:t>
      </w:r>
      <w:r w:rsidR="004D6EE3">
        <w:rPr>
          <w:sz w:val="22"/>
          <w:szCs w:val="22"/>
        </w:rPr>
        <w:t>placed in a call account with</w:t>
      </w:r>
      <w:r w:rsidRPr="008711E5">
        <w:rPr>
          <w:sz w:val="22"/>
          <w:szCs w:val="22"/>
        </w:rPr>
        <w:t xml:space="preserve"> </w:t>
      </w:r>
      <w:r w:rsidR="004D6EE3" w:rsidRPr="00C45FE5">
        <w:rPr>
          <w:sz w:val="22"/>
          <w:szCs w:val="22"/>
        </w:rPr>
        <w:t xml:space="preserve">Lancashire </w:t>
      </w:r>
      <w:r w:rsidR="004D6EE3">
        <w:rPr>
          <w:sz w:val="22"/>
          <w:szCs w:val="22"/>
        </w:rPr>
        <w:t>County Council</w:t>
      </w:r>
      <w:r w:rsidRPr="008711E5">
        <w:rPr>
          <w:sz w:val="22"/>
          <w:szCs w:val="22"/>
        </w:rPr>
        <w:t xml:space="preserve">. Interest received on them is linked to the </w:t>
      </w:r>
      <w:r w:rsidR="004D6EE3">
        <w:rPr>
          <w:sz w:val="22"/>
          <w:szCs w:val="22"/>
        </w:rPr>
        <w:t>base rate</w:t>
      </w:r>
      <w:r w:rsidRPr="008711E5">
        <w:rPr>
          <w:sz w:val="22"/>
          <w:szCs w:val="22"/>
        </w:rPr>
        <w:t xml:space="preserve">. </w:t>
      </w:r>
      <w:r w:rsidR="00C45FE5" w:rsidRPr="00C45FE5">
        <w:rPr>
          <w:sz w:val="22"/>
          <w:szCs w:val="22"/>
        </w:rPr>
        <w:t xml:space="preserve">Each working day the balance on the Authority's </w:t>
      </w:r>
      <w:r w:rsidR="00C45FE5">
        <w:rPr>
          <w:sz w:val="22"/>
          <w:szCs w:val="22"/>
        </w:rPr>
        <w:t>Call</w:t>
      </w:r>
      <w:r w:rsidR="00C45FE5" w:rsidRPr="00C45FE5">
        <w:rPr>
          <w:sz w:val="22"/>
          <w:szCs w:val="22"/>
        </w:rPr>
        <w:t xml:space="preserve"> Account is invested to ensure that the interest </w:t>
      </w:r>
      <w:r w:rsidR="00C45FE5" w:rsidRPr="008C3052">
        <w:rPr>
          <w:sz w:val="22"/>
          <w:szCs w:val="22"/>
        </w:rPr>
        <w:t xml:space="preserve">received on surplus balances is </w:t>
      </w:r>
      <w:r w:rsidR="00C45FE5" w:rsidRPr="00131FE7">
        <w:rPr>
          <w:sz w:val="22"/>
          <w:szCs w:val="22"/>
        </w:rPr>
        <w:t xml:space="preserve">maximised. The average balance within this account throughout the year </w:t>
      </w:r>
      <w:r w:rsidR="00C45FE5" w:rsidRPr="00297754">
        <w:rPr>
          <w:sz w:val="22"/>
          <w:szCs w:val="22"/>
        </w:rPr>
        <w:t xml:space="preserve">was </w:t>
      </w:r>
      <w:r w:rsidR="008C3052" w:rsidRPr="00297754">
        <w:rPr>
          <w:sz w:val="22"/>
          <w:szCs w:val="22"/>
        </w:rPr>
        <w:t>£</w:t>
      </w:r>
      <w:r w:rsidR="00F80878" w:rsidRPr="00297754">
        <w:rPr>
          <w:sz w:val="22"/>
          <w:szCs w:val="22"/>
        </w:rPr>
        <w:t>3</w:t>
      </w:r>
      <w:r w:rsidR="00297754" w:rsidRPr="00297754">
        <w:rPr>
          <w:sz w:val="22"/>
          <w:szCs w:val="22"/>
        </w:rPr>
        <w:t>4</w:t>
      </w:r>
      <w:r w:rsidR="00DB4CF4" w:rsidRPr="00297754">
        <w:rPr>
          <w:sz w:val="22"/>
          <w:szCs w:val="22"/>
        </w:rPr>
        <w:t>.</w:t>
      </w:r>
      <w:r w:rsidR="00297754" w:rsidRPr="00297754">
        <w:rPr>
          <w:sz w:val="22"/>
          <w:szCs w:val="22"/>
        </w:rPr>
        <w:t>2</w:t>
      </w:r>
      <w:r w:rsidR="00C45FE5" w:rsidRPr="00297754">
        <w:rPr>
          <w:sz w:val="22"/>
          <w:szCs w:val="22"/>
        </w:rPr>
        <w:t xml:space="preserve"> million </w:t>
      </w:r>
      <w:r w:rsidRPr="00297754">
        <w:rPr>
          <w:sz w:val="22"/>
          <w:szCs w:val="22"/>
        </w:rPr>
        <w:t>and, with no change in that level of balances, a 1% increase in the market rate of interest, if sustained over the whole year would give rise to additional interest earned of £</w:t>
      </w:r>
      <w:r w:rsidR="00F80878" w:rsidRPr="00297754">
        <w:rPr>
          <w:sz w:val="22"/>
          <w:szCs w:val="22"/>
        </w:rPr>
        <w:t>3</w:t>
      </w:r>
      <w:r w:rsidR="00297754" w:rsidRPr="00297754">
        <w:rPr>
          <w:sz w:val="22"/>
          <w:szCs w:val="22"/>
        </w:rPr>
        <w:t>42</w:t>
      </w:r>
      <w:r w:rsidRPr="00297754">
        <w:rPr>
          <w:sz w:val="22"/>
          <w:szCs w:val="22"/>
        </w:rPr>
        <w:t>,</w:t>
      </w:r>
      <w:r w:rsidR="005D6A60" w:rsidRPr="00297754">
        <w:rPr>
          <w:sz w:val="22"/>
          <w:szCs w:val="22"/>
        </w:rPr>
        <w:t>000</w:t>
      </w:r>
      <w:r w:rsidRPr="00297754">
        <w:rPr>
          <w:sz w:val="22"/>
          <w:szCs w:val="22"/>
        </w:rPr>
        <w:t xml:space="preserve"> and a 1</w:t>
      </w:r>
      <w:r w:rsidRPr="00131FE7">
        <w:rPr>
          <w:sz w:val="22"/>
          <w:szCs w:val="22"/>
        </w:rPr>
        <w:t>% fall would give a reduction of the same amount.</w:t>
      </w:r>
      <w:r w:rsidRPr="00C45FE5">
        <w:rPr>
          <w:sz w:val="22"/>
          <w:szCs w:val="22"/>
        </w:rPr>
        <w:t xml:space="preserve"> </w:t>
      </w:r>
    </w:p>
    <w:p w:rsidR="00D90216" w:rsidRPr="001215AA" w:rsidRDefault="00D90216" w:rsidP="00D90216">
      <w:pPr>
        <w:jc w:val="both"/>
        <w:rPr>
          <w:b/>
          <w:sz w:val="22"/>
          <w:lang w:val="en-US"/>
        </w:rPr>
      </w:pPr>
      <w:r w:rsidRPr="008711E5">
        <w:rPr>
          <w:b/>
          <w:sz w:val="22"/>
          <w:lang w:val="en-US"/>
        </w:rPr>
        <w:t>2</w:t>
      </w:r>
      <w:r w:rsidR="006B0A70">
        <w:rPr>
          <w:b/>
          <w:sz w:val="22"/>
          <w:lang w:val="en-US"/>
        </w:rPr>
        <w:t>2</w:t>
      </w:r>
      <w:r w:rsidRPr="008711E5">
        <w:rPr>
          <w:b/>
          <w:sz w:val="22"/>
          <w:lang w:val="en-US"/>
        </w:rPr>
        <w:tab/>
      </w:r>
      <w:r w:rsidRPr="001215AA">
        <w:rPr>
          <w:b/>
          <w:sz w:val="22"/>
          <w:lang w:val="en-US"/>
        </w:rPr>
        <w:t>Local Autho</w:t>
      </w:r>
      <w:r w:rsidR="00B86715" w:rsidRPr="001215AA">
        <w:rPr>
          <w:b/>
          <w:sz w:val="22"/>
          <w:lang w:val="en-US"/>
        </w:rPr>
        <w:t xml:space="preserve">rity Controlled Company – NW </w:t>
      </w:r>
      <w:proofErr w:type="spellStart"/>
      <w:r w:rsidR="00B86715" w:rsidRPr="001215AA">
        <w:rPr>
          <w:b/>
          <w:sz w:val="22"/>
          <w:lang w:val="en-US"/>
        </w:rPr>
        <w:t>Fir</w:t>
      </w:r>
      <w:r w:rsidRPr="001215AA">
        <w:rPr>
          <w:b/>
          <w:sz w:val="22"/>
          <w:lang w:val="en-US"/>
        </w:rPr>
        <w:t>eControl</w:t>
      </w:r>
      <w:proofErr w:type="spellEnd"/>
      <w:r w:rsidRPr="001215AA">
        <w:rPr>
          <w:b/>
          <w:sz w:val="22"/>
          <w:lang w:val="en-US"/>
        </w:rPr>
        <w:t xml:space="preserve"> L</w:t>
      </w:r>
      <w:r w:rsidR="00B86715" w:rsidRPr="001215AA">
        <w:rPr>
          <w:b/>
          <w:sz w:val="22"/>
          <w:lang w:val="en-US"/>
        </w:rPr>
        <w:t>imi</w:t>
      </w:r>
      <w:r w:rsidRPr="001215AA">
        <w:rPr>
          <w:b/>
          <w:sz w:val="22"/>
          <w:lang w:val="en-US"/>
        </w:rPr>
        <w:t>t</w:t>
      </w:r>
      <w:r w:rsidR="00B86715" w:rsidRPr="001215AA">
        <w:rPr>
          <w:b/>
          <w:sz w:val="22"/>
          <w:lang w:val="en-US"/>
        </w:rPr>
        <w:t>e</w:t>
      </w:r>
      <w:r w:rsidRPr="001215AA">
        <w:rPr>
          <w:b/>
          <w:sz w:val="22"/>
          <w:lang w:val="en-US"/>
        </w:rPr>
        <w:t>d</w:t>
      </w:r>
    </w:p>
    <w:p w:rsidR="00B86715" w:rsidRPr="001215AA" w:rsidRDefault="00B86715" w:rsidP="00B86715">
      <w:pPr>
        <w:rPr>
          <w:rFonts w:cs="Arial"/>
          <w:b/>
          <w:szCs w:val="24"/>
          <w:u w:val="single"/>
          <w:lang w:eastAsia="en-GB"/>
        </w:rPr>
      </w:pPr>
    </w:p>
    <w:p w:rsidR="00B86715" w:rsidRPr="001215AA" w:rsidRDefault="00AF76C8" w:rsidP="00B86715">
      <w:pPr>
        <w:spacing w:after="240"/>
        <w:ind w:left="720"/>
        <w:jc w:val="both"/>
        <w:rPr>
          <w:rFonts w:cs="Arial"/>
          <w:sz w:val="22"/>
          <w:szCs w:val="22"/>
          <w:lang w:eastAsia="en-GB"/>
        </w:rPr>
      </w:pPr>
      <w:r w:rsidRPr="001215AA">
        <w:rPr>
          <w:rFonts w:cs="Arial"/>
          <w:sz w:val="22"/>
          <w:szCs w:val="22"/>
          <w:lang w:eastAsia="en-GB"/>
        </w:rPr>
        <w:t xml:space="preserve">NW </w:t>
      </w:r>
      <w:proofErr w:type="spellStart"/>
      <w:r w:rsidRPr="001215AA">
        <w:rPr>
          <w:rFonts w:cs="Arial"/>
          <w:sz w:val="22"/>
          <w:szCs w:val="22"/>
          <w:lang w:eastAsia="en-GB"/>
        </w:rPr>
        <w:t>Fire</w:t>
      </w:r>
      <w:r w:rsidR="00B86715" w:rsidRPr="001215AA">
        <w:rPr>
          <w:rFonts w:cs="Arial"/>
          <w:sz w:val="22"/>
          <w:szCs w:val="22"/>
          <w:lang w:eastAsia="en-GB"/>
        </w:rPr>
        <w:t>Control</w:t>
      </w:r>
      <w:proofErr w:type="spellEnd"/>
      <w:r w:rsidR="00B86715" w:rsidRPr="001215AA">
        <w:rPr>
          <w:rFonts w:cs="Arial"/>
          <w:sz w:val="22"/>
          <w:szCs w:val="22"/>
          <w:lang w:eastAsia="en-GB"/>
        </w:rPr>
        <w:t xml:space="preserve"> Limited is a company limited by guarantee with the responsibility for Fire and Rescue Service mobilisation for the North West region. The Company has four members which are Cheshire, </w:t>
      </w:r>
      <w:r w:rsidR="00B86715" w:rsidRPr="001215AA">
        <w:rPr>
          <w:rFonts w:cs="Arial"/>
          <w:sz w:val="22"/>
          <w:szCs w:val="22"/>
        </w:rPr>
        <w:t>Cumbria</w:t>
      </w:r>
      <w:r w:rsidR="00B86715" w:rsidRPr="001215AA">
        <w:rPr>
          <w:rFonts w:cs="Arial"/>
          <w:sz w:val="22"/>
          <w:szCs w:val="22"/>
          <w:lang w:eastAsia="en-GB"/>
        </w:rPr>
        <w:t xml:space="preserve">, Greater Manchester and Lancashire Fire &amp; Rescue Authorities (FRAs). The liability of each member in the event of the company being wound up is limited and shall not exceed £1. Each member of the company has the right to appoint 2 directors, who </w:t>
      </w:r>
      <w:proofErr w:type="gramStart"/>
      <w:r w:rsidR="00B86715" w:rsidRPr="001215AA">
        <w:rPr>
          <w:rFonts w:cs="Arial"/>
          <w:sz w:val="22"/>
          <w:szCs w:val="22"/>
          <w:lang w:eastAsia="en-GB"/>
        </w:rPr>
        <w:t>are Councillors</w:t>
      </w:r>
      <w:proofErr w:type="gramEnd"/>
      <w:r w:rsidR="00B86715" w:rsidRPr="001215AA">
        <w:rPr>
          <w:rFonts w:cs="Arial"/>
          <w:sz w:val="22"/>
          <w:szCs w:val="22"/>
          <w:lang w:eastAsia="en-GB"/>
        </w:rPr>
        <w:t xml:space="preserve"> appointed to their respective FRAs.  All directors have equal voting rights.</w:t>
      </w:r>
    </w:p>
    <w:p w:rsidR="009B6312" w:rsidRPr="001215AA" w:rsidRDefault="009B6312" w:rsidP="00011E3D">
      <w:pPr>
        <w:spacing w:after="240"/>
        <w:ind w:left="720"/>
        <w:jc w:val="both"/>
        <w:rPr>
          <w:rFonts w:cs="Arial"/>
          <w:sz w:val="22"/>
          <w:szCs w:val="22"/>
          <w:lang w:eastAsia="en-GB"/>
        </w:rPr>
      </w:pPr>
      <w:r w:rsidRPr="001215AA">
        <w:rPr>
          <w:rFonts w:cs="Arial"/>
          <w:sz w:val="22"/>
          <w:szCs w:val="22"/>
          <w:lang w:eastAsia="en-GB"/>
        </w:rPr>
        <w:lastRenderedPageBreak/>
        <w:t>During May 2014 all four services transferred their Control Room functions into the regionali</w:t>
      </w:r>
      <w:r w:rsidR="00E87D8D" w:rsidRPr="001215AA">
        <w:rPr>
          <w:rFonts w:cs="Arial"/>
          <w:sz w:val="22"/>
          <w:szCs w:val="22"/>
          <w:lang w:eastAsia="en-GB"/>
        </w:rPr>
        <w:t xml:space="preserve">sed service provided by NW </w:t>
      </w:r>
      <w:proofErr w:type="spellStart"/>
      <w:r w:rsidR="00E87D8D" w:rsidRPr="001215AA">
        <w:rPr>
          <w:rFonts w:cs="Arial"/>
          <w:sz w:val="22"/>
          <w:szCs w:val="22"/>
          <w:lang w:eastAsia="en-GB"/>
        </w:rPr>
        <w:t>Fire</w:t>
      </w:r>
      <w:r w:rsidRPr="001215AA">
        <w:rPr>
          <w:rFonts w:cs="Arial"/>
          <w:sz w:val="22"/>
          <w:szCs w:val="22"/>
          <w:lang w:eastAsia="en-GB"/>
        </w:rPr>
        <w:t>Control</w:t>
      </w:r>
      <w:proofErr w:type="spellEnd"/>
      <w:r w:rsidRPr="001215AA">
        <w:rPr>
          <w:rFonts w:cs="Arial"/>
          <w:sz w:val="22"/>
          <w:szCs w:val="22"/>
          <w:lang w:eastAsia="en-GB"/>
        </w:rPr>
        <w:t xml:space="preserve"> </w:t>
      </w:r>
      <w:r w:rsidR="002B520D" w:rsidRPr="001215AA">
        <w:rPr>
          <w:rFonts w:cs="Arial"/>
          <w:sz w:val="22"/>
          <w:szCs w:val="22"/>
          <w:lang w:eastAsia="en-GB"/>
        </w:rPr>
        <w:t>Limited</w:t>
      </w:r>
      <w:r w:rsidRPr="001215AA">
        <w:rPr>
          <w:rFonts w:cs="Arial"/>
          <w:sz w:val="22"/>
          <w:szCs w:val="22"/>
          <w:lang w:eastAsia="en-GB"/>
        </w:rPr>
        <w:t xml:space="preserve">. The cost of the service is charged out to the four FRAs on an agreed pro rata basis agreed by a Service Level Agreement. The implementation phase continued to be funded by a section 31 grant from the Department for Communities and Local Government plus an ongoing grant to fund 66% of the lease costs for the building. The grant is paid to Greater Manchester Fire &amp; Rescue Authority as lead authority for the North West region and released to the company as required. </w:t>
      </w:r>
      <w:r w:rsidR="00011E3D" w:rsidRPr="001215AA">
        <w:rPr>
          <w:rFonts w:cs="Arial"/>
          <w:sz w:val="22"/>
          <w:szCs w:val="22"/>
          <w:lang w:eastAsia="en-GB"/>
        </w:rPr>
        <w:t>From 8th May 2017 Greater Manchester Fire and Rescue Service transferred into the Greater Manchester Combined Authori</w:t>
      </w:r>
      <w:r w:rsidR="0037293D" w:rsidRPr="001215AA">
        <w:rPr>
          <w:rFonts w:cs="Arial"/>
          <w:sz w:val="22"/>
          <w:szCs w:val="22"/>
          <w:lang w:eastAsia="en-GB"/>
        </w:rPr>
        <w:t xml:space="preserve">ty and the ownership of NW </w:t>
      </w:r>
      <w:proofErr w:type="spellStart"/>
      <w:r w:rsidR="0037293D" w:rsidRPr="001215AA">
        <w:rPr>
          <w:rFonts w:cs="Arial"/>
          <w:sz w:val="22"/>
          <w:szCs w:val="22"/>
          <w:lang w:eastAsia="en-GB"/>
        </w:rPr>
        <w:t>Fire</w:t>
      </w:r>
      <w:r w:rsidR="00011E3D" w:rsidRPr="001215AA">
        <w:rPr>
          <w:rFonts w:cs="Arial"/>
          <w:sz w:val="22"/>
          <w:szCs w:val="22"/>
          <w:lang w:eastAsia="en-GB"/>
        </w:rPr>
        <w:t>Control</w:t>
      </w:r>
      <w:proofErr w:type="spellEnd"/>
      <w:r w:rsidR="00011E3D" w:rsidRPr="001215AA">
        <w:rPr>
          <w:rFonts w:cs="Arial"/>
          <w:sz w:val="22"/>
          <w:szCs w:val="22"/>
          <w:lang w:eastAsia="en-GB"/>
        </w:rPr>
        <w:t xml:space="preserve"> </w:t>
      </w:r>
      <w:r w:rsidR="002B520D" w:rsidRPr="001215AA">
        <w:rPr>
          <w:rFonts w:cs="Arial"/>
          <w:sz w:val="22"/>
          <w:szCs w:val="22"/>
          <w:lang w:eastAsia="en-GB"/>
        </w:rPr>
        <w:t xml:space="preserve">Limited </w:t>
      </w:r>
      <w:r w:rsidR="00011E3D" w:rsidRPr="001215AA">
        <w:rPr>
          <w:rFonts w:cs="Arial"/>
          <w:sz w:val="22"/>
          <w:szCs w:val="22"/>
          <w:lang w:eastAsia="en-GB"/>
        </w:rPr>
        <w:t>therefore also transfers.</w:t>
      </w:r>
    </w:p>
    <w:p w:rsidR="009B6312" w:rsidRPr="001215AA" w:rsidRDefault="009B6312" w:rsidP="009B6312">
      <w:pPr>
        <w:spacing w:after="240"/>
        <w:ind w:left="720"/>
        <w:jc w:val="both"/>
        <w:rPr>
          <w:rFonts w:cs="Arial"/>
          <w:sz w:val="22"/>
          <w:szCs w:val="22"/>
          <w:lang w:eastAsia="en-GB"/>
        </w:rPr>
      </w:pPr>
      <w:r w:rsidRPr="001215AA">
        <w:rPr>
          <w:rFonts w:cs="Arial"/>
          <w:sz w:val="22"/>
          <w:szCs w:val="22"/>
          <w:lang w:eastAsia="en-GB"/>
        </w:rPr>
        <w:t>A detailed assessment for Group Accounting requirements has taken place during 201</w:t>
      </w:r>
      <w:r w:rsidR="001215AA" w:rsidRPr="001215AA">
        <w:rPr>
          <w:rFonts w:cs="Arial"/>
          <w:sz w:val="22"/>
          <w:szCs w:val="22"/>
          <w:lang w:eastAsia="en-GB"/>
        </w:rPr>
        <w:t>7/</w:t>
      </w:r>
      <w:r w:rsidRPr="001215AA">
        <w:rPr>
          <w:rFonts w:cs="Arial"/>
          <w:sz w:val="22"/>
          <w:szCs w:val="22"/>
          <w:lang w:eastAsia="en-GB"/>
        </w:rPr>
        <w:t>1</w:t>
      </w:r>
      <w:r w:rsidR="001215AA" w:rsidRPr="001215AA">
        <w:rPr>
          <w:rFonts w:cs="Arial"/>
          <w:sz w:val="22"/>
          <w:szCs w:val="22"/>
          <w:lang w:eastAsia="en-GB"/>
        </w:rPr>
        <w:t>8</w:t>
      </w:r>
      <w:r w:rsidR="0037293D" w:rsidRPr="001215AA">
        <w:rPr>
          <w:rFonts w:cs="Arial"/>
          <w:sz w:val="22"/>
          <w:szCs w:val="22"/>
          <w:lang w:eastAsia="en-GB"/>
        </w:rPr>
        <w:t xml:space="preserve"> in respect of NW </w:t>
      </w:r>
      <w:proofErr w:type="spellStart"/>
      <w:r w:rsidR="0037293D" w:rsidRPr="001215AA">
        <w:rPr>
          <w:rFonts w:cs="Arial"/>
          <w:sz w:val="22"/>
          <w:szCs w:val="22"/>
          <w:lang w:eastAsia="en-GB"/>
        </w:rPr>
        <w:t>Fire</w:t>
      </w:r>
      <w:r w:rsidRPr="001215AA">
        <w:rPr>
          <w:rFonts w:cs="Arial"/>
          <w:sz w:val="22"/>
          <w:szCs w:val="22"/>
          <w:lang w:eastAsia="en-GB"/>
        </w:rPr>
        <w:t>Control</w:t>
      </w:r>
      <w:proofErr w:type="spellEnd"/>
      <w:r w:rsidRPr="001215AA">
        <w:rPr>
          <w:rFonts w:cs="Arial"/>
          <w:sz w:val="22"/>
          <w:szCs w:val="22"/>
          <w:lang w:eastAsia="en-GB"/>
        </w:rPr>
        <w:t xml:space="preserve"> </w:t>
      </w:r>
      <w:r w:rsidR="002B520D" w:rsidRPr="001215AA">
        <w:rPr>
          <w:rFonts w:cs="Arial"/>
          <w:sz w:val="22"/>
          <w:szCs w:val="22"/>
          <w:lang w:eastAsia="en-GB"/>
        </w:rPr>
        <w:t>Limited</w:t>
      </w:r>
      <w:r w:rsidRPr="001215AA">
        <w:rPr>
          <w:rFonts w:cs="Arial"/>
          <w:sz w:val="22"/>
          <w:szCs w:val="22"/>
          <w:lang w:eastAsia="en-GB"/>
        </w:rPr>
        <w:t>. This is in accordance with the Code of Practice on Local Authority Accounting in the United Kingdom Based on International Financial Reporting Standards (IFRS 10, 11 &amp; 12).</w:t>
      </w:r>
    </w:p>
    <w:p w:rsidR="009B6312" w:rsidRPr="001215AA" w:rsidRDefault="009B6312" w:rsidP="009B6312">
      <w:pPr>
        <w:spacing w:after="240"/>
        <w:ind w:left="720"/>
        <w:jc w:val="both"/>
        <w:rPr>
          <w:rFonts w:cs="Arial"/>
          <w:sz w:val="22"/>
          <w:szCs w:val="22"/>
          <w:lang w:eastAsia="en-GB"/>
        </w:rPr>
      </w:pPr>
      <w:r w:rsidRPr="001215AA">
        <w:rPr>
          <w:rFonts w:cs="Arial"/>
          <w:sz w:val="22"/>
          <w:szCs w:val="22"/>
          <w:lang w:eastAsia="en-GB"/>
        </w:rPr>
        <w:t>It has been determined that the company is governed by Joint Control due to the fact that unanimous consent exists for key decisions and that each Authority has equal voting rights. This joint arrangement has been deemed to be a Joint Operation as the parties have rights to the assets, and obligations for the liabilities relating to the arrangement.</w:t>
      </w:r>
    </w:p>
    <w:p w:rsidR="007A2AEE" w:rsidRPr="00752443" w:rsidRDefault="00051046" w:rsidP="00882E25">
      <w:pPr>
        <w:numPr>
          <w:ilvl w:val="0"/>
          <w:numId w:val="6"/>
        </w:numPr>
        <w:tabs>
          <w:tab w:val="clear" w:pos="5400"/>
          <w:tab w:val="num" w:pos="1080"/>
        </w:tabs>
        <w:ind w:left="1080"/>
        <w:rPr>
          <w:rFonts w:cs="Arial"/>
          <w:sz w:val="22"/>
          <w:szCs w:val="22"/>
        </w:rPr>
      </w:pPr>
      <w:r>
        <w:rPr>
          <w:rFonts w:cs="Arial"/>
          <w:sz w:val="22"/>
          <w:szCs w:val="22"/>
          <w:lang w:eastAsia="en-GB"/>
        </w:rPr>
        <w:t xml:space="preserve">Previously the NWFC accounts had not been recognised within the Authority’s financial statements, however following on from the 2016/17 Audit Findings Report, we have now restated the 2016/17 accounts for these, and also included within the 2017/18 accounts since the draft accounts were presented in May.  This change has inevitably changed almost every single note to the accounts, in addition to the four core statements. </w:t>
      </w:r>
    </w:p>
    <w:p w:rsidR="007A2AEE" w:rsidRDefault="007A2AEE" w:rsidP="007A2AEE">
      <w:pPr>
        <w:rPr>
          <w:rFonts w:cs="Arial"/>
          <w:sz w:val="22"/>
          <w:szCs w:val="22"/>
        </w:rPr>
      </w:pPr>
    </w:p>
    <w:p w:rsidR="00F06F0B" w:rsidRPr="001215AA" w:rsidRDefault="00F06F0B" w:rsidP="00F06F0B">
      <w:pPr>
        <w:ind w:left="709"/>
        <w:rPr>
          <w:rFonts w:cs="Arial"/>
          <w:sz w:val="22"/>
          <w:szCs w:val="22"/>
        </w:rPr>
      </w:pPr>
      <w:r w:rsidRPr="001215AA">
        <w:rPr>
          <w:rFonts w:cs="Arial"/>
          <w:sz w:val="22"/>
          <w:szCs w:val="22"/>
        </w:rPr>
        <w:t xml:space="preserve">Below shows the key Information from the Draft </w:t>
      </w:r>
      <w:r w:rsidR="0037293D" w:rsidRPr="001215AA">
        <w:rPr>
          <w:rFonts w:cs="Arial"/>
          <w:sz w:val="22"/>
          <w:szCs w:val="22"/>
        </w:rPr>
        <w:t xml:space="preserve">Financial Statements of NW </w:t>
      </w:r>
      <w:proofErr w:type="spellStart"/>
      <w:r w:rsidR="0037293D" w:rsidRPr="001215AA">
        <w:rPr>
          <w:rFonts w:cs="Arial"/>
          <w:sz w:val="22"/>
          <w:szCs w:val="22"/>
        </w:rPr>
        <w:t>Fire</w:t>
      </w:r>
      <w:r w:rsidRPr="001215AA">
        <w:rPr>
          <w:rFonts w:cs="Arial"/>
          <w:sz w:val="22"/>
          <w:szCs w:val="22"/>
        </w:rPr>
        <w:t>Control</w:t>
      </w:r>
      <w:proofErr w:type="spellEnd"/>
      <w:r w:rsidRPr="001215AA">
        <w:rPr>
          <w:rFonts w:cs="Arial"/>
          <w:sz w:val="22"/>
          <w:szCs w:val="22"/>
        </w:rPr>
        <w:t xml:space="preserve"> </w:t>
      </w:r>
      <w:r w:rsidR="002B520D" w:rsidRPr="001215AA">
        <w:rPr>
          <w:rFonts w:cs="Arial"/>
          <w:sz w:val="22"/>
          <w:szCs w:val="22"/>
          <w:lang w:eastAsia="en-GB"/>
        </w:rPr>
        <w:t>Limited</w:t>
      </w:r>
      <w:r w:rsidRPr="001215AA">
        <w:rPr>
          <w:rFonts w:cs="Arial"/>
          <w:sz w:val="22"/>
          <w:szCs w:val="22"/>
        </w:rPr>
        <w:t>:</w:t>
      </w:r>
    </w:p>
    <w:p w:rsidR="00F800C7" w:rsidRPr="001215AA" w:rsidRDefault="00F800C7" w:rsidP="00F800C7">
      <w:pPr>
        <w:rPr>
          <w:rFonts w:cs="Arial"/>
          <w:sz w:val="22"/>
          <w:szCs w:val="22"/>
        </w:rPr>
      </w:pPr>
    </w:p>
    <w:tbl>
      <w:tblPr>
        <w:tblW w:w="838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149"/>
        <w:gridCol w:w="2410"/>
      </w:tblGrid>
      <w:tr w:rsidR="00F06F0B" w:rsidRPr="006B0A70" w:rsidTr="009B6312">
        <w:tc>
          <w:tcPr>
            <w:tcW w:w="3827" w:type="dxa"/>
            <w:shd w:val="clear" w:color="auto" w:fill="auto"/>
          </w:tcPr>
          <w:p w:rsidR="00F06F0B" w:rsidRPr="001215AA" w:rsidRDefault="00F06F0B" w:rsidP="00DD6895">
            <w:pPr>
              <w:rPr>
                <w:rFonts w:cs="Arial"/>
                <w:sz w:val="22"/>
                <w:szCs w:val="22"/>
              </w:rPr>
            </w:pPr>
            <w:r w:rsidRPr="001215AA">
              <w:rPr>
                <w:rFonts w:cs="Arial"/>
                <w:sz w:val="22"/>
                <w:szCs w:val="22"/>
              </w:rPr>
              <w:t>Key Information</w:t>
            </w:r>
          </w:p>
        </w:tc>
        <w:tc>
          <w:tcPr>
            <w:tcW w:w="2149" w:type="dxa"/>
            <w:shd w:val="clear" w:color="auto" w:fill="auto"/>
          </w:tcPr>
          <w:p w:rsidR="00F06F0B" w:rsidRPr="001215AA" w:rsidRDefault="00F06F0B" w:rsidP="00D72DD9">
            <w:pPr>
              <w:jc w:val="center"/>
              <w:rPr>
                <w:rFonts w:cs="Arial"/>
                <w:sz w:val="22"/>
                <w:szCs w:val="22"/>
              </w:rPr>
            </w:pPr>
            <w:r w:rsidRPr="001215AA">
              <w:rPr>
                <w:rFonts w:cs="Arial"/>
                <w:sz w:val="22"/>
                <w:szCs w:val="22"/>
              </w:rPr>
              <w:t>Year ended</w:t>
            </w:r>
          </w:p>
          <w:p w:rsidR="00F06F0B" w:rsidRPr="001215AA" w:rsidRDefault="00F06F0B" w:rsidP="00D72DD9">
            <w:pPr>
              <w:jc w:val="center"/>
              <w:rPr>
                <w:rFonts w:cs="Arial"/>
                <w:sz w:val="22"/>
                <w:szCs w:val="22"/>
              </w:rPr>
            </w:pPr>
            <w:r w:rsidRPr="001215AA">
              <w:rPr>
                <w:rFonts w:cs="Arial"/>
                <w:sz w:val="22"/>
                <w:szCs w:val="22"/>
              </w:rPr>
              <w:t>31 March 201</w:t>
            </w:r>
            <w:r w:rsidR="001215AA" w:rsidRPr="001215AA">
              <w:rPr>
                <w:rFonts w:cs="Arial"/>
                <w:sz w:val="22"/>
                <w:szCs w:val="22"/>
              </w:rPr>
              <w:t>8</w:t>
            </w:r>
          </w:p>
          <w:p w:rsidR="00F06F0B" w:rsidRPr="001215AA" w:rsidRDefault="00F06F0B" w:rsidP="00D72DD9">
            <w:pPr>
              <w:jc w:val="center"/>
              <w:rPr>
                <w:rFonts w:cs="Arial"/>
                <w:sz w:val="22"/>
                <w:szCs w:val="22"/>
              </w:rPr>
            </w:pPr>
            <w:r w:rsidRPr="001215AA">
              <w:rPr>
                <w:rFonts w:cs="Arial"/>
                <w:sz w:val="22"/>
                <w:szCs w:val="22"/>
              </w:rPr>
              <w:t>£000</w:t>
            </w:r>
          </w:p>
        </w:tc>
        <w:tc>
          <w:tcPr>
            <w:tcW w:w="2410" w:type="dxa"/>
            <w:shd w:val="clear" w:color="auto" w:fill="auto"/>
          </w:tcPr>
          <w:p w:rsidR="00F06F0B" w:rsidRPr="001215AA" w:rsidRDefault="00F06F0B" w:rsidP="00D72DD9">
            <w:pPr>
              <w:jc w:val="center"/>
              <w:rPr>
                <w:rFonts w:cs="Arial"/>
                <w:sz w:val="22"/>
                <w:szCs w:val="22"/>
              </w:rPr>
            </w:pPr>
            <w:r w:rsidRPr="001215AA">
              <w:rPr>
                <w:rFonts w:cs="Arial"/>
                <w:sz w:val="22"/>
                <w:szCs w:val="22"/>
              </w:rPr>
              <w:t>Year ended</w:t>
            </w:r>
          </w:p>
          <w:p w:rsidR="00F06F0B" w:rsidRPr="001215AA" w:rsidRDefault="00F06F0B" w:rsidP="00D72DD9">
            <w:pPr>
              <w:jc w:val="center"/>
              <w:rPr>
                <w:rFonts w:cs="Arial"/>
                <w:sz w:val="22"/>
                <w:szCs w:val="22"/>
              </w:rPr>
            </w:pPr>
            <w:r w:rsidRPr="001215AA">
              <w:rPr>
                <w:rFonts w:cs="Arial"/>
                <w:sz w:val="22"/>
                <w:szCs w:val="22"/>
              </w:rPr>
              <w:t>31 March 201</w:t>
            </w:r>
            <w:r w:rsidR="001215AA" w:rsidRPr="001215AA">
              <w:rPr>
                <w:rFonts w:cs="Arial"/>
                <w:sz w:val="22"/>
                <w:szCs w:val="22"/>
              </w:rPr>
              <w:t>7</w:t>
            </w:r>
          </w:p>
          <w:p w:rsidR="00F06F0B" w:rsidRPr="001215AA" w:rsidRDefault="00F06F0B" w:rsidP="00D72DD9">
            <w:pPr>
              <w:jc w:val="center"/>
              <w:rPr>
                <w:rFonts w:cs="Arial"/>
                <w:sz w:val="22"/>
                <w:szCs w:val="22"/>
              </w:rPr>
            </w:pPr>
            <w:r w:rsidRPr="001215AA">
              <w:rPr>
                <w:rFonts w:cs="Arial"/>
                <w:sz w:val="22"/>
                <w:szCs w:val="22"/>
              </w:rPr>
              <w:t>£000</w:t>
            </w:r>
          </w:p>
        </w:tc>
      </w:tr>
      <w:tr w:rsidR="001215AA" w:rsidRPr="006B0A70" w:rsidTr="009B6312">
        <w:tc>
          <w:tcPr>
            <w:tcW w:w="3827" w:type="dxa"/>
            <w:shd w:val="clear" w:color="auto" w:fill="auto"/>
          </w:tcPr>
          <w:p w:rsidR="001215AA" w:rsidRPr="00447996" w:rsidRDefault="001215AA" w:rsidP="00DD6895">
            <w:pPr>
              <w:rPr>
                <w:rFonts w:cs="Arial"/>
                <w:sz w:val="22"/>
                <w:szCs w:val="22"/>
              </w:rPr>
            </w:pPr>
            <w:r w:rsidRPr="00447996">
              <w:rPr>
                <w:rFonts w:cs="Arial"/>
                <w:sz w:val="22"/>
                <w:szCs w:val="22"/>
              </w:rPr>
              <w:t>Total assets less Current Liabilities</w:t>
            </w:r>
          </w:p>
        </w:tc>
        <w:tc>
          <w:tcPr>
            <w:tcW w:w="2149" w:type="dxa"/>
            <w:shd w:val="clear" w:color="auto" w:fill="auto"/>
          </w:tcPr>
          <w:p w:rsidR="001215AA" w:rsidRPr="00447996" w:rsidRDefault="00447996" w:rsidP="00D72DD9">
            <w:pPr>
              <w:jc w:val="center"/>
              <w:rPr>
                <w:rFonts w:cs="Arial"/>
                <w:sz w:val="22"/>
                <w:szCs w:val="22"/>
              </w:rPr>
            </w:pPr>
            <w:r w:rsidRPr="00447996">
              <w:rPr>
                <w:rFonts w:cs="Arial"/>
                <w:sz w:val="22"/>
                <w:szCs w:val="22"/>
              </w:rPr>
              <w:t>285</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263</w:t>
            </w:r>
          </w:p>
        </w:tc>
      </w:tr>
      <w:tr w:rsidR="001215AA" w:rsidRPr="006B0A70" w:rsidTr="009B6312">
        <w:tc>
          <w:tcPr>
            <w:tcW w:w="3827" w:type="dxa"/>
            <w:shd w:val="clear" w:color="auto" w:fill="auto"/>
          </w:tcPr>
          <w:p w:rsidR="001215AA" w:rsidRPr="00447996" w:rsidRDefault="001215AA" w:rsidP="003D5B22">
            <w:pPr>
              <w:rPr>
                <w:rFonts w:cs="Arial"/>
                <w:sz w:val="22"/>
                <w:szCs w:val="22"/>
              </w:rPr>
            </w:pPr>
            <w:r w:rsidRPr="00447996">
              <w:rPr>
                <w:rFonts w:cs="Arial"/>
                <w:sz w:val="22"/>
                <w:szCs w:val="22"/>
              </w:rPr>
              <w:t>Net assets*</w:t>
            </w:r>
          </w:p>
        </w:tc>
        <w:tc>
          <w:tcPr>
            <w:tcW w:w="2149" w:type="dxa"/>
            <w:shd w:val="clear" w:color="auto" w:fill="auto"/>
          </w:tcPr>
          <w:p w:rsidR="001215AA" w:rsidRPr="00447996" w:rsidRDefault="00447996" w:rsidP="00B67A31">
            <w:pPr>
              <w:jc w:val="center"/>
              <w:rPr>
                <w:rFonts w:cs="Arial"/>
                <w:sz w:val="22"/>
                <w:szCs w:val="22"/>
              </w:rPr>
            </w:pPr>
            <w:r w:rsidRPr="00447996">
              <w:rPr>
                <w:rFonts w:cs="Arial"/>
                <w:sz w:val="22"/>
                <w:szCs w:val="22"/>
              </w:rPr>
              <w:t>(2,859)</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(2,831)</w:t>
            </w:r>
          </w:p>
        </w:tc>
      </w:tr>
      <w:tr w:rsidR="001215AA" w:rsidRPr="006B0A70" w:rsidTr="009B6312">
        <w:tc>
          <w:tcPr>
            <w:tcW w:w="3827" w:type="dxa"/>
            <w:shd w:val="clear" w:color="auto" w:fill="auto"/>
          </w:tcPr>
          <w:p w:rsidR="001215AA" w:rsidRPr="00447996" w:rsidRDefault="001215AA" w:rsidP="00447996">
            <w:pPr>
              <w:rPr>
                <w:rFonts w:cs="Arial"/>
                <w:sz w:val="22"/>
                <w:szCs w:val="22"/>
              </w:rPr>
            </w:pPr>
            <w:r w:rsidRPr="00447996">
              <w:rPr>
                <w:rFonts w:cs="Arial"/>
                <w:sz w:val="22"/>
                <w:szCs w:val="22"/>
              </w:rPr>
              <w:t>(Loss) Before Taxation</w:t>
            </w:r>
          </w:p>
        </w:tc>
        <w:tc>
          <w:tcPr>
            <w:tcW w:w="2149" w:type="dxa"/>
            <w:shd w:val="clear" w:color="auto" w:fill="auto"/>
          </w:tcPr>
          <w:p w:rsidR="001215AA" w:rsidRPr="00447996" w:rsidRDefault="00447996" w:rsidP="00B67A31">
            <w:pPr>
              <w:jc w:val="center"/>
              <w:rPr>
                <w:rFonts w:cs="Arial"/>
                <w:sz w:val="22"/>
                <w:szCs w:val="22"/>
              </w:rPr>
            </w:pPr>
            <w:r w:rsidRPr="00447996">
              <w:rPr>
                <w:rFonts w:cs="Arial"/>
                <w:sz w:val="22"/>
                <w:szCs w:val="22"/>
              </w:rPr>
              <w:t>(427)</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(99)</w:t>
            </w:r>
          </w:p>
        </w:tc>
      </w:tr>
      <w:tr w:rsidR="001215AA" w:rsidRPr="006B0A70" w:rsidTr="009B6312">
        <w:tc>
          <w:tcPr>
            <w:tcW w:w="3827" w:type="dxa"/>
            <w:shd w:val="clear" w:color="auto" w:fill="auto"/>
          </w:tcPr>
          <w:p w:rsidR="001215AA" w:rsidRPr="00447996" w:rsidRDefault="001215AA" w:rsidP="00DD6895">
            <w:pPr>
              <w:rPr>
                <w:rFonts w:cs="Arial"/>
                <w:sz w:val="22"/>
                <w:szCs w:val="22"/>
              </w:rPr>
            </w:pPr>
            <w:r w:rsidRPr="00447996">
              <w:rPr>
                <w:rFonts w:cs="Arial"/>
                <w:sz w:val="22"/>
                <w:szCs w:val="22"/>
              </w:rPr>
              <w:t>(Loss) After Taxation</w:t>
            </w:r>
          </w:p>
        </w:tc>
        <w:tc>
          <w:tcPr>
            <w:tcW w:w="2149" w:type="dxa"/>
            <w:shd w:val="clear" w:color="auto" w:fill="auto"/>
          </w:tcPr>
          <w:p w:rsidR="001215AA" w:rsidRPr="00447996" w:rsidRDefault="00447996" w:rsidP="00B67A31">
            <w:pPr>
              <w:jc w:val="center"/>
              <w:rPr>
                <w:rFonts w:cs="Arial"/>
                <w:sz w:val="22"/>
                <w:szCs w:val="22"/>
              </w:rPr>
            </w:pPr>
            <w:r w:rsidRPr="00447996">
              <w:rPr>
                <w:rFonts w:cs="Arial"/>
                <w:sz w:val="22"/>
                <w:szCs w:val="22"/>
              </w:rPr>
              <w:t>(432)</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(105)</w:t>
            </w:r>
          </w:p>
        </w:tc>
      </w:tr>
      <w:tr w:rsidR="001215AA" w:rsidRPr="006B0A70" w:rsidTr="009B6312">
        <w:tc>
          <w:tcPr>
            <w:tcW w:w="3827" w:type="dxa"/>
            <w:shd w:val="clear" w:color="auto" w:fill="auto"/>
          </w:tcPr>
          <w:p w:rsidR="001215AA" w:rsidRPr="00850B65" w:rsidRDefault="001215AA" w:rsidP="005F1586">
            <w:pPr>
              <w:rPr>
                <w:rFonts w:cs="Arial"/>
                <w:sz w:val="22"/>
                <w:szCs w:val="22"/>
              </w:rPr>
            </w:pPr>
            <w:r w:rsidRPr="00850B65">
              <w:rPr>
                <w:rFonts w:cs="Arial"/>
                <w:sz w:val="22"/>
                <w:szCs w:val="22"/>
              </w:rPr>
              <w:t>Debtor Balance (LFRS)</w:t>
            </w:r>
          </w:p>
        </w:tc>
        <w:tc>
          <w:tcPr>
            <w:tcW w:w="2149" w:type="dxa"/>
            <w:shd w:val="clear" w:color="auto" w:fill="auto"/>
          </w:tcPr>
          <w:p w:rsidR="001215AA" w:rsidRPr="00850B65" w:rsidRDefault="00850B65" w:rsidP="00B67A31">
            <w:pPr>
              <w:jc w:val="center"/>
              <w:rPr>
                <w:rFonts w:cs="Arial"/>
                <w:sz w:val="22"/>
                <w:szCs w:val="22"/>
              </w:rPr>
            </w:pPr>
            <w:r w:rsidRPr="00850B65">
              <w:rPr>
                <w:rFonts w:cs="Arial"/>
                <w:sz w:val="22"/>
                <w:szCs w:val="22"/>
              </w:rPr>
              <w:t>296</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287</w:t>
            </w:r>
          </w:p>
        </w:tc>
      </w:tr>
      <w:tr w:rsidR="001215AA" w:rsidRPr="006B0A70" w:rsidTr="009B6312">
        <w:tc>
          <w:tcPr>
            <w:tcW w:w="3827" w:type="dxa"/>
            <w:shd w:val="clear" w:color="auto" w:fill="auto"/>
          </w:tcPr>
          <w:p w:rsidR="001215AA" w:rsidRPr="00850B65" w:rsidRDefault="001215AA" w:rsidP="005F1586">
            <w:pPr>
              <w:rPr>
                <w:rFonts w:cs="Arial"/>
                <w:sz w:val="22"/>
                <w:szCs w:val="22"/>
              </w:rPr>
            </w:pPr>
            <w:r w:rsidRPr="00850B65">
              <w:rPr>
                <w:rFonts w:cs="Arial"/>
                <w:sz w:val="22"/>
                <w:szCs w:val="22"/>
              </w:rPr>
              <w:t>Creditor Balance (LFRS)</w:t>
            </w:r>
          </w:p>
        </w:tc>
        <w:tc>
          <w:tcPr>
            <w:tcW w:w="2149" w:type="dxa"/>
            <w:shd w:val="clear" w:color="auto" w:fill="auto"/>
          </w:tcPr>
          <w:p w:rsidR="001215AA" w:rsidRPr="00850B65" w:rsidRDefault="00850B65" w:rsidP="00B67A31">
            <w:pPr>
              <w:jc w:val="center"/>
              <w:rPr>
                <w:rFonts w:cs="Arial"/>
                <w:sz w:val="22"/>
                <w:szCs w:val="22"/>
              </w:rPr>
            </w:pPr>
            <w:r w:rsidRPr="00850B65">
              <w:rPr>
                <w:rFonts w:cs="Arial"/>
                <w:sz w:val="22"/>
                <w:szCs w:val="22"/>
              </w:rPr>
              <w:t>-</w:t>
            </w:r>
          </w:p>
        </w:tc>
        <w:tc>
          <w:tcPr>
            <w:tcW w:w="2410" w:type="dxa"/>
            <w:shd w:val="clear" w:color="auto" w:fill="auto"/>
          </w:tcPr>
          <w:p w:rsidR="001215AA" w:rsidRPr="00850B65" w:rsidRDefault="001215AA" w:rsidP="006146A9">
            <w:pPr>
              <w:jc w:val="center"/>
              <w:rPr>
                <w:rFonts w:cs="Arial"/>
                <w:sz w:val="22"/>
                <w:szCs w:val="22"/>
              </w:rPr>
            </w:pPr>
            <w:r w:rsidRPr="00850B65">
              <w:rPr>
                <w:rFonts w:cs="Arial"/>
                <w:sz w:val="22"/>
                <w:szCs w:val="22"/>
              </w:rPr>
              <w:t>-</w:t>
            </w:r>
          </w:p>
        </w:tc>
      </w:tr>
      <w:tr w:rsidR="001215AA" w:rsidRPr="006B0A70" w:rsidTr="009B6312">
        <w:tc>
          <w:tcPr>
            <w:tcW w:w="3827" w:type="dxa"/>
            <w:shd w:val="clear" w:color="auto" w:fill="auto"/>
          </w:tcPr>
          <w:p w:rsidR="001215AA" w:rsidRPr="00850B65" w:rsidRDefault="001215AA" w:rsidP="005F1586">
            <w:pPr>
              <w:rPr>
                <w:rFonts w:cs="Arial"/>
                <w:sz w:val="22"/>
                <w:szCs w:val="22"/>
              </w:rPr>
            </w:pPr>
            <w:r w:rsidRPr="00850B65">
              <w:rPr>
                <w:rFonts w:cs="Arial"/>
                <w:sz w:val="22"/>
                <w:szCs w:val="22"/>
              </w:rPr>
              <w:t xml:space="preserve">Invoices raised by NW </w:t>
            </w:r>
            <w:proofErr w:type="spellStart"/>
            <w:r w:rsidRPr="00850B65">
              <w:rPr>
                <w:rFonts w:cs="Arial"/>
                <w:sz w:val="22"/>
                <w:szCs w:val="22"/>
              </w:rPr>
              <w:t>FireControl</w:t>
            </w:r>
            <w:proofErr w:type="spellEnd"/>
            <w:r w:rsidRPr="00850B65">
              <w:rPr>
                <w:rFonts w:cs="Arial"/>
                <w:sz w:val="22"/>
                <w:szCs w:val="22"/>
              </w:rPr>
              <w:t xml:space="preserve"> to LFRS</w:t>
            </w:r>
          </w:p>
        </w:tc>
        <w:tc>
          <w:tcPr>
            <w:tcW w:w="2149" w:type="dxa"/>
            <w:shd w:val="clear" w:color="auto" w:fill="auto"/>
          </w:tcPr>
          <w:p w:rsidR="001215AA" w:rsidRPr="00850B65" w:rsidRDefault="00850B65" w:rsidP="00B67A31">
            <w:pPr>
              <w:jc w:val="center"/>
              <w:rPr>
                <w:rFonts w:cs="Arial"/>
                <w:sz w:val="22"/>
                <w:szCs w:val="22"/>
              </w:rPr>
            </w:pPr>
            <w:r w:rsidRPr="00850B65">
              <w:rPr>
                <w:rFonts w:cs="Arial"/>
                <w:sz w:val="22"/>
                <w:szCs w:val="22"/>
              </w:rPr>
              <w:t>1,144</w:t>
            </w:r>
          </w:p>
        </w:tc>
        <w:tc>
          <w:tcPr>
            <w:tcW w:w="2410" w:type="dxa"/>
            <w:shd w:val="clear" w:color="auto" w:fill="auto"/>
          </w:tcPr>
          <w:p w:rsidR="001215AA" w:rsidRPr="001215AA" w:rsidRDefault="001215AA" w:rsidP="006146A9">
            <w:pPr>
              <w:jc w:val="center"/>
              <w:rPr>
                <w:rFonts w:cs="Arial"/>
                <w:sz w:val="22"/>
                <w:szCs w:val="22"/>
              </w:rPr>
            </w:pPr>
            <w:r w:rsidRPr="001215AA">
              <w:rPr>
                <w:rFonts w:cs="Arial"/>
                <w:sz w:val="22"/>
                <w:szCs w:val="22"/>
              </w:rPr>
              <w:t>1,093</w:t>
            </w:r>
          </w:p>
        </w:tc>
      </w:tr>
      <w:tr w:rsidR="001215AA" w:rsidRPr="006B0A70" w:rsidTr="009B6312">
        <w:tc>
          <w:tcPr>
            <w:tcW w:w="3827" w:type="dxa"/>
            <w:shd w:val="clear" w:color="auto" w:fill="auto"/>
          </w:tcPr>
          <w:p w:rsidR="001215AA" w:rsidRPr="00850B65" w:rsidRDefault="001215AA" w:rsidP="005F1586">
            <w:pPr>
              <w:rPr>
                <w:rFonts w:cs="Arial"/>
                <w:sz w:val="22"/>
                <w:szCs w:val="22"/>
              </w:rPr>
            </w:pPr>
            <w:r w:rsidRPr="00850B65">
              <w:rPr>
                <w:rFonts w:cs="Arial"/>
                <w:sz w:val="22"/>
                <w:szCs w:val="22"/>
              </w:rPr>
              <w:t xml:space="preserve">Invoices raised by LFRS to NW </w:t>
            </w:r>
            <w:proofErr w:type="spellStart"/>
            <w:r w:rsidRPr="00850B65">
              <w:rPr>
                <w:rFonts w:cs="Arial"/>
                <w:sz w:val="22"/>
                <w:szCs w:val="22"/>
              </w:rPr>
              <w:t>FireControl</w:t>
            </w:r>
            <w:proofErr w:type="spellEnd"/>
          </w:p>
        </w:tc>
        <w:tc>
          <w:tcPr>
            <w:tcW w:w="2149" w:type="dxa"/>
            <w:shd w:val="clear" w:color="auto" w:fill="auto"/>
          </w:tcPr>
          <w:p w:rsidR="001215AA" w:rsidRPr="0078187A" w:rsidRDefault="00850B65" w:rsidP="00B67A31">
            <w:pPr>
              <w:jc w:val="center"/>
              <w:rPr>
                <w:rFonts w:cs="Arial"/>
                <w:sz w:val="22"/>
                <w:szCs w:val="22"/>
              </w:rPr>
            </w:pPr>
            <w:r w:rsidRPr="0078187A">
              <w:rPr>
                <w:rFonts w:cs="Arial"/>
                <w:sz w:val="22"/>
                <w:szCs w:val="22"/>
              </w:rPr>
              <w:t>-</w:t>
            </w:r>
          </w:p>
        </w:tc>
        <w:tc>
          <w:tcPr>
            <w:tcW w:w="2410" w:type="dxa"/>
            <w:shd w:val="clear" w:color="auto" w:fill="auto"/>
          </w:tcPr>
          <w:p w:rsidR="001215AA" w:rsidRPr="0078187A" w:rsidRDefault="001215AA" w:rsidP="006146A9">
            <w:pPr>
              <w:jc w:val="center"/>
              <w:rPr>
                <w:rFonts w:cs="Arial"/>
                <w:sz w:val="22"/>
                <w:szCs w:val="22"/>
              </w:rPr>
            </w:pPr>
            <w:r w:rsidRPr="0078187A">
              <w:rPr>
                <w:rFonts w:cs="Arial"/>
                <w:sz w:val="22"/>
                <w:szCs w:val="22"/>
              </w:rPr>
              <w:t>-</w:t>
            </w:r>
          </w:p>
        </w:tc>
      </w:tr>
    </w:tbl>
    <w:p w:rsidR="009B6312" w:rsidRPr="006B0A70" w:rsidRDefault="009B6312" w:rsidP="00F06F0B">
      <w:pPr>
        <w:ind w:left="709"/>
        <w:jc w:val="both"/>
        <w:rPr>
          <w:rFonts w:cs="Arial"/>
          <w:sz w:val="22"/>
          <w:szCs w:val="22"/>
          <w:highlight w:val="yellow"/>
        </w:rPr>
      </w:pPr>
    </w:p>
    <w:p w:rsidR="009B6312" w:rsidRPr="001215AA" w:rsidRDefault="009B6312" w:rsidP="0008007D">
      <w:pPr>
        <w:pStyle w:val="NoSpacing"/>
        <w:ind w:left="709"/>
        <w:jc w:val="both"/>
        <w:rPr>
          <w:sz w:val="22"/>
          <w:szCs w:val="22"/>
          <w:lang w:eastAsia="en-GB"/>
        </w:rPr>
      </w:pPr>
      <w:r w:rsidRPr="001215AA">
        <w:rPr>
          <w:sz w:val="22"/>
          <w:szCs w:val="22"/>
          <w:lang w:eastAsia="en-GB"/>
        </w:rPr>
        <w:t xml:space="preserve">*Net assets </w:t>
      </w:r>
      <w:proofErr w:type="gramStart"/>
      <w:r w:rsidRPr="001215AA">
        <w:rPr>
          <w:sz w:val="22"/>
          <w:szCs w:val="22"/>
          <w:lang w:eastAsia="en-GB"/>
        </w:rPr>
        <w:t>includes</w:t>
      </w:r>
      <w:proofErr w:type="gramEnd"/>
      <w:r w:rsidRPr="001215AA">
        <w:rPr>
          <w:sz w:val="22"/>
          <w:szCs w:val="22"/>
          <w:lang w:eastAsia="en-GB"/>
        </w:rPr>
        <w:t xml:space="preserve"> the future pension liabilities under FRS17 reported by the Cheshire Pension Fund actuaries.</w:t>
      </w:r>
    </w:p>
    <w:p w:rsidR="009B6312" w:rsidRPr="001215AA" w:rsidRDefault="009B6312" w:rsidP="0008007D">
      <w:pPr>
        <w:pStyle w:val="NoSpacing"/>
        <w:ind w:left="709"/>
        <w:jc w:val="both"/>
        <w:rPr>
          <w:sz w:val="22"/>
          <w:szCs w:val="22"/>
          <w:lang w:eastAsia="en-GB"/>
        </w:rPr>
      </w:pPr>
      <w:r w:rsidRPr="001215AA">
        <w:rPr>
          <w:sz w:val="22"/>
          <w:szCs w:val="22"/>
          <w:lang w:eastAsia="en-GB"/>
        </w:rPr>
        <w:t>All figures are shown net of VAT.</w:t>
      </w:r>
    </w:p>
    <w:p w:rsidR="009B6312" w:rsidRPr="001215AA" w:rsidRDefault="009B6312" w:rsidP="0008007D">
      <w:pPr>
        <w:pStyle w:val="NoSpacing"/>
        <w:ind w:left="709"/>
        <w:jc w:val="both"/>
        <w:rPr>
          <w:sz w:val="22"/>
          <w:szCs w:val="22"/>
          <w:lang w:eastAsia="en-GB"/>
        </w:rPr>
      </w:pPr>
      <w:r w:rsidRPr="001215AA">
        <w:rPr>
          <w:sz w:val="22"/>
          <w:szCs w:val="22"/>
          <w:lang w:eastAsia="en-GB"/>
        </w:rPr>
        <w:t xml:space="preserve">Invoices are raised quarterly in advance for the service to the Fire </w:t>
      </w:r>
      <w:proofErr w:type="gramStart"/>
      <w:r w:rsidRPr="001215AA">
        <w:rPr>
          <w:sz w:val="22"/>
          <w:szCs w:val="22"/>
          <w:lang w:eastAsia="en-GB"/>
        </w:rPr>
        <w:t>Authorities,</w:t>
      </w:r>
      <w:proofErr w:type="gramEnd"/>
      <w:r w:rsidRPr="001215AA">
        <w:rPr>
          <w:sz w:val="22"/>
          <w:szCs w:val="22"/>
          <w:lang w:eastAsia="en-GB"/>
        </w:rPr>
        <w:t xml:space="preserve"> the advance invoices in respect of Quarter 1 201</w:t>
      </w:r>
      <w:r w:rsidR="001215AA" w:rsidRPr="001215AA">
        <w:rPr>
          <w:sz w:val="22"/>
          <w:szCs w:val="22"/>
          <w:lang w:eastAsia="en-GB"/>
        </w:rPr>
        <w:t>8</w:t>
      </w:r>
      <w:r w:rsidRPr="001215AA">
        <w:rPr>
          <w:sz w:val="22"/>
          <w:szCs w:val="22"/>
          <w:lang w:eastAsia="en-GB"/>
        </w:rPr>
        <w:t>/1</w:t>
      </w:r>
      <w:r w:rsidR="001215AA" w:rsidRPr="001215AA">
        <w:rPr>
          <w:sz w:val="22"/>
          <w:szCs w:val="22"/>
          <w:lang w:eastAsia="en-GB"/>
        </w:rPr>
        <w:t>9</w:t>
      </w:r>
      <w:r w:rsidR="008C5BD4" w:rsidRPr="001215AA">
        <w:rPr>
          <w:sz w:val="22"/>
          <w:szCs w:val="22"/>
          <w:lang w:eastAsia="en-GB"/>
        </w:rPr>
        <w:t xml:space="preserve"> are in</w:t>
      </w:r>
      <w:r w:rsidRPr="001215AA">
        <w:rPr>
          <w:sz w:val="22"/>
          <w:szCs w:val="22"/>
          <w:lang w:eastAsia="en-GB"/>
        </w:rPr>
        <w:t xml:space="preserve">cluded </w:t>
      </w:r>
      <w:r w:rsidR="008C5BD4" w:rsidRPr="001215AA">
        <w:rPr>
          <w:sz w:val="22"/>
          <w:szCs w:val="22"/>
          <w:lang w:eastAsia="en-GB"/>
        </w:rPr>
        <w:t>in</w:t>
      </w:r>
      <w:r w:rsidRPr="001215AA">
        <w:rPr>
          <w:sz w:val="22"/>
          <w:szCs w:val="22"/>
          <w:lang w:eastAsia="en-GB"/>
        </w:rPr>
        <w:t xml:space="preserve"> the above figures.</w:t>
      </w:r>
    </w:p>
    <w:p w:rsidR="009B6312" w:rsidRPr="001215AA" w:rsidRDefault="009B6312" w:rsidP="0008007D">
      <w:pPr>
        <w:pStyle w:val="NoSpacing"/>
        <w:ind w:left="709"/>
        <w:jc w:val="both"/>
        <w:rPr>
          <w:sz w:val="22"/>
          <w:szCs w:val="22"/>
          <w:lang w:eastAsia="en-GB"/>
        </w:rPr>
      </w:pPr>
      <w:r w:rsidRPr="001215AA">
        <w:rPr>
          <w:sz w:val="22"/>
          <w:szCs w:val="22"/>
          <w:lang w:eastAsia="en-GB"/>
        </w:rPr>
        <w:t xml:space="preserve">Transactions between </w:t>
      </w:r>
      <w:r w:rsidR="00A1232B" w:rsidRPr="001215AA">
        <w:rPr>
          <w:sz w:val="22"/>
          <w:szCs w:val="22"/>
          <w:lang w:eastAsia="en-GB"/>
        </w:rPr>
        <w:t>L</w:t>
      </w:r>
      <w:r w:rsidR="0037293D" w:rsidRPr="001215AA">
        <w:rPr>
          <w:sz w:val="22"/>
          <w:szCs w:val="22"/>
          <w:lang w:eastAsia="en-GB"/>
        </w:rPr>
        <w:t xml:space="preserve">FRS and NW </w:t>
      </w:r>
      <w:proofErr w:type="spellStart"/>
      <w:r w:rsidR="0037293D" w:rsidRPr="001215AA">
        <w:rPr>
          <w:sz w:val="22"/>
          <w:szCs w:val="22"/>
          <w:lang w:eastAsia="en-GB"/>
        </w:rPr>
        <w:t>Fire</w:t>
      </w:r>
      <w:r w:rsidRPr="001215AA">
        <w:rPr>
          <w:sz w:val="22"/>
          <w:szCs w:val="22"/>
          <w:lang w:eastAsia="en-GB"/>
        </w:rPr>
        <w:t>Control</w:t>
      </w:r>
      <w:proofErr w:type="spellEnd"/>
      <w:r w:rsidRPr="001215AA">
        <w:rPr>
          <w:sz w:val="22"/>
          <w:szCs w:val="22"/>
          <w:lang w:eastAsia="en-GB"/>
        </w:rPr>
        <w:t xml:space="preserve"> </w:t>
      </w:r>
      <w:r w:rsidR="002B520D" w:rsidRPr="001215AA">
        <w:rPr>
          <w:rFonts w:cs="Arial"/>
          <w:sz w:val="22"/>
          <w:szCs w:val="22"/>
          <w:lang w:eastAsia="en-GB"/>
        </w:rPr>
        <w:t>Limited</w:t>
      </w:r>
      <w:r w:rsidR="002B520D" w:rsidRPr="001215AA">
        <w:rPr>
          <w:sz w:val="22"/>
          <w:szCs w:val="22"/>
          <w:lang w:eastAsia="en-GB"/>
        </w:rPr>
        <w:t xml:space="preserve"> </w:t>
      </w:r>
      <w:r w:rsidRPr="001215AA">
        <w:rPr>
          <w:sz w:val="22"/>
          <w:szCs w:val="22"/>
          <w:lang w:eastAsia="en-GB"/>
        </w:rPr>
        <w:t>inc</w:t>
      </w:r>
      <w:r w:rsidR="0037293D" w:rsidRPr="001215AA">
        <w:rPr>
          <w:sz w:val="22"/>
          <w:szCs w:val="22"/>
          <w:lang w:eastAsia="en-GB"/>
        </w:rPr>
        <w:t xml:space="preserve">lude Invoices Raised by NW </w:t>
      </w:r>
      <w:proofErr w:type="spellStart"/>
      <w:r w:rsidR="0037293D" w:rsidRPr="001215AA">
        <w:rPr>
          <w:sz w:val="22"/>
          <w:szCs w:val="22"/>
          <w:lang w:eastAsia="en-GB"/>
        </w:rPr>
        <w:t>Fire</w:t>
      </w:r>
      <w:r w:rsidRPr="001215AA">
        <w:rPr>
          <w:sz w:val="22"/>
          <w:szCs w:val="22"/>
          <w:lang w:eastAsia="en-GB"/>
        </w:rPr>
        <w:t>Control</w:t>
      </w:r>
      <w:proofErr w:type="spellEnd"/>
      <w:r w:rsidRPr="001215AA">
        <w:rPr>
          <w:sz w:val="22"/>
          <w:szCs w:val="22"/>
          <w:lang w:eastAsia="en-GB"/>
        </w:rPr>
        <w:t xml:space="preserve"> to </w:t>
      </w:r>
      <w:r w:rsidR="00A1232B" w:rsidRPr="001215AA">
        <w:rPr>
          <w:sz w:val="22"/>
          <w:szCs w:val="22"/>
          <w:lang w:eastAsia="en-GB"/>
        </w:rPr>
        <w:t>L</w:t>
      </w:r>
      <w:r w:rsidRPr="001215AA">
        <w:rPr>
          <w:sz w:val="22"/>
          <w:szCs w:val="22"/>
          <w:lang w:eastAsia="en-GB"/>
        </w:rPr>
        <w:t>FRS for t</w:t>
      </w:r>
      <w:r w:rsidR="00A1232B" w:rsidRPr="001215AA">
        <w:rPr>
          <w:sz w:val="22"/>
          <w:szCs w:val="22"/>
          <w:lang w:eastAsia="en-GB"/>
        </w:rPr>
        <w:t xml:space="preserve">he Control Room service </w:t>
      </w:r>
      <w:r w:rsidRPr="001215AA">
        <w:rPr>
          <w:sz w:val="22"/>
          <w:szCs w:val="22"/>
          <w:lang w:eastAsia="en-GB"/>
        </w:rPr>
        <w:t>and use of facilities in the building.</w:t>
      </w:r>
    </w:p>
    <w:p w:rsidR="00D90216" w:rsidRDefault="009B6312" w:rsidP="0008007D">
      <w:pPr>
        <w:pStyle w:val="NoSpacing"/>
        <w:ind w:left="709"/>
        <w:jc w:val="both"/>
        <w:rPr>
          <w:sz w:val="22"/>
          <w:szCs w:val="22"/>
          <w:lang w:eastAsia="en-GB"/>
        </w:rPr>
      </w:pPr>
      <w:r w:rsidRPr="001215AA">
        <w:rPr>
          <w:sz w:val="22"/>
          <w:szCs w:val="22"/>
          <w:lang w:eastAsia="en-GB"/>
        </w:rPr>
        <w:t xml:space="preserve">The </w:t>
      </w:r>
      <w:r w:rsidR="00680265" w:rsidRPr="001215AA">
        <w:rPr>
          <w:sz w:val="22"/>
          <w:szCs w:val="22"/>
          <w:lang w:eastAsia="en-GB"/>
        </w:rPr>
        <w:t>Company’s</w:t>
      </w:r>
      <w:r w:rsidRPr="001215AA">
        <w:rPr>
          <w:sz w:val="22"/>
          <w:szCs w:val="22"/>
          <w:lang w:eastAsia="en-GB"/>
        </w:rPr>
        <w:t xml:space="preserve"> Financial Statements can be obtained from Companies House with the deadline for submission as 31/12/201</w:t>
      </w:r>
      <w:r w:rsidR="001215AA" w:rsidRPr="001215AA">
        <w:rPr>
          <w:sz w:val="22"/>
          <w:szCs w:val="22"/>
          <w:lang w:eastAsia="en-GB"/>
        </w:rPr>
        <w:t>8</w:t>
      </w:r>
      <w:r w:rsidR="002C0DE5" w:rsidRPr="001215AA">
        <w:rPr>
          <w:sz w:val="22"/>
          <w:szCs w:val="22"/>
          <w:lang w:eastAsia="en-GB"/>
        </w:rPr>
        <w:t xml:space="preserve"> </w:t>
      </w:r>
      <w:r w:rsidRPr="001215AA">
        <w:rPr>
          <w:sz w:val="22"/>
          <w:szCs w:val="22"/>
          <w:lang w:eastAsia="en-GB"/>
        </w:rPr>
        <w:t>for the final audited 201</w:t>
      </w:r>
      <w:r w:rsidR="001215AA" w:rsidRPr="001215AA">
        <w:rPr>
          <w:sz w:val="22"/>
          <w:szCs w:val="22"/>
          <w:lang w:eastAsia="en-GB"/>
        </w:rPr>
        <w:t>7</w:t>
      </w:r>
      <w:r w:rsidRPr="001215AA">
        <w:rPr>
          <w:sz w:val="22"/>
          <w:szCs w:val="22"/>
          <w:lang w:eastAsia="en-GB"/>
        </w:rPr>
        <w:t>/1</w:t>
      </w:r>
      <w:r w:rsidR="001215AA" w:rsidRPr="001215AA">
        <w:rPr>
          <w:sz w:val="22"/>
          <w:szCs w:val="22"/>
          <w:lang w:eastAsia="en-GB"/>
        </w:rPr>
        <w:t>8</w:t>
      </w:r>
      <w:r w:rsidRPr="001215AA">
        <w:rPr>
          <w:sz w:val="22"/>
          <w:szCs w:val="22"/>
          <w:lang w:eastAsia="en-GB"/>
        </w:rPr>
        <w:t xml:space="preserve"> accounts.</w:t>
      </w:r>
    </w:p>
    <w:p w:rsidR="00E874AD" w:rsidRDefault="00E874AD">
      <w:pPr>
        <w:rPr>
          <w:sz w:val="22"/>
          <w:szCs w:val="22"/>
          <w:lang w:eastAsia="en-GB"/>
        </w:rPr>
      </w:pPr>
      <w:r>
        <w:rPr>
          <w:sz w:val="22"/>
          <w:szCs w:val="22"/>
          <w:lang w:eastAsia="en-GB"/>
        </w:rPr>
        <w:br w:type="page"/>
      </w:r>
    </w:p>
    <w:p w:rsidR="0008007D" w:rsidRPr="0008007D" w:rsidRDefault="0008007D" w:rsidP="0008007D">
      <w:pPr>
        <w:pStyle w:val="NoSpacing"/>
        <w:ind w:left="709"/>
        <w:jc w:val="both"/>
        <w:rPr>
          <w:sz w:val="22"/>
          <w:szCs w:val="22"/>
          <w:lang w:eastAsia="en-GB"/>
        </w:rPr>
      </w:pPr>
    </w:p>
    <w:p w:rsidR="0083182E" w:rsidRDefault="00836028" w:rsidP="00D90216">
      <w:pPr>
        <w:ind w:left="709" w:hanging="709"/>
        <w:rPr>
          <w:b/>
          <w:sz w:val="22"/>
        </w:rPr>
      </w:pPr>
      <w:r>
        <w:rPr>
          <w:b/>
          <w:sz w:val="22"/>
        </w:rPr>
        <w:t>2</w:t>
      </w:r>
      <w:r w:rsidR="006B0A70">
        <w:rPr>
          <w:b/>
          <w:sz w:val="22"/>
        </w:rPr>
        <w:t>3</w:t>
      </w:r>
      <w:r w:rsidR="00D90216" w:rsidRPr="009733E6">
        <w:rPr>
          <w:b/>
          <w:sz w:val="22"/>
        </w:rPr>
        <w:tab/>
      </w:r>
      <w:r w:rsidR="0083182E">
        <w:rPr>
          <w:b/>
          <w:sz w:val="22"/>
        </w:rPr>
        <w:t>Adjust net surplus</w:t>
      </w:r>
      <w:proofErr w:type="gramStart"/>
      <w:r w:rsidR="0083182E">
        <w:rPr>
          <w:b/>
          <w:sz w:val="22"/>
        </w:rPr>
        <w:t>/(</w:t>
      </w:r>
      <w:proofErr w:type="gramEnd"/>
      <w:r w:rsidR="0083182E">
        <w:rPr>
          <w:b/>
          <w:sz w:val="22"/>
        </w:rPr>
        <w:t xml:space="preserve">deficit) on the provision of services for </w:t>
      </w:r>
      <w:proofErr w:type="spellStart"/>
      <w:r w:rsidR="0083182E">
        <w:rPr>
          <w:b/>
          <w:sz w:val="22"/>
        </w:rPr>
        <w:t>non cash</w:t>
      </w:r>
      <w:proofErr w:type="spellEnd"/>
      <w:r w:rsidR="0083182E">
        <w:rPr>
          <w:b/>
          <w:sz w:val="22"/>
        </w:rPr>
        <w:t xml:space="preserve"> movements</w:t>
      </w:r>
    </w:p>
    <w:p w:rsidR="0083182E" w:rsidRDefault="0083182E" w:rsidP="0083182E">
      <w:pPr>
        <w:ind w:left="709"/>
        <w:jc w:val="both"/>
        <w:rPr>
          <w:sz w:val="22"/>
        </w:rPr>
      </w:pPr>
    </w:p>
    <w:tbl>
      <w:tblPr>
        <w:tblW w:w="8414" w:type="dxa"/>
        <w:tblInd w:w="720" w:type="dxa"/>
        <w:tblLayout w:type="fixed"/>
        <w:tblLook w:val="0000" w:firstRow="0" w:lastRow="0" w:firstColumn="0" w:lastColumn="0" w:noHBand="0" w:noVBand="0"/>
      </w:tblPr>
      <w:tblGrid>
        <w:gridCol w:w="4680"/>
        <w:gridCol w:w="1867"/>
        <w:gridCol w:w="1867"/>
      </w:tblGrid>
      <w:tr w:rsidR="00323206" w:rsidRPr="005E70B7" w:rsidTr="00051B22">
        <w:trPr>
          <w:trHeight w:hRule="exact" w:val="375"/>
        </w:trPr>
        <w:tc>
          <w:tcPr>
            <w:tcW w:w="4680" w:type="dxa"/>
          </w:tcPr>
          <w:p w:rsidR="00323206" w:rsidRPr="00A60775" w:rsidRDefault="00323206" w:rsidP="00061B2C">
            <w:pPr>
              <w:tabs>
                <w:tab w:val="left" w:pos="720"/>
                <w:tab w:val="center" w:pos="6930"/>
              </w:tabs>
              <w:rPr>
                <w:sz w:val="22"/>
                <w:highlight w:val="cyan"/>
              </w:rPr>
            </w:pPr>
          </w:p>
        </w:tc>
        <w:tc>
          <w:tcPr>
            <w:tcW w:w="1867" w:type="dxa"/>
          </w:tcPr>
          <w:p w:rsidR="00323206" w:rsidRPr="001844B0" w:rsidRDefault="00323206" w:rsidP="006B0A70">
            <w:pPr>
              <w:jc w:val="center"/>
              <w:rPr>
                <w:sz w:val="22"/>
                <w:szCs w:val="22"/>
              </w:rPr>
            </w:pPr>
            <w:r w:rsidRPr="001844B0">
              <w:rPr>
                <w:sz w:val="22"/>
                <w:szCs w:val="22"/>
              </w:rPr>
              <w:t>201</w:t>
            </w:r>
            <w:r w:rsidR="006B0A70">
              <w:rPr>
                <w:sz w:val="22"/>
                <w:szCs w:val="22"/>
              </w:rPr>
              <w:t>7</w:t>
            </w:r>
            <w:r w:rsidRPr="001844B0">
              <w:rPr>
                <w:sz w:val="22"/>
                <w:szCs w:val="22"/>
              </w:rPr>
              <w:t>/1</w:t>
            </w:r>
            <w:r w:rsidR="006B0A70">
              <w:rPr>
                <w:sz w:val="22"/>
                <w:szCs w:val="22"/>
              </w:rPr>
              <w:t>8</w:t>
            </w:r>
          </w:p>
        </w:tc>
        <w:tc>
          <w:tcPr>
            <w:tcW w:w="1867" w:type="dxa"/>
          </w:tcPr>
          <w:p w:rsidR="00323206" w:rsidRPr="001844B0" w:rsidRDefault="00323206" w:rsidP="006B0A70">
            <w:pPr>
              <w:jc w:val="center"/>
              <w:rPr>
                <w:sz w:val="22"/>
                <w:szCs w:val="22"/>
              </w:rPr>
            </w:pPr>
            <w:r w:rsidRPr="001844B0">
              <w:rPr>
                <w:sz w:val="22"/>
                <w:szCs w:val="22"/>
              </w:rPr>
              <w:t>201</w:t>
            </w:r>
            <w:r w:rsidR="006B0A70">
              <w:rPr>
                <w:sz w:val="22"/>
                <w:szCs w:val="22"/>
              </w:rPr>
              <w:t>6</w:t>
            </w:r>
            <w:r w:rsidRPr="001844B0">
              <w:rPr>
                <w:sz w:val="22"/>
                <w:szCs w:val="22"/>
              </w:rPr>
              <w:t>/1</w:t>
            </w:r>
            <w:r w:rsidR="006B0A70">
              <w:rPr>
                <w:sz w:val="22"/>
                <w:szCs w:val="22"/>
              </w:rPr>
              <w:t>7</w:t>
            </w:r>
          </w:p>
        </w:tc>
      </w:tr>
      <w:tr w:rsidR="0083182E" w:rsidRPr="001F7F67" w:rsidTr="00061B2C">
        <w:trPr>
          <w:trHeight w:hRule="exact" w:val="300"/>
        </w:trPr>
        <w:tc>
          <w:tcPr>
            <w:tcW w:w="4680" w:type="dxa"/>
          </w:tcPr>
          <w:p w:rsidR="0083182E" w:rsidRPr="00A60775" w:rsidRDefault="0083182E" w:rsidP="00061B2C">
            <w:pPr>
              <w:tabs>
                <w:tab w:val="left" w:pos="720"/>
                <w:tab w:val="center" w:pos="6930"/>
              </w:tabs>
              <w:spacing w:after="120"/>
              <w:rPr>
                <w:sz w:val="22"/>
                <w:highlight w:val="cyan"/>
              </w:rPr>
            </w:pPr>
          </w:p>
        </w:tc>
        <w:tc>
          <w:tcPr>
            <w:tcW w:w="1867" w:type="dxa"/>
          </w:tcPr>
          <w:p w:rsidR="0083182E" w:rsidRPr="0008007D" w:rsidRDefault="0083182E" w:rsidP="00061B2C">
            <w:pPr>
              <w:tabs>
                <w:tab w:val="decimal" w:pos="1080"/>
              </w:tabs>
              <w:rPr>
                <w:sz w:val="22"/>
              </w:rPr>
            </w:pPr>
            <w:r w:rsidRPr="0008007D">
              <w:rPr>
                <w:sz w:val="22"/>
              </w:rPr>
              <w:t>£000</w:t>
            </w:r>
          </w:p>
        </w:tc>
        <w:tc>
          <w:tcPr>
            <w:tcW w:w="1867" w:type="dxa"/>
          </w:tcPr>
          <w:p w:rsidR="0083182E" w:rsidRPr="0008007D" w:rsidRDefault="0083182E" w:rsidP="00061B2C">
            <w:pPr>
              <w:tabs>
                <w:tab w:val="decimal" w:pos="1080"/>
              </w:tabs>
              <w:rPr>
                <w:sz w:val="22"/>
              </w:rPr>
            </w:pPr>
            <w:r w:rsidRPr="0008007D">
              <w:rPr>
                <w:sz w:val="22"/>
              </w:rPr>
              <w:t>£000</w:t>
            </w:r>
          </w:p>
        </w:tc>
      </w:tr>
      <w:tr w:rsidR="006B0A70" w:rsidRPr="001F7F67" w:rsidTr="00061B2C">
        <w:trPr>
          <w:trHeight w:hRule="exact" w:val="300"/>
        </w:trPr>
        <w:tc>
          <w:tcPr>
            <w:tcW w:w="4680" w:type="dxa"/>
          </w:tcPr>
          <w:p w:rsidR="006B0A70" w:rsidRPr="001F7F67" w:rsidRDefault="006B0A70" w:rsidP="00061B2C">
            <w:pPr>
              <w:tabs>
                <w:tab w:val="left" w:pos="720"/>
                <w:tab w:val="center" w:pos="6930"/>
              </w:tabs>
              <w:rPr>
                <w:sz w:val="22"/>
              </w:rPr>
            </w:pPr>
            <w:r>
              <w:rPr>
                <w:sz w:val="22"/>
              </w:rPr>
              <w:t>Depreciation</w:t>
            </w:r>
          </w:p>
        </w:tc>
        <w:tc>
          <w:tcPr>
            <w:tcW w:w="1867" w:type="dxa"/>
          </w:tcPr>
          <w:p w:rsidR="006B0A70" w:rsidRPr="0008007D" w:rsidRDefault="00E35581" w:rsidP="00051046">
            <w:pPr>
              <w:tabs>
                <w:tab w:val="decimal" w:pos="1080"/>
              </w:tabs>
              <w:rPr>
                <w:sz w:val="22"/>
              </w:rPr>
            </w:pPr>
            <w:r>
              <w:rPr>
                <w:sz w:val="22"/>
              </w:rPr>
              <w:t>3,</w:t>
            </w:r>
            <w:r w:rsidR="00051046">
              <w:rPr>
                <w:sz w:val="22"/>
              </w:rPr>
              <w:t>578</w:t>
            </w:r>
          </w:p>
        </w:tc>
        <w:tc>
          <w:tcPr>
            <w:tcW w:w="1867" w:type="dxa"/>
          </w:tcPr>
          <w:p w:rsidR="006B0A70" w:rsidRPr="0008007D" w:rsidRDefault="006B0A70" w:rsidP="00051046">
            <w:pPr>
              <w:tabs>
                <w:tab w:val="decimal" w:pos="1080"/>
              </w:tabs>
              <w:rPr>
                <w:sz w:val="22"/>
              </w:rPr>
            </w:pPr>
            <w:r>
              <w:rPr>
                <w:sz w:val="22"/>
              </w:rPr>
              <w:t>4,</w:t>
            </w:r>
            <w:r w:rsidR="00051046">
              <w:rPr>
                <w:sz w:val="22"/>
              </w:rPr>
              <w:t>749</w:t>
            </w:r>
          </w:p>
        </w:tc>
      </w:tr>
      <w:tr w:rsidR="006B0A70" w:rsidRPr="009733E6" w:rsidTr="00061B2C">
        <w:trPr>
          <w:trHeight w:hRule="exact" w:val="277"/>
        </w:trPr>
        <w:tc>
          <w:tcPr>
            <w:tcW w:w="4680" w:type="dxa"/>
          </w:tcPr>
          <w:p w:rsidR="006B0A70" w:rsidRPr="009733E6" w:rsidRDefault="006B0A70" w:rsidP="00061B2C">
            <w:pPr>
              <w:tabs>
                <w:tab w:val="left" w:pos="720"/>
                <w:tab w:val="center" w:pos="6930"/>
              </w:tabs>
              <w:rPr>
                <w:sz w:val="22"/>
              </w:rPr>
            </w:pPr>
            <w:r>
              <w:rPr>
                <w:sz w:val="22"/>
              </w:rPr>
              <w:t>Impairment &amp; downwards valuations</w:t>
            </w:r>
          </w:p>
        </w:tc>
        <w:tc>
          <w:tcPr>
            <w:tcW w:w="1867" w:type="dxa"/>
          </w:tcPr>
          <w:p w:rsidR="006B0A70" w:rsidRPr="0008007D" w:rsidRDefault="00E35581" w:rsidP="00061B2C">
            <w:pPr>
              <w:tabs>
                <w:tab w:val="decimal" w:pos="1080"/>
              </w:tabs>
              <w:rPr>
                <w:sz w:val="22"/>
              </w:rPr>
            </w:pPr>
            <w:r>
              <w:rPr>
                <w:sz w:val="22"/>
              </w:rPr>
              <w:t>699</w:t>
            </w:r>
          </w:p>
        </w:tc>
        <w:tc>
          <w:tcPr>
            <w:tcW w:w="1867" w:type="dxa"/>
          </w:tcPr>
          <w:p w:rsidR="006B0A70" w:rsidRPr="0008007D" w:rsidRDefault="006B0A70" w:rsidP="0096743B">
            <w:pPr>
              <w:tabs>
                <w:tab w:val="decimal" w:pos="1080"/>
              </w:tabs>
              <w:rPr>
                <w:sz w:val="22"/>
              </w:rPr>
            </w:pPr>
            <w:r>
              <w:rPr>
                <w:sz w:val="22"/>
              </w:rPr>
              <w:t>1,477</w:t>
            </w:r>
          </w:p>
        </w:tc>
      </w:tr>
      <w:tr w:rsidR="006B0A70" w:rsidRPr="009733E6" w:rsidTr="00061B2C">
        <w:trPr>
          <w:trHeight w:hRule="exact" w:val="277"/>
        </w:trPr>
        <w:tc>
          <w:tcPr>
            <w:tcW w:w="4680" w:type="dxa"/>
          </w:tcPr>
          <w:p w:rsidR="006B0A70" w:rsidRPr="009733E6" w:rsidRDefault="006B0A70" w:rsidP="00061B2C">
            <w:pPr>
              <w:tabs>
                <w:tab w:val="left" w:pos="720"/>
                <w:tab w:val="center" w:pos="6930"/>
              </w:tabs>
              <w:rPr>
                <w:sz w:val="22"/>
              </w:rPr>
            </w:pPr>
            <w:r>
              <w:rPr>
                <w:sz w:val="22"/>
              </w:rPr>
              <w:t>Amortisation</w:t>
            </w:r>
          </w:p>
        </w:tc>
        <w:tc>
          <w:tcPr>
            <w:tcW w:w="1867" w:type="dxa"/>
          </w:tcPr>
          <w:p w:rsidR="006B0A70" w:rsidRPr="0008007D" w:rsidRDefault="00051046" w:rsidP="0008007D">
            <w:pPr>
              <w:tabs>
                <w:tab w:val="decimal" w:pos="1080"/>
              </w:tabs>
              <w:rPr>
                <w:sz w:val="22"/>
              </w:rPr>
            </w:pPr>
            <w:r>
              <w:rPr>
                <w:sz w:val="22"/>
              </w:rPr>
              <w:t>222</w:t>
            </w:r>
          </w:p>
        </w:tc>
        <w:tc>
          <w:tcPr>
            <w:tcW w:w="1867" w:type="dxa"/>
          </w:tcPr>
          <w:p w:rsidR="006B0A70" w:rsidRPr="0008007D" w:rsidRDefault="00051046" w:rsidP="0096743B">
            <w:pPr>
              <w:tabs>
                <w:tab w:val="decimal" w:pos="1080"/>
              </w:tabs>
              <w:rPr>
                <w:sz w:val="22"/>
              </w:rPr>
            </w:pPr>
            <w:r>
              <w:rPr>
                <w:sz w:val="22"/>
              </w:rPr>
              <w:t>227</w:t>
            </w:r>
          </w:p>
        </w:tc>
      </w:tr>
      <w:tr w:rsidR="006B0A70" w:rsidRPr="009733E6" w:rsidTr="00061B2C">
        <w:trPr>
          <w:trHeight w:hRule="exact" w:val="277"/>
        </w:trPr>
        <w:tc>
          <w:tcPr>
            <w:tcW w:w="4680" w:type="dxa"/>
          </w:tcPr>
          <w:p w:rsidR="006B0A70" w:rsidRPr="009733E6" w:rsidRDefault="006B0A70" w:rsidP="00061B2C">
            <w:pPr>
              <w:tabs>
                <w:tab w:val="left" w:pos="720"/>
                <w:tab w:val="center" w:pos="6930"/>
              </w:tabs>
              <w:rPr>
                <w:sz w:val="22"/>
              </w:rPr>
            </w:pPr>
            <w:r>
              <w:rPr>
                <w:sz w:val="22"/>
              </w:rPr>
              <w:t>Increase/(decrease) in provisions</w:t>
            </w:r>
          </w:p>
        </w:tc>
        <w:tc>
          <w:tcPr>
            <w:tcW w:w="1867" w:type="dxa"/>
          </w:tcPr>
          <w:p w:rsidR="006B0A70" w:rsidRPr="0008007D" w:rsidRDefault="00E35581" w:rsidP="00061B2C">
            <w:pPr>
              <w:tabs>
                <w:tab w:val="decimal" w:pos="1080"/>
              </w:tabs>
              <w:rPr>
                <w:sz w:val="22"/>
              </w:rPr>
            </w:pPr>
            <w:r>
              <w:rPr>
                <w:sz w:val="22"/>
              </w:rPr>
              <w:t>(679)</w:t>
            </w:r>
          </w:p>
        </w:tc>
        <w:tc>
          <w:tcPr>
            <w:tcW w:w="1867" w:type="dxa"/>
          </w:tcPr>
          <w:p w:rsidR="006B0A70" w:rsidRPr="0008007D" w:rsidRDefault="006B0A70" w:rsidP="0096743B">
            <w:pPr>
              <w:tabs>
                <w:tab w:val="decimal" w:pos="1080"/>
              </w:tabs>
              <w:rPr>
                <w:sz w:val="22"/>
              </w:rPr>
            </w:pPr>
            <w:r>
              <w:rPr>
                <w:sz w:val="22"/>
              </w:rPr>
              <w:t>(366)</w:t>
            </w:r>
          </w:p>
        </w:tc>
      </w:tr>
      <w:tr w:rsidR="006B0A70" w:rsidRPr="009733E6" w:rsidTr="00061B2C">
        <w:trPr>
          <w:trHeight w:hRule="exact" w:val="277"/>
        </w:trPr>
        <w:tc>
          <w:tcPr>
            <w:tcW w:w="4680" w:type="dxa"/>
          </w:tcPr>
          <w:p w:rsidR="006B0A70" w:rsidRPr="009733E6" w:rsidRDefault="006B0A70" w:rsidP="00061B2C">
            <w:pPr>
              <w:tabs>
                <w:tab w:val="left" w:pos="720"/>
                <w:tab w:val="center" w:pos="6930"/>
              </w:tabs>
              <w:rPr>
                <w:sz w:val="22"/>
              </w:rPr>
            </w:pPr>
            <w:r>
              <w:rPr>
                <w:sz w:val="22"/>
              </w:rPr>
              <w:t>Increase/(decrease) in creditors</w:t>
            </w:r>
          </w:p>
        </w:tc>
        <w:tc>
          <w:tcPr>
            <w:tcW w:w="1867" w:type="dxa"/>
          </w:tcPr>
          <w:p w:rsidR="006B0A70" w:rsidRPr="0008007D" w:rsidRDefault="00051046" w:rsidP="00446418">
            <w:pPr>
              <w:tabs>
                <w:tab w:val="decimal" w:pos="1080"/>
              </w:tabs>
              <w:rPr>
                <w:sz w:val="22"/>
              </w:rPr>
            </w:pPr>
            <w:r>
              <w:rPr>
                <w:sz w:val="22"/>
              </w:rPr>
              <w:t>403</w:t>
            </w:r>
          </w:p>
        </w:tc>
        <w:tc>
          <w:tcPr>
            <w:tcW w:w="1867" w:type="dxa"/>
          </w:tcPr>
          <w:p w:rsidR="006B0A70" w:rsidRPr="0008007D" w:rsidRDefault="00051046" w:rsidP="0096743B">
            <w:pPr>
              <w:tabs>
                <w:tab w:val="decimal" w:pos="1080"/>
              </w:tabs>
              <w:rPr>
                <w:sz w:val="22"/>
              </w:rPr>
            </w:pPr>
            <w:r>
              <w:rPr>
                <w:sz w:val="22"/>
              </w:rPr>
              <w:t>168</w:t>
            </w:r>
          </w:p>
        </w:tc>
      </w:tr>
      <w:tr w:rsidR="006B0A70" w:rsidRPr="009733E6" w:rsidTr="00061B2C">
        <w:trPr>
          <w:trHeight w:hRule="exact" w:val="277"/>
        </w:trPr>
        <w:tc>
          <w:tcPr>
            <w:tcW w:w="4680" w:type="dxa"/>
          </w:tcPr>
          <w:p w:rsidR="006B0A70" w:rsidRPr="009733E6" w:rsidRDefault="006B0A70" w:rsidP="00061B2C">
            <w:pPr>
              <w:tabs>
                <w:tab w:val="left" w:pos="720"/>
                <w:tab w:val="center" w:pos="6930"/>
              </w:tabs>
              <w:rPr>
                <w:sz w:val="22"/>
              </w:rPr>
            </w:pPr>
            <w:r>
              <w:rPr>
                <w:sz w:val="22"/>
              </w:rPr>
              <w:t>(Increase)/decrease in debtors</w:t>
            </w:r>
          </w:p>
        </w:tc>
        <w:tc>
          <w:tcPr>
            <w:tcW w:w="1867" w:type="dxa"/>
          </w:tcPr>
          <w:p w:rsidR="006B0A70" w:rsidRPr="0008007D" w:rsidRDefault="00051046" w:rsidP="00446418">
            <w:pPr>
              <w:tabs>
                <w:tab w:val="decimal" w:pos="1080"/>
              </w:tabs>
              <w:rPr>
                <w:sz w:val="22"/>
              </w:rPr>
            </w:pPr>
            <w:r>
              <w:rPr>
                <w:sz w:val="22"/>
              </w:rPr>
              <w:t>95</w:t>
            </w:r>
          </w:p>
        </w:tc>
        <w:tc>
          <w:tcPr>
            <w:tcW w:w="1867" w:type="dxa"/>
          </w:tcPr>
          <w:p w:rsidR="006B0A70" w:rsidRPr="0008007D" w:rsidRDefault="006B0A70" w:rsidP="00051046">
            <w:pPr>
              <w:tabs>
                <w:tab w:val="decimal" w:pos="1080"/>
              </w:tabs>
              <w:rPr>
                <w:sz w:val="22"/>
              </w:rPr>
            </w:pPr>
            <w:r>
              <w:rPr>
                <w:sz w:val="22"/>
              </w:rPr>
              <w:t>(2,</w:t>
            </w:r>
            <w:r w:rsidR="00051046">
              <w:rPr>
                <w:sz w:val="22"/>
              </w:rPr>
              <w:t>462</w:t>
            </w:r>
            <w:r>
              <w:rPr>
                <w:sz w:val="22"/>
              </w:rPr>
              <w:t>)</w:t>
            </w:r>
          </w:p>
        </w:tc>
      </w:tr>
      <w:tr w:rsidR="006B0A70" w:rsidRPr="009733E6" w:rsidTr="002E460C">
        <w:trPr>
          <w:trHeight w:hRule="exact" w:val="277"/>
        </w:trPr>
        <w:tc>
          <w:tcPr>
            <w:tcW w:w="4680" w:type="dxa"/>
          </w:tcPr>
          <w:p w:rsidR="006B0A70" w:rsidRPr="009733E6" w:rsidRDefault="006B0A70" w:rsidP="00061B2C">
            <w:pPr>
              <w:tabs>
                <w:tab w:val="left" w:pos="720"/>
                <w:tab w:val="center" w:pos="6930"/>
              </w:tabs>
              <w:rPr>
                <w:sz w:val="22"/>
              </w:rPr>
            </w:pPr>
            <w:r>
              <w:rPr>
                <w:sz w:val="22"/>
              </w:rPr>
              <w:t>(Increase)/decrease in stock</w:t>
            </w:r>
          </w:p>
        </w:tc>
        <w:tc>
          <w:tcPr>
            <w:tcW w:w="1867" w:type="dxa"/>
          </w:tcPr>
          <w:p w:rsidR="006B0A70" w:rsidRPr="0008007D" w:rsidRDefault="00E35581" w:rsidP="00E35581">
            <w:pPr>
              <w:tabs>
                <w:tab w:val="decimal" w:pos="1080"/>
              </w:tabs>
              <w:rPr>
                <w:sz w:val="22"/>
              </w:rPr>
            </w:pPr>
            <w:r>
              <w:rPr>
                <w:sz w:val="22"/>
              </w:rPr>
              <w:t>(21)</w:t>
            </w:r>
          </w:p>
        </w:tc>
        <w:tc>
          <w:tcPr>
            <w:tcW w:w="1867" w:type="dxa"/>
          </w:tcPr>
          <w:p w:rsidR="006B0A70" w:rsidRPr="0008007D" w:rsidRDefault="006B0A70" w:rsidP="0096743B">
            <w:pPr>
              <w:tabs>
                <w:tab w:val="decimal" w:pos="1080"/>
              </w:tabs>
              <w:rPr>
                <w:sz w:val="22"/>
              </w:rPr>
            </w:pPr>
            <w:r>
              <w:rPr>
                <w:sz w:val="22"/>
              </w:rPr>
              <w:t>(9)</w:t>
            </w:r>
          </w:p>
        </w:tc>
      </w:tr>
      <w:tr w:rsidR="006B0A70" w:rsidRPr="009733E6" w:rsidTr="002E460C">
        <w:trPr>
          <w:trHeight w:hRule="exact" w:val="277"/>
        </w:trPr>
        <w:tc>
          <w:tcPr>
            <w:tcW w:w="4680" w:type="dxa"/>
          </w:tcPr>
          <w:p w:rsidR="006B0A70" w:rsidRPr="009733E6" w:rsidRDefault="006B0A70" w:rsidP="00061B2C">
            <w:pPr>
              <w:tabs>
                <w:tab w:val="left" w:pos="720"/>
                <w:tab w:val="center" w:pos="6930"/>
              </w:tabs>
              <w:rPr>
                <w:sz w:val="22"/>
              </w:rPr>
            </w:pPr>
            <w:r>
              <w:rPr>
                <w:sz w:val="22"/>
              </w:rPr>
              <w:t>Movement in pension liability</w:t>
            </w:r>
          </w:p>
        </w:tc>
        <w:tc>
          <w:tcPr>
            <w:tcW w:w="1867" w:type="dxa"/>
          </w:tcPr>
          <w:p w:rsidR="006B0A70" w:rsidRPr="006C28D2" w:rsidRDefault="00E35581" w:rsidP="00051046">
            <w:pPr>
              <w:tabs>
                <w:tab w:val="decimal" w:pos="1080"/>
              </w:tabs>
              <w:rPr>
                <w:sz w:val="22"/>
              </w:rPr>
            </w:pPr>
            <w:r>
              <w:rPr>
                <w:sz w:val="22"/>
              </w:rPr>
              <w:t>13,</w:t>
            </w:r>
            <w:r w:rsidR="00051046">
              <w:rPr>
                <w:sz w:val="22"/>
              </w:rPr>
              <w:t>251</w:t>
            </w:r>
          </w:p>
        </w:tc>
        <w:tc>
          <w:tcPr>
            <w:tcW w:w="1867" w:type="dxa"/>
          </w:tcPr>
          <w:p w:rsidR="006B0A70" w:rsidRPr="006C28D2" w:rsidRDefault="006B0A70" w:rsidP="00051046">
            <w:pPr>
              <w:tabs>
                <w:tab w:val="decimal" w:pos="1080"/>
              </w:tabs>
              <w:rPr>
                <w:sz w:val="22"/>
              </w:rPr>
            </w:pPr>
            <w:r>
              <w:rPr>
                <w:sz w:val="22"/>
              </w:rPr>
              <w:t>10,</w:t>
            </w:r>
            <w:r w:rsidR="00051046">
              <w:rPr>
                <w:sz w:val="22"/>
              </w:rPr>
              <w:t>940</w:t>
            </w:r>
          </w:p>
        </w:tc>
      </w:tr>
      <w:tr w:rsidR="006B0A70" w:rsidRPr="009733E6" w:rsidTr="002E460C">
        <w:trPr>
          <w:trHeight w:hRule="exact" w:val="277"/>
        </w:trPr>
        <w:tc>
          <w:tcPr>
            <w:tcW w:w="4680" w:type="dxa"/>
          </w:tcPr>
          <w:p w:rsidR="006B0A70" w:rsidRDefault="006B0A70" w:rsidP="00061B2C">
            <w:pPr>
              <w:tabs>
                <w:tab w:val="left" w:pos="720"/>
                <w:tab w:val="center" w:pos="6930"/>
              </w:tabs>
              <w:rPr>
                <w:sz w:val="22"/>
              </w:rPr>
            </w:pPr>
            <w:r>
              <w:rPr>
                <w:sz w:val="22"/>
              </w:rPr>
              <w:t>Net book value of fixed assets sold</w:t>
            </w:r>
          </w:p>
        </w:tc>
        <w:tc>
          <w:tcPr>
            <w:tcW w:w="1867" w:type="dxa"/>
          </w:tcPr>
          <w:p w:rsidR="006B0A70" w:rsidRPr="006C28D2" w:rsidRDefault="00E35581" w:rsidP="0008007D">
            <w:pPr>
              <w:tabs>
                <w:tab w:val="decimal" w:pos="1080"/>
              </w:tabs>
              <w:rPr>
                <w:sz w:val="22"/>
              </w:rPr>
            </w:pPr>
            <w:r>
              <w:rPr>
                <w:sz w:val="22"/>
              </w:rPr>
              <w:t>21</w:t>
            </w:r>
          </w:p>
        </w:tc>
        <w:tc>
          <w:tcPr>
            <w:tcW w:w="1867" w:type="dxa"/>
          </w:tcPr>
          <w:p w:rsidR="006B0A70" w:rsidRPr="006C28D2" w:rsidRDefault="006B0A70" w:rsidP="0096743B">
            <w:pPr>
              <w:tabs>
                <w:tab w:val="decimal" w:pos="1080"/>
              </w:tabs>
              <w:rPr>
                <w:sz w:val="22"/>
              </w:rPr>
            </w:pPr>
            <w:r>
              <w:rPr>
                <w:sz w:val="22"/>
              </w:rPr>
              <w:t>-</w:t>
            </w:r>
          </w:p>
        </w:tc>
      </w:tr>
      <w:tr w:rsidR="006B0A70" w:rsidRPr="009733E6" w:rsidTr="002E460C">
        <w:trPr>
          <w:trHeight w:hRule="exact" w:val="277"/>
        </w:trPr>
        <w:tc>
          <w:tcPr>
            <w:tcW w:w="4680" w:type="dxa"/>
          </w:tcPr>
          <w:p w:rsidR="006B0A70" w:rsidRPr="009733E6" w:rsidRDefault="006B0A70" w:rsidP="00061B2C">
            <w:pPr>
              <w:tabs>
                <w:tab w:val="left" w:pos="720"/>
                <w:tab w:val="center" w:pos="6930"/>
              </w:tabs>
              <w:rPr>
                <w:sz w:val="22"/>
              </w:rPr>
            </w:pPr>
          </w:p>
        </w:tc>
        <w:tc>
          <w:tcPr>
            <w:tcW w:w="1867" w:type="dxa"/>
            <w:tcBorders>
              <w:top w:val="single" w:sz="4" w:space="0" w:color="auto"/>
              <w:bottom w:val="double" w:sz="4" w:space="0" w:color="auto"/>
            </w:tcBorders>
          </w:tcPr>
          <w:p w:rsidR="006B0A70" w:rsidRPr="006C28D2" w:rsidRDefault="00E35581" w:rsidP="00051046">
            <w:pPr>
              <w:tabs>
                <w:tab w:val="decimal" w:pos="1080"/>
              </w:tabs>
              <w:rPr>
                <w:sz w:val="22"/>
              </w:rPr>
            </w:pPr>
            <w:r>
              <w:rPr>
                <w:sz w:val="22"/>
              </w:rPr>
              <w:t>17,</w:t>
            </w:r>
            <w:r w:rsidR="00051046">
              <w:rPr>
                <w:sz w:val="22"/>
              </w:rPr>
              <w:t>569</w:t>
            </w:r>
          </w:p>
        </w:tc>
        <w:tc>
          <w:tcPr>
            <w:tcW w:w="1867" w:type="dxa"/>
            <w:tcBorders>
              <w:top w:val="single" w:sz="4" w:space="0" w:color="auto"/>
              <w:bottom w:val="double" w:sz="4" w:space="0" w:color="auto"/>
            </w:tcBorders>
          </w:tcPr>
          <w:p w:rsidR="006B0A70" w:rsidRPr="006C28D2" w:rsidRDefault="006B0A70" w:rsidP="00051046">
            <w:pPr>
              <w:tabs>
                <w:tab w:val="decimal" w:pos="1080"/>
              </w:tabs>
              <w:rPr>
                <w:sz w:val="22"/>
              </w:rPr>
            </w:pPr>
            <w:r>
              <w:rPr>
                <w:sz w:val="22"/>
              </w:rPr>
              <w:t>14,</w:t>
            </w:r>
            <w:r w:rsidR="00051046">
              <w:rPr>
                <w:sz w:val="22"/>
              </w:rPr>
              <w:t>725</w:t>
            </w:r>
          </w:p>
        </w:tc>
      </w:tr>
    </w:tbl>
    <w:p w:rsidR="0008007D" w:rsidRDefault="0008007D">
      <w:pPr>
        <w:rPr>
          <w:b/>
          <w:sz w:val="22"/>
        </w:rPr>
      </w:pPr>
    </w:p>
    <w:p w:rsidR="0083182E" w:rsidRDefault="001E1543" w:rsidP="000B3A5D">
      <w:pPr>
        <w:ind w:left="709" w:hanging="709"/>
        <w:jc w:val="both"/>
        <w:rPr>
          <w:b/>
          <w:sz w:val="22"/>
        </w:rPr>
      </w:pPr>
      <w:r>
        <w:rPr>
          <w:b/>
          <w:sz w:val="22"/>
        </w:rPr>
        <w:t>2</w:t>
      </w:r>
      <w:r w:rsidR="006B0A70">
        <w:rPr>
          <w:b/>
          <w:sz w:val="22"/>
        </w:rPr>
        <w:t>4</w:t>
      </w:r>
      <w:r w:rsidR="0083182E">
        <w:rPr>
          <w:b/>
          <w:sz w:val="22"/>
        </w:rPr>
        <w:tab/>
        <w:t>Adjust for items included in the net surplus</w:t>
      </w:r>
      <w:proofErr w:type="gramStart"/>
      <w:r w:rsidR="0083182E">
        <w:rPr>
          <w:b/>
          <w:sz w:val="22"/>
        </w:rPr>
        <w:t>/(</w:t>
      </w:r>
      <w:proofErr w:type="gramEnd"/>
      <w:r w:rsidR="0083182E">
        <w:rPr>
          <w:b/>
          <w:sz w:val="22"/>
        </w:rPr>
        <w:t>deficit) on the provision of services that are investing and financing activities</w:t>
      </w:r>
    </w:p>
    <w:p w:rsidR="00D90216" w:rsidRDefault="00D90216" w:rsidP="00D90216">
      <w:pPr>
        <w:ind w:left="709"/>
        <w:jc w:val="both"/>
        <w:rPr>
          <w:sz w:val="22"/>
        </w:rPr>
      </w:pPr>
    </w:p>
    <w:tbl>
      <w:tblPr>
        <w:tblW w:w="8414" w:type="dxa"/>
        <w:tblInd w:w="720" w:type="dxa"/>
        <w:tblLayout w:type="fixed"/>
        <w:tblLook w:val="0000" w:firstRow="0" w:lastRow="0" w:firstColumn="0" w:lastColumn="0" w:noHBand="0" w:noVBand="0"/>
      </w:tblPr>
      <w:tblGrid>
        <w:gridCol w:w="4680"/>
        <w:gridCol w:w="1867"/>
        <w:gridCol w:w="1867"/>
      </w:tblGrid>
      <w:tr w:rsidR="006B0A70" w:rsidRPr="005E70B7" w:rsidTr="00CD62E6">
        <w:trPr>
          <w:trHeight w:hRule="exact" w:val="300"/>
        </w:trPr>
        <w:tc>
          <w:tcPr>
            <w:tcW w:w="4680" w:type="dxa"/>
          </w:tcPr>
          <w:p w:rsidR="006B0A70" w:rsidRPr="00A60775" w:rsidRDefault="006B0A70" w:rsidP="00CD62E6">
            <w:pPr>
              <w:tabs>
                <w:tab w:val="left" w:pos="720"/>
                <w:tab w:val="center" w:pos="6930"/>
              </w:tabs>
              <w:rPr>
                <w:sz w:val="22"/>
                <w:highlight w:val="cyan"/>
              </w:rPr>
            </w:pPr>
          </w:p>
        </w:tc>
        <w:tc>
          <w:tcPr>
            <w:tcW w:w="1867" w:type="dxa"/>
          </w:tcPr>
          <w:p w:rsidR="006B0A70" w:rsidRPr="001844B0" w:rsidRDefault="006B0A70" w:rsidP="0096743B">
            <w:pPr>
              <w:jc w:val="center"/>
              <w:rPr>
                <w:sz w:val="22"/>
                <w:szCs w:val="22"/>
              </w:rPr>
            </w:pPr>
            <w:r w:rsidRPr="001844B0">
              <w:rPr>
                <w:sz w:val="22"/>
                <w:szCs w:val="22"/>
              </w:rPr>
              <w:t>201</w:t>
            </w:r>
            <w:r>
              <w:rPr>
                <w:sz w:val="22"/>
                <w:szCs w:val="22"/>
              </w:rPr>
              <w:t>7</w:t>
            </w:r>
            <w:r w:rsidRPr="001844B0">
              <w:rPr>
                <w:sz w:val="22"/>
                <w:szCs w:val="22"/>
              </w:rPr>
              <w:t>/1</w:t>
            </w:r>
            <w:r>
              <w:rPr>
                <w:sz w:val="22"/>
                <w:szCs w:val="22"/>
              </w:rPr>
              <w:t>8</w:t>
            </w:r>
          </w:p>
        </w:tc>
        <w:tc>
          <w:tcPr>
            <w:tcW w:w="1867" w:type="dxa"/>
          </w:tcPr>
          <w:p w:rsidR="006B0A70" w:rsidRPr="001844B0" w:rsidRDefault="006B0A70" w:rsidP="0096743B">
            <w:pPr>
              <w:jc w:val="center"/>
              <w:rPr>
                <w:sz w:val="22"/>
                <w:szCs w:val="22"/>
              </w:rPr>
            </w:pPr>
            <w:r w:rsidRPr="001844B0">
              <w:rPr>
                <w:sz w:val="22"/>
                <w:szCs w:val="22"/>
              </w:rPr>
              <w:t>201</w:t>
            </w:r>
            <w:r>
              <w:rPr>
                <w:sz w:val="22"/>
                <w:szCs w:val="22"/>
              </w:rPr>
              <w:t>6</w:t>
            </w:r>
            <w:r w:rsidRPr="001844B0">
              <w:rPr>
                <w:sz w:val="22"/>
                <w:szCs w:val="22"/>
              </w:rPr>
              <w:t>/1</w:t>
            </w:r>
            <w:r>
              <w:rPr>
                <w:sz w:val="22"/>
                <w:szCs w:val="22"/>
              </w:rPr>
              <w:t>7</w:t>
            </w:r>
          </w:p>
        </w:tc>
      </w:tr>
      <w:tr w:rsidR="00D90216" w:rsidRPr="001F7F67" w:rsidTr="00CD62E6">
        <w:trPr>
          <w:trHeight w:hRule="exact" w:val="300"/>
        </w:trPr>
        <w:tc>
          <w:tcPr>
            <w:tcW w:w="4680" w:type="dxa"/>
          </w:tcPr>
          <w:p w:rsidR="00D90216" w:rsidRPr="00A60775" w:rsidRDefault="00D90216" w:rsidP="00CD62E6">
            <w:pPr>
              <w:tabs>
                <w:tab w:val="left" w:pos="720"/>
                <w:tab w:val="center" w:pos="6930"/>
              </w:tabs>
              <w:spacing w:after="120"/>
              <w:rPr>
                <w:sz w:val="22"/>
                <w:highlight w:val="cyan"/>
              </w:rPr>
            </w:pPr>
          </w:p>
        </w:tc>
        <w:tc>
          <w:tcPr>
            <w:tcW w:w="1867" w:type="dxa"/>
          </w:tcPr>
          <w:p w:rsidR="00D90216" w:rsidRPr="00952524" w:rsidRDefault="00D90216" w:rsidP="00CD62E6">
            <w:pPr>
              <w:tabs>
                <w:tab w:val="decimal" w:pos="1080"/>
              </w:tabs>
              <w:rPr>
                <w:sz w:val="22"/>
              </w:rPr>
            </w:pPr>
            <w:r w:rsidRPr="00952524">
              <w:rPr>
                <w:sz w:val="22"/>
              </w:rPr>
              <w:t>£000</w:t>
            </w:r>
          </w:p>
        </w:tc>
        <w:tc>
          <w:tcPr>
            <w:tcW w:w="1867" w:type="dxa"/>
          </w:tcPr>
          <w:p w:rsidR="00D90216" w:rsidRPr="00952524" w:rsidRDefault="00D90216" w:rsidP="00CD62E6">
            <w:pPr>
              <w:tabs>
                <w:tab w:val="decimal" w:pos="1080"/>
              </w:tabs>
              <w:rPr>
                <w:sz w:val="22"/>
              </w:rPr>
            </w:pPr>
            <w:r w:rsidRPr="00952524">
              <w:rPr>
                <w:sz w:val="22"/>
              </w:rPr>
              <w:t>£000</w:t>
            </w:r>
          </w:p>
        </w:tc>
      </w:tr>
      <w:tr w:rsidR="006B0A70" w:rsidRPr="001F7F67" w:rsidTr="00CD62E6">
        <w:trPr>
          <w:trHeight w:hRule="exact" w:val="300"/>
        </w:trPr>
        <w:tc>
          <w:tcPr>
            <w:tcW w:w="4680" w:type="dxa"/>
          </w:tcPr>
          <w:p w:rsidR="006B0A70" w:rsidRPr="001F7F67" w:rsidRDefault="006B0A70" w:rsidP="00CD62E6">
            <w:pPr>
              <w:tabs>
                <w:tab w:val="left" w:pos="720"/>
                <w:tab w:val="center" w:pos="6930"/>
              </w:tabs>
              <w:rPr>
                <w:sz w:val="22"/>
              </w:rPr>
            </w:pPr>
            <w:r>
              <w:rPr>
                <w:sz w:val="22"/>
              </w:rPr>
              <w:t>Interest received</w:t>
            </w:r>
          </w:p>
        </w:tc>
        <w:tc>
          <w:tcPr>
            <w:tcW w:w="1867" w:type="dxa"/>
          </w:tcPr>
          <w:p w:rsidR="006146A9" w:rsidRPr="00952524" w:rsidRDefault="006146A9" w:rsidP="00CD62E6">
            <w:pPr>
              <w:tabs>
                <w:tab w:val="decimal" w:pos="1080"/>
              </w:tabs>
              <w:rPr>
                <w:sz w:val="22"/>
              </w:rPr>
            </w:pPr>
            <w:r>
              <w:rPr>
                <w:sz w:val="22"/>
              </w:rPr>
              <w:t>99</w:t>
            </w:r>
          </w:p>
        </w:tc>
        <w:tc>
          <w:tcPr>
            <w:tcW w:w="1867" w:type="dxa"/>
          </w:tcPr>
          <w:p w:rsidR="006B0A70" w:rsidRPr="00952524" w:rsidRDefault="006B0A70" w:rsidP="0096743B">
            <w:pPr>
              <w:tabs>
                <w:tab w:val="decimal" w:pos="1080"/>
              </w:tabs>
              <w:rPr>
                <w:sz w:val="22"/>
              </w:rPr>
            </w:pPr>
            <w:r>
              <w:rPr>
                <w:sz w:val="22"/>
              </w:rPr>
              <w:t>119</w:t>
            </w:r>
          </w:p>
        </w:tc>
      </w:tr>
      <w:tr w:rsidR="006B0A70" w:rsidRPr="001F7F67" w:rsidTr="00CD62E6">
        <w:trPr>
          <w:trHeight w:hRule="exact" w:val="277"/>
        </w:trPr>
        <w:tc>
          <w:tcPr>
            <w:tcW w:w="4680" w:type="dxa"/>
          </w:tcPr>
          <w:p w:rsidR="006B0A70" w:rsidRPr="009733E6" w:rsidRDefault="006B0A70" w:rsidP="00CD62E6">
            <w:pPr>
              <w:tabs>
                <w:tab w:val="left" w:pos="720"/>
                <w:tab w:val="center" w:pos="6930"/>
              </w:tabs>
              <w:rPr>
                <w:sz w:val="22"/>
              </w:rPr>
            </w:pPr>
            <w:r w:rsidRPr="009733E6">
              <w:rPr>
                <w:sz w:val="22"/>
              </w:rPr>
              <w:t>Interest paid</w:t>
            </w:r>
          </w:p>
        </w:tc>
        <w:tc>
          <w:tcPr>
            <w:tcW w:w="1867" w:type="dxa"/>
          </w:tcPr>
          <w:p w:rsidR="006B0A70" w:rsidRPr="00952524" w:rsidRDefault="006146A9" w:rsidP="00952524">
            <w:pPr>
              <w:tabs>
                <w:tab w:val="decimal" w:pos="1080"/>
              </w:tabs>
              <w:rPr>
                <w:sz w:val="22"/>
              </w:rPr>
            </w:pPr>
            <w:r>
              <w:rPr>
                <w:sz w:val="22"/>
              </w:rPr>
              <w:t>(1,553)</w:t>
            </w:r>
          </w:p>
        </w:tc>
        <w:tc>
          <w:tcPr>
            <w:tcW w:w="1867" w:type="dxa"/>
          </w:tcPr>
          <w:p w:rsidR="006B0A70" w:rsidRPr="00952524" w:rsidRDefault="006B0A70" w:rsidP="0096743B">
            <w:pPr>
              <w:tabs>
                <w:tab w:val="decimal" w:pos="1080"/>
              </w:tabs>
              <w:rPr>
                <w:sz w:val="22"/>
              </w:rPr>
            </w:pPr>
            <w:r>
              <w:rPr>
                <w:sz w:val="22"/>
              </w:rPr>
              <w:t>(1,612)</w:t>
            </w:r>
          </w:p>
        </w:tc>
      </w:tr>
    </w:tbl>
    <w:p w:rsidR="00D90216" w:rsidRPr="00255965" w:rsidRDefault="00D90216" w:rsidP="00D90216">
      <w:pPr>
        <w:tabs>
          <w:tab w:val="left" w:pos="720"/>
          <w:tab w:val="right" w:pos="5580"/>
          <w:tab w:val="right" w:pos="7740"/>
        </w:tabs>
        <w:rPr>
          <w:sz w:val="16"/>
          <w:szCs w:val="16"/>
          <w:highlight w:val="cyan"/>
        </w:rPr>
      </w:pPr>
    </w:p>
    <w:p w:rsidR="003B0AD2" w:rsidRPr="00255965" w:rsidRDefault="000B3A5D" w:rsidP="00222FC2">
      <w:pPr>
        <w:ind w:left="720"/>
        <w:jc w:val="both"/>
        <w:rPr>
          <w:sz w:val="22"/>
          <w:szCs w:val="22"/>
        </w:rPr>
      </w:pPr>
      <w:r w:rsidRPr="00255965">
        <w:rPr>
          <w:sz w:val="22"/>
          <w:szCs w:val="22"/>
        </w:rPr>
        <w:t xml:space="preserve">Interest paid includes </w:t>
      </w:r>
      <w:r w:rsidR="0073567B" w:rsidRPr="00255965">
        <w:rPr>
          <w:sz w:val="22"/>
          <w:szCs w:val="22"/>
        </w:rPr>
        <w:t xml:space="preserve">interest </w:t>
      </w:r>
      <w:r w:rsidRPr="00255965">
        <w:rPr>
          <w:sz w:val="22"/>
          <w:szCs w:val="22"/>
        </w:rPr>
        <w:t xml:space="preserve">payments in respect of both finance leases and PFI schemes (see </w:t>
      </w:r>
      <w:r w:rsidRPr="00814009">
        <w:rPr>
          <w:sz w:val="22"/>
          <w:szCs w:val="22"/>
        </w:rPr>
        <w:t xml:space="preserve">accounting policy note </w:t>
      </w:r>
      <w:r w:rsidR="00323206" w:rsidRPr="00814009">
        <w:rPr>
          <w:sz w:val="22"/>
          <w:szCs w:val="22"/>
        </w:rPr>
        <w:t>2</w:t>
      </w:r>
      <w:r w:rsidR="00814009" w:rsidRPr="00814009">
        <w:rPr>
          <w:sz w:val="22"/>
          <w:szCs w:val="22"/>
        </w:rPr>
        <w:t>8</w:t>
      </w:r>
      <w:r w:rsidRPr="006F6C1D">
        <w:rPr>
          <w:sz w:val="22"/>
          <w:szCs w:val="22"/>
        </w:rPr>
        <w:t>, sectio</w:t>
      </w:r>
      <w:r w:rsidR="006F6C1D" w:rsidRPr="006F6C1D">
        <w:rPr>
          <w:sz w:val="22"/>
          <w:szCs w:val="22"/>
        </w:rPr>
        <w:t>n</w:t>
      </w:r>
      <w:r w:rsidR="006F6C1D">
        <w:rPr>
          <w:sz w:val="22"/>
          <w:szCs w:val="22"/>
        </w:rPr>
        <w:t xml:space="preserve"> j</w:t>
      </w:r>
      <w:r w:rsidRPr="00255965">
        <w:rPr>
          <w:sz w:val="22"/>
          <w:szCs w:val="22"/>
        </w:rPr>
        <w:t>)</w:t>
      </w:r>
    </w:p>
    <w:p w:rsidR="00255965" w:rsidRDefault="00255965">
      <w:pPr>
        <w:rPr>
          <w:b/>
          <w:sz w:val="22"/>
          <w:szCs w:val="22"/>
        </w:rPr>
      </w:pPr>
      <w:r>
        <w:rPr>
          <w:sz w:val="22"/>
          <w:szCs w:val="22"/>
        </w:rPr>
        <w:br w:type="page"/>
      </w:r>
    </w:p>
    <w:p w:rsidR="00DF4B1E" w:rsidRPr="00DF4B1E" w:rsidRDefault="00040384" w:rsidP="006626A8">
      <w:pPr>
        <w:pStyle w:val="Heading1"/>
        <w:tabs>
          <w:tab w:val="num" w:pos="720"/>
        </w:tabs>
        <w:ind w:left="720" w:hanging="720"/>
        <w:rPr>
          <w:b w:val="0"/>
          <w:sz w:val="22"/>
          <w:szCs w:val="22"/>
        </w:rPr>
      </w:pPr>
      <w:r>
        <w:rPr>
          <w:sz w:val="22"/>
          <w:szCs w:val="22"/>
        </w:rPr>
        <w:lastRenderedPageBreak/>
        <w:t>2</w:t>
      </w:r>
      <w:r w:rsidR="005F6178">
        <w:rPr>
          <w:sz w:val="22"/>
          <w:szCs w:val="22"/>
        </w:rPr>
        <w:t>5</w:t>
      </w:r>
      <w:r w:rsidR="0029602A">
        <w:rPr>
          <w:sz w:val="22"/>
          <w:szCs w:val="22"/>
        </w:rPr>
        <w:tab/>
      </w:r>
      <w:r w:rsidR="00DF4B1E" w:rsidRPr="00DF4B1E">
        <w:rPr>
          <w:sz w:val="22"/>
          <w:szCs w:val="22"/>
        </w:rPr>
        <w:t>Assumptions made about the future and other major sources of estimation uncertainty</w:t>
      </w:r>
    </w:p>
    <w:p w:rsidR="00DF4B1E" w:rsidRDefault="00DF4B1E" w:rsidP="00DF4B1E">
      <w:pPr>
        <w:ind w:left="374" w:hanging="374"/>
        <w:jc w:val="both"/>
        <w:rPr>
          <w:b/>
          <w:sz w:val="22"/>
          <w:szCs w:val="22"/>
        </w:rPr>
      </w:pPr>
    </w:p>
    <w:p w:rsidR="00DF4B1E" w:rsidRDefault="00DF4B1E" w:rsidP="00DF4B1E">
      <w:pPr>
        <w:ind w:left="720"/>
        <w:jc w:val="both"/>
        <w:rPr>
          <w:sz w:val="22"/>
          <w:szCs w:val="22"/>
        </w:rPr>
      </w:pPr>
      <w:r w:rsidRPr="00DF4B1E">
        <w:rPr>
          <w:sz w:val="22"/>
          <w:szCs w:val="22"/>
        </w:rPr>
        <w:t>The Statement of Accounts contains estimated figures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5010A7" w:rsidRDefault="005010A7" w:rsidP="00DF4B1E">
      <w:pPr>
        <w:ind w:left="720"/>
        <w:jc w:val="both"/>
        <w:rPr>
          <w:sz w:val="22"/>
          <w:szCs w:val="22"/>
        </w:rPr>
      </w:pPr>
    </w:p>
    <w:p w:rsidR="00DF4B1E" w:rsidRPr="00DF4B1E" w:rsidRDefault="00DF4B1E" w:rsidP="00DF4B1E">
      <w:pPr>
        <w:ind w:left="720"/>
        <w:jc w:val="both"/>
        <w:rPr>
          <w:sz w:val="22"/>
          <w:szCs w:val="22"/>
        </w:rPr>
      </w:pPr>
      <w:r w:rsidRPr="00DF4B1E">
        <w:rPr>
          <w:sz w:val="22"/>
          <w:szCs w:val="22"/>
        </w:rPr>
        <w:t>The items in the Authority’s Balance Sheet at 31 March 201</w:t>
      </w:r>
      <w:r w:rsidR="005F6178">
        <w:rPr>
          <w:sz w:val="22"/>
          <w:szCs w:val="22"/>
        </w:rPr>
        <w:t>8</w:t>
      </w:r>
      <w:r w:rsidRPr="00DF4B1E">
        <w:rPr>
          <w:sz w:val="22"/>
          <w:szCs w:val="22"/>
        </w:rPr>
        <w:t xml:space="preserve"> for which there is a significant risk of material adjustment in the forthcoming financial year are as follows:</w:t>
      </w:r>
    </w:p>
    <w:p w:rsidR="00DF4B1E" w:rsidRPr="00DF4B1E" w:rsidRDefault="00DF4B1E" w:rsidP="00DF4B1E">
      <w:pPr>
        <w:ind w:left="374"/>
        <w:jc w:val="both"/>
        <w:rPr>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084"/>
        <w:gridCol w:w="3969"/>
      </w:tblGrid>
      <w:tr w:rsidR="00DF4B1E" w:rsidRPr="00397070" w:rsidTr="00397070">
        <w:tc>
          <w:tcPr>
            <w:tcW w:w="1870" w:type="dxa"/>
            <w:shd w:val="clear" w:color="auto" w:fill="auto"/>
          </w:tcPr>
          <w:p w:rsidR="00DF4B1E" w:rsidRPr="00397070" w:rsidRDefault="00DF4B1E" w:rsidP="00397070">
            <w:pPr>
              <w:jc w:val="both"/>
              <w:rPr>
                <w:sz w:val="22"/>
                <w:szCs w:val="22"/>
              </w:rPr>
            </w:pPr>
            <w:r w:rsidRPr="00397070">
              <w:rPr>
                <w:sz w:val="22"/>
                <w:szCs w:val="22"/>
              </w:rPr>
              <w:t>Item</w:t>
            </w:r>
          </w:p>
        </w:tc>
        <w:tc>
          <w:tcPr>
            <w:tcW w:w="4084" w:type="dxa"/>
            <w:shd w:val="clear" w:color="auto" w:fill="auto"/>
          </w:tcPr>
          <w:p w:rsidR="00DF4B1E" w:rsidRPr="00397070" w:rsidRDefault="00DF4B1E" w:rsidP="00397070">
            <w:pPr>
              <w:jc w:val="both"/>
              <w:rPr>
                <w:sz w:val="22"/>
                <w:szCs w:val="22"/>
              </w:rPr>
            </w:pPr>
            <w:r w:rsidRPr="00397070">
              <w:rPr>
                <w:sz w:val="22"/>
                <w:szCs w:val="22"/>
              </w:rPr>
              <w:t>Uncertainties</w:t>
            </w:r>
          </w:p>
        </w:tc>
        <w:tc>
          <w:tcPr>
            <w:tcW w:w="3969" w:type="dxa"/>
            <w:shd w:val="clear" w:color="auto" w:fill="auto"/>
          </w:tcPr>
          <w:p w:rsidR="00DF4B1E" w:rsidRPr="00397070" w:rsidRDefault="00DF4B1E" w:rsidP="00397070">
            <w:pPr>
              <w:jc w:val="both"/>
              <w:rPr>
                <w:sz w:val="22"/>
                <w:szCs w:val="22"/>
              </w:rPr>
            </w:pPr>
            <w:r w:rsidRPr="00397070">
              <w:rPr>
                <w:sz w:val="22"/>
                <w:szCs w:val="22"/>
              </w:rPr>
              <w:t>Effect if actual results differ from assumptions</w:t>
            </w:r>
          </w:p>
        </w:tc>
      </w:tr>
      <w:tr w:rsidR="00DF4B1E" w:rsidRPr="00397070" w:rsidTr="00397070">
        <w:tc>
          <w:tcPr>
            <w:tcW w:w="1870" w:type="dxa"/>
            <w:shd w:val="clear" w:color="auto" w:fill="auto"/>
          </w:tcPr>
          <w:p w:rsidR="00DF4B1E" w:rsidRPr="00397070" w:rsidRDefault="00DF4B1E" w:rsidP="00397070">
            <w:pPr>
              <w:jc w:val="both"/>
              <w:rPr>
                <w:sz w:val="22"/>
                <w:szCs w:val="22"/>
              </w:rPr>
            </w:pPr>
            <w:r w:rsidRPr="00397070">
              <w:rPr>
                <w:sz w:val="22"/>
                <w:szCs w:val="22"/>
              </w:rPr>
              <w:t>Property, Plant &amp; Equipment</w:t>
            </w:r>
          </w:p>
        </w:tc>
        <w:tc>
          <w:tcPr>
            <w:tcW w:w="4084" w:type="dxa"/>
            <w:shd w:val="clear" w:color="auto" w:fill="auto"/>
          </w:tcPr>
          <w:p w:rsidR="00DF4B1E" w:rsidRPr="00397070" w:rsidRDefault="00DF4B1E" w:rsidP="00397070">
            <w:pPr>
              <w:jc w:val="both"/>
              <w:rPr>
                <w:sz w:val="22"/>
                <w:szCs w:val="22"/>
              </w:rPr>
            </w:pPr>
            <w:r w:rsidRPr="00397070">
              <w:rPr>
                <w:sz w:val="22"/>
                <w:szCs w:val="22"/>
              </w:rPr>
              <w:t>Assets are depreciated over useful lives that are dependent on assumptions about the level of repairs and maintenance that will be incurred in relation to the individual assets.  The current economic climate makes it uncertain that the Authority will be able to sustain its current spending on repairs and maintenance, bringing into doubt the useful lives assigned to assets.</w:t>
            </w:r>
          </w:p>
        </w:tc>
        <w:tc>
          <w:tcPr>
            <w:tcW w:w="3969" w:type="dxa"/>
            <w:shd w:val="clear" w:color="auto" w:fill="auto"/>
          </w:tcPr>
          <w:p w:rsidR="00DF4B1E" w:rsidRPr="00397070" w:rsidRDefault="00DF4B1E" w:rsidP="00397070">
            <w:pPr>
              <w:jc w:val="both"/>
              <w:rPr>
                <w:sz w:val="22"/>
                <w:szCs w:val="22"/>
              </w:rPr>
            </w:pPr>
            <w:r w:rsidRPr="00397070">
              <w:rPr>
                <w:sz w:val="22"/>
                <w:szCs w:val="22"/>
              </w:rPr>
              <w:t>If the useful life of assets is reduced, depreciation increases and the carrying amount of the assets falls.</w:t>
            </w:r>
          </w:p>
          <w:p w:rsidR="00DF4B1E" w:rsidRPr="00397070" w:rsidRDefault="00DF4B1E" w:rsidP="00397070">
            <w:pPr>
              <w:jc w:val="both"/>
              <w:rPr>
                <w:sz w:val="22"/>
                <w:szCs w:val="22"/>
              </w:rPr>
            </w:pPr>
          </w:p>
          <w:p w:rsidR="00DF4B1E" w:rsidRPr="00397070" w:rsidRDefault="00DF4B1E" w:rsidP="00E469A6">
            <w:pPr>
              <w:jc w:val="both"/>
              <w:rPr>
                <w:sz w:val="22"/>
                <w:szCs w:val="22"/>
              </w:rPr>
            </w:pPr>
            <w:r w:rsidRPr="00E469A6">
              <w:rPr>
                <w:sz w:val="22"/>
                <w:szCs w:val="22"/>
              </w:rPr>
              <w:t>It is estimated that the annual depreciation charge for buildings would increase by £0.</w:t>
            </w:r>
            <w:r w:rsidR="00E469A6" w:rsidRPr="00E469A6">
              <w:rPr>
                <w:sz w:val="22"/>
                <w:szCs w:val="22"/>
              </w:rPr>
              <w:t>2</w:t>
            </w:r>
            <w:r w:rsidRPr="00E469A6">
              <w:rPr>
                <w:sz w:val="22"/>
                <w:szCs w:val="22"/>
              </w:rPr>
              <w:t>m for every year that useful lives had to be reduced.</w:t>
            </w:r>
          </w:p>
        </w:tc>
      </w:tr>
      <w:tr w:rsidR="00D54463" w:rsidRPr="00397070" w:rsidTr="00397070">
        <w:tc>
          <w:tcPr>
            <w:tcW w:w="1870" w:type="dxa"/>
            <w:shd w:val="clear" w:color="auto" w:fill="auto"/>
          </w:tcPr>
          <w:p w:rsidR="00D54463" w:rsidRPr="00474B01" w:rsidRDefault="00D54463" w:rsidP="00397070">
            <w:pPr>
              <w:jc w:val="both"/>
              <w:rPr>
                <w:sz w:val="22"/>
                <w:szCs w:val="22"/>
              </w:rPr>
            </w:pPr>
            <w:r w:rsidRPr="00474B01">
              <w:rPr>
                <w:sz w:val="22"/>
                <w:szCs w:val="22"/>
              </w:rPr>
              <w:t>Fair Value Measurements</w:t>
            </w:r>
          </w:p>
        </w:tc>
        <w:tc>
          <w:tcPr>
            <w:tcW w:w="4084" w:type="dxa"/>
            <w:shd w:val="clear" w:color="auto" w:fill="auto"/>
          </w:tcPr>
          <w:p w:rsidR="00D54463" w:rsidRPr="00474B01" w:rsidRDefault="00D54463" w:rsidP="00117739">
            <w:pPr>
              <w:jc w:val="both"/>
              <w:rPr>
                <w:sz w:val="22"/>
                <w:szCs w:val="22"/>
              </w:rPr>
            </w:pPr>
            <w:r w:rsidRPr="00474B01">
              <w:rPr>
                <w:sz w:val="22"/>
                <w:szCs w:val="22"/>
              </w:rPr>
              <w:t xml:space="preserve">When the fair values of financial liabilities cannot be measured based on quoted prices in active markets, their fair value is measured using </w:t>
            </w:r>
            <w:r w:rsidR="00117739" w:rsidRPr="00474B01">
              <w:rPr>
                <w:sz w:val="22"/>
                <w:szCs w:val="22"/>
              </w:rPr>
              <w:t xml:space="preserve">the </w:t>
            </w:r>
            <w:r w:rsidRPr="00474B01">
              <w:rPr>
                <w:sz w:val="22"/>
                <w:szCs w:val="22"/>
              </w:rPr>
              <w:t xml:space="preserve">Discounted Cash Flow </w:t>
            </w:r>
            <w:r w:rsidR="00117739" w:rsidRPr="00474B01">
              <w:rPr>
                <w:sz w:val="22"/>
                <w:szCs w:val="22"/>
              </w:rPr>
              <w:t>(</w:t>
            </w:r>
            <w:r w:rsidRPr="00474B01">
              <w:rPr>
                <w:sz w:val="22"/>
                <w:szCs w:val="22"/>
              </w:rPr>
              <w:t>DCF</w:t>
            </w:r>
            <w:r w:rsidR="00117739" w:rsidRPr="00474B01">
              <w:rPr>
                <w:sz w:val="22"/>
                <w:szCs w:val="22"/>
              </w:rPr>
              <w:t>)</w:t>
            </w:r>
            <w:r w:rsidRPr="00474B01">
              <w:rPr>
                <w:sz w:val="22"/>
                <w:szCs w:val="22"/>
              </w:rPr>
              <w:t xml:space="preserve"> model.</w:t>
            </w:r>
          </w:p>
        </w:tc>
        <w:tc>
          <w:tcPr>
            <w:tcW w:w="3969" w:type="dxa"/>
            <w:shd w:val="clear" w:color="auto" w:fill="auto"/>
          </w:tcPr>
          <w:p w:rsidR="00D54463" w:rsidRPr="00814177" w:rsidRDefault="003076C2" w:rsidP="00397070">
            <w:pPr>
              <w:jc w:val="both"/>
              <w:rPr>
                <w:sz w:val="22"/>
                <w:szCs w:val="22"/>
              </w:rPr>
            </w:pPr>
            <w:r w:rsidRPr="00814177">
              <w:rPr>
                <w:sz w:val="22"/>
                <w:szCs w:val="22"/>
              </w:rPr>
              <w:t>The Authority uses the DCF model to measure the fair value of its PFI liabilities.</w:t>
            </w:r>
          </w:p>
          <w:p w:rsidR="00E41E0D" w:rsidRPr="00814177" w:rsidRDefault="00474B01" w:rsidP="009F0CDF">
            <w:pPr>
              <w:jc w:val="both"/>
              <w:rPr>
                <w:sz w:val="22"/>
                <w:szCs w:val="22"/>
              </w:rPr>
            </w:pPr>
            <w:r w:rsidRPr="00814177">
              <w:rPr>
                <w:sz w:val="22"/>
                <w:szCs w:val="22"/>
              </w:rPr>
              <w:t>F</w:t>
            </w:r>
            <w:r w:rsidR="00E41E0D" w:rsidRPr="00814177">
              <w:rPr>
                <w:sz w:val="22"/>
                <w:szCs w:val="22"/>
              </w:rPr>
              <w:t xml:space="preserve">air value is calculated </w:t>
            </w:r>
            <w:r w:rsidRPr="00814177">
              <w:rPr>
                <w:sz w:val="22"/>
                <w:szCs w:val="22"/>
              </w:rPr>
              <w:t xml:space="preserve">using the bond yield rates against the annual net cash flows.  </w:t>
            </w:r>
            <w:r w:rsidRPr="00477F99">
              <w:rPr>
                <w:sz w:val="22"/>
                <w:szCs w:val="22"/>
              </w:rPr>
              <w:t>It is estimated that a 1</w:t>
            </w:r>
            <w:proofErr w:type="gramStart"/>
            <w:r w:rsidRPr="00477F99">
              <w:rPr>
                <w:sz w:val="22"/>
                <w:szCs w:val="22"/>
              </w:rPr>
              <w:t xml:space="preserve">% </w:t>
            </w:r>
            <w:r w:rsidR="00E41E0D" w:rsidRPr="00477F99">
              <w:rPr>
                <w:sz w:val="22"/>
                <w:szCs w:val="22"/>
              </w:rPr>
              <w:t xml:space="preserve"> </w:t>
            </w:r>
            <w:r w:rsidR="00814177" w:rsidRPr="00477F99">
              <w:rPr>
                <w:sz w:val="22"/>
                <w:szCs w:val="22"/>
              </w:rPr>
              <w:t>decrease</w:t>
            </w:r>
            <w:proofErr w:type="gramEnd"/>
            <w:r w:rsidR="00E41E0D" w:rsidRPr="00477F99">
              <w:rPr>
                <w:sz w:val="22"/>
                <w:szCs w:val="22"/>
              </w:rPr>
              <w:t xml:space="preserve"> in the discount rate w</w:t>
            </w:r>
            <w:r w:rsidR="00E41E0D" w:rsidRPr="009F0CDF">
              <w:rPr>
                <w:sz w:val="22"/>
                <w:szCs w:val="22"/>
              </w:rPr>
              <w:t xml:space="preserve">ould </w:t>
            </w:r>
            <w:r w:rsidR="00477F99" w:rsidRPr="009F0CDF">
              <w:rPr>
                <w:sz w:val="22"/>
                <w:szCs w:val="22"/>
              </w:rPr>
              <w:t>increase the fair value by £</w:t>
            </w:r>
            <w:r w:rsidR="009F0CDF" w:rsidRPr="009F0CDF">
              <w:rPr>
                <w:sz w:val="22"/>
                <w:szCs w:val="22"/>
              </w:rPr>
              <w:t>1.7</w:t>
            </w:r>
            <w:r w:rsidR="00814177" w:rsidRPr="009F0CDF">
              <w:rPr>
                <w:sz w:val="22"/>
                <w:szCs w:val="22"/>
              </w:rPr>
              <w:t>m.</w:t>
            </w:r>
          </w:p>
        </w:tc>
      </w:tr>
      <w:tr w:rsidR="00DF4B1E" w:rsidRPr="00397070" w:rsidTr="00397070">
        <w:tc>
          <w:tcPr>
            <w:tcW w:w="1870" w:type="dxa"/>
            <w:shd w:val="clear" w:color="auto" w:fill="auto"/>
          </w:tcPr>
          <w:p w:rsidR="00DF4B1E" w:rsidRPr="00397070" w:rsidRDefault="00DF4B1E" w:rsidP="00397070">
            <w:pPr>
              <w:jc w:val="both"/>
              <w:rPr>
                <w:sz w:val="22"/>
                <w:szCs w:val="22"/>
              </w:rPr>
            </w:pPr>
            <w:r w:rsidRPr="00397070">
              <w:rPr>
                <w:sz w:val="22"/>
                <w:szCs w:val="22"/>
              </w:rPr>
              <w:t>Pension Liability</w:t>
            </w:r>
          </w:p>
        </w:tc>
        <w:tc>
          <w:tcPr>
            <w:tcW w:w="4084" w:type="dxa"/>
            <w:shd w:val="clear" w:color="auto" w:fill="auto"/>
          </w:tcPr>
          <w:p w:rsidR="00DF4B1E" w:rsidRPr="00397070" w:rsidRDefault="00DF4B1E" w:rsidP="008F6E00">
            <w:pPr>
              <w:jc w:val="both"/>
              <w:rPr>
                <w:sz w:val="22"/>
                <w:szCs w:val="22"/>
              </w:rPr>
            </w:pPr>
            <w:r w:rsidRPr="00397070">
              <w:rPr>
                <w:sz w:val="22"/>
                <w:szCs w:val="22"/>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w:t>
            </w:r>
            <w:r w:rsidR="008F6E00">
              <w:rPr>
                <w:sz w:val="22"/>
                <w:szCs w:val="22"/>
              </w:rPr>
              <w:t>C</w:t>
            </w:r>
            <w:r w:rsidRPr="00397070">
              <w:rPr>
                <w:sz w:val="22"/>
                <w:szCs w:val="22"/>
              </w:rPr>
              <w:t xml:space="preserve">onsulting actuaries </w:t>
            </w:r>
            <w:r w:rsidR="008F6E00">
              <w:rPr>
                <w:sz w:val="22"/>
                <w:szCs w:val="22"/>
              </w:rPr>
              <w:t>are</w:t>
            </w:r>
            <w:r w:rsidRPr="00397070">
              <w:rPr>
                <w:sz w:val="22"/>
                <w:szCs w:val="22"/>
              </w:rPr>
              <w:t xml:space="preserve"> engaged to provide the Authority with expert advice about the assumptions to be applied</w:t>
            </w:r>
            <w:r w:rsidR="008F6E00">
              <w:rPr>
                <w:sz w:val="22"/>
                <w:szCs w:val="22"/>
              </w:rPr>
              <w:t xml:space="preserve"> to each scheme</w:t>
            </w:r>
            <w:r w:rsidRPr="00397070">
              <w:rPr>
                <w:sz w:val="22"/>
                <w:szCs w:val="22"/>
              </w:rPr>
              <w:t>.</w:t>
            </w:r>
          </w:p>
        </w:tc>
        <w:tc>
          <w:tcPr>
            <w:tcW w:w="3969" w:type="dxa"/>
            <w:shd w:val="clear" w:color="auto" w:fill="auto"/>
          </w:tcPr>
          <w:p w:rsidR="00A543FC" w:rsidRPr="0046475C" w:rsidRDefault="00DF4B1E" w:rsidP="00397070">
            <w:pPr>
              <w:jc w:val="both"/>
              <w:rPr>
                <w:sz w:val="22"/>
                <w:szCs w:val="22"/>
              </w:rPr>
            </w:pPr>
            <w:r w:rsidRPr="0046475C">
              <w:rPr>
                <w:sz w:val="22"/>
                <w:szCs w:val="22"/>
              </w:rPr>
              <w:t>The effects on the net pension liability of changes in individua</w:t>
            </w:r>
            <w:r w:rsidR="00A543FC" w:rsidRPr="0046475C">
              <w:rPr>
                <w:sz w:val="22"/>
                <w:szCs w:val="22"/>
              </w:rPr>
              <w:t>l assumptions can be measured as follows:</w:t>
            </w:r>
          </w:p>
          <w:p w:rsidR="00212C25" w:rsidRPr="009F0CDF" w:rsidRDefault="00212C25" w:rsidP="00212C25">
            <w:pPr>
              <w:jc w:val="both"/>
              <w:rPr>
                <w:sz w:val="22"/>
                <w:szCs w:val="22"/>
              </w:rPr>
            </w:pPr>
            <w:r w:rsidRPr="0046475C">
              <w:rPr>
                <w:sz w:val="22"/>
                <w:szCs w:val="22"/>
              </w:rPr>
              <w:t>A</w:t>
            </w:r>
            <w:r w:rsidR="00DF4B1E" w:rsidRPr="0046475C">
              <w:rPr>
                <w:sz w:val="22"/>
                <w:szCs w:val="22"/>
              </w:rPr>
              <w:t xml:space="preserve"> 0.1% increase in the</w:t>
            </w:r>
            <w:r w:rsidRPr="0046475C">
              <w:rPr>
                <w:sz w:val="22"/>
                <w:szCs w:val="22"/>
              </w:rPr>
              <w:t>se</w:t>
            </w:r>
            <w:r w:rsidR="00DF4B1E" w:rsidRPr="0046475C">
              <w:rPr>
                <w:sz w:val="22"/>
                <w:szCs w:val="22"/>
              </w:rPr>
              <w:t xml:space="preserve"> </w:t>
            </w:r>
            <w:r w:rsidRPr="0046475C">
              <w:rPr>
                <w:sz w:val="22"/>
                <w:szCs w:val="22"/>
              </w:rPr>
              <w:t xml:space="preserve">assumptions has the following effect on the net </w:t>
            </w:r>
            <w:r w:rsidRPr="009F0CDF">
              <w:rPr>
                <w:sz w:val="22"/>
                <w:szCs w:val="22"/>
              </w:rPr>
              <w:t>pension liability:</w:t>
            </w:r>
          </w:p>
          <w:p w:rsidR="00212C25" w:rsidRPr="009F0CDF" w:rsidRDefault="00212C25" w:rsidP="00882E25">
            <w:pPr>
              <w:numPr>
                <w:ilvl w:val="0"/>
                <w:numId w:val="26"/>
              </w:numPr>
              <w:tabs>
                <w:tab w:val="clear" w:pos="720"/>
                <w:tab w:val="num" w:pos="459"/>
              </w:tabs>
              <w:ind w:left="459" w:hanging="284"/>
              <w:jc w:val="both"/>
              <w:rPr>
                <w:sz w:val="22"/>
                <w:szCs w:val="22"/>
              </w:rPr>
            </w:pPr>
            <w:r w:rsidRPr="009F0CDF">
              <w:rPr>
                <w:sz w:val="22"/>
                <w:szCs w:val="22"/>
              </w:rPr>
              <w:t xml:space="preserve">Discount rate – decrease of </w:t>
            </w:r>
            <w:r w:rsidR="0007247A" w:rsidRPr="009F0CDF">
              <w:rPr>
                <w:sz w:val="22"/>
                <w:szCs w:val="22"/>
              </w:rPr>
              <w:t>£1</w:t>
            </w:r>
            <w:r w:rsidR="008254B8">
              <w:rPr>
                <w:sz w:val="22"/>
                <w:szCs w:val="22"/>
              </w:rPr>
              <w:t>6.3</w:t>
            </w:r>
            <w:r w:rsidRPr="009F0CDF">
              <w:rPr>
                <w:sz w:val="22"/>
                <w:szCs w:val="22"/>
              </w:rPr>
              <w:t>m</w:t>
            </w:r>
          </w:p>
          <w:p w:rsidR="00212C25" w:rsidRPr="009F0CDF" w:rsidRDefault="00212C25" w:rsidP="00882E25">
            <w:pPr>
              <w:numPr>
                <w:ilvl w:val="0"/>
                <w:numId w:val="26"/>
              </w:numPr>
              <w:tabs>
                <w:tab w:val="clear" w:pos="720"/>
                <w:tab w:val="num" w:pos="459"/>
              </w:tabs>
              <w:ind w:left="459" w:hanging="284"/>
              <w:jc w:val="both"/>
              <w:rPr>
                <w:sz w:val="22"/>
                <w:szCs w:val="22"/>
              </w:rPr>
            </w:pPr>
            <w:r w:rsidRPr="009F0CDF">
              <w:rPr>
                <w:sz w:val="22"/>
                <w:szCs w:val="22"/>
              </w:rPr>
              <w:t xml:space="preserve">Inflation rate – increase of </w:t>
            </w:r>
            <w:r w:rsidR="00864F4C" w:rsidRPr="009F0CDF">
              <w:rPr>
                <w:sz w:val="22"/>
                <w:szCs w:val="22"/>
              </w:rPr>
              <w:t>£1</w:t>
            </w:r>
            <w:r w:rsidR="009F0CDF" w:rsidRPr="009F0CDF">
              <w:rPr>
                <w:sz w:val="22"/>
                <w:szCs w:val="22"/>
              </w:rPr>
              <w:t>3</w:t>
            </w:r>
            <w:r w:rsidR="0046475C" w:rsidRPr="009F0CDF">
              <w:rPr>
                <w:sz w:val="22"/>
                <w:szCs w:val="22"/>
              </w:rPr>
              <w:t>.</w:t>
            </w:r>
            <w:r w:rsidR="008254B8">
              <w:rPr>
                <w:sz w:val="22"/>
                <w:szCs w:val="22"/>
              </w:rPr>
              <w:t>4</w:t>
            </w:r>
            <w:r w:rsidR="008254B8" w:rsidRPr="009F0CDF">
              <w:rPr>
                <w:sz w:val="22"/>
                <w:szCs w:val="22"/>
              </w:rPr>
              <w:t>m</w:t>
            </w:r>
          </w:p>
          <w:p w:rsidR="00212C25" w:rsidRPr="009F0CDF" w:rsidRDefault="00360F3A" w:rsidP="00882E25">
            <w:pPr>
              <w:numPr>
                <w:ilvl w:val="0"/>
                <w:numId w:val="26"/>
              </w:numPr>
              <w:tabs>
                <w:tab w:val="clear" w:pos="720"/>
                <w:tab w:val="num" w:pos="459"/>
              </w:tabs>
              <w:ind w:left="459" w:hanging="284"/>
              <w:jc w:val="both"/>
              <w:rPr>
                <w:sz w:val="22"/>
                <w:szCs w:val="22"/>
              </w:rPr>
            </w:pPr>
            <w:r w:rsidRPr="009F0CDF">
              <w:rPr>
                <w:sz w:val="22"/>
                <w:szCs w:val="22"/>
              </w:rPr>
              <w:t xml:space="preserve">Pay growth – increase </w:t>
            </w:r>
            <w:r w:rsidR="00AA7406" w:rsidRPr="009F0CDF">
              <w:rPr>
                <w:sz w:val="22"/>
                <w:szCs w:val="22"/>
              </w:rPr>
              <w:t>of £</w:t>
            </w:r>
            <w:r w:rsidR="00886599" w:rsidRPr="009F0CDF">
              <w:rPr>
                <w:sz w:val="22"/>
                <w:szCs w:val="22"/>
              </w:rPr>
              <w:t>1.</w:t>
            </w:r>
            <w:r w:rsidR="008254B8">
              <w:rPr>
                <w:sz w:val="22"/>
                <w:szCs w:val="22"/>
              </w:rPr>
              <w:t>7</w:t>
            </w:r>
            <w:r w:rsidR="008254B8" w:rsidRPr="009F0CDF">
              <w:rPr>
                <w:sz w:val="22"/>
                <w:szCs w:val="22"/>
              </w:rPr>
              <w:t>m</w:t>
            </w:r>
          </w:p>
          <w:p w:rsidR="00DF4B1E" w:rsidRPr="0046475C" w:rsidRDefault="007E5358" w:rsidP="008254B8">
            <w:pPr>
              <w:jc w:val="both"/>
              <w:rPr>
                <w:sz w:val="22"/>
                <w:szCs w:val="22"/>
              </w:rPr>
            </w:pPr>
            <w:r w:rsidRPr="009F0CDF">
              <w:rPr>
                <w:sz w:val="22"/>
                <w:szCs w:val="22"/>
              </w:rPr>
              <w:t xml:space="preserve">A 1 year increase in life expectancy will increase the net pension liability by </w:t>
            </w:r>
            <w:r w:rsidR="00864F4C" w:rsidRPr="009F0CDF">
              <w:rPr>
                <w:sz w:val="22"/>
                <w:szCs w:val="22"/>
              </w:rPr>
              <w:t>£</w:t>
            </w:r>
            <w:r w:rsidR="0046475C" w:rsidRPr="009F0CDF">
              <w:rPr>
                <w:sz w:val="22"/>
                <w:szCs w:val="22"/>
              </w:rPr>
              <w:t>5.</w:t>
            </w:r>
            <w:r w:rsidR="008254B8">
              <w:rPr>
                <w:sz w:val="22"/>
                <w:szCs w:val="22"/>
              </w:rPr>
              <w:t>3</w:t>
            </w:r>
            <w:r w:rsidR="008254B8" w:rsidRPr="009F0CDF">
              <w:rPr>
                <w:sz w:val="22"/>
                <w:szCs w:val="22"/>
              </w:rPr>
              <w:t>m</w:t>
            </w:r>
            <w:r w:rsidRPr="009F0CDF">
              <w:rPr>
                <w:sz w:val="22"/>
                <w:szCs w:val="22"/>
              </w:rPr>
              <w:t>.</w:t>
            </w:r>
          </w:p>
        </w:tc>
      </w:tr>
    </w:tbl>
    <w:p w:rsidR="00DF4B1E" w:rsidRPr="00DF4B1E" w:rsidRDefault="00DF4B1E" w:rsidP="00DF4B1E">
      <w:pPr>
        <w:ind w:left="374"/>
        <w:jc w:val="both"/>
        <w:rPr>
          <w:sz w:val="22"/>
          <w:szCs w:val="22"/>
        </w:rPr>
      </w:pPr>
      <w:r w:rsidRPr="00DF4B1E">
        <w:rPr>
          <w:sz w:val="22"/>
          <w:szCs w:val="22"/>
        </w:rPr>
        <w:t xml:space="preserve"> </w:t>
      </w:r>
    </w:p>
    <w:p w:rsidR="00DF4B1E" w:rsidRPr="00DF4B1E" w:rsidRDefault="00DF4B1E" w:rsidP="006626A8">
      <w:pPr>
        <w:ind w:left="709"/>
        <w:jc w:val="both"/>
        <w:rPr>
          <w:sz w:val="22"/>
          <w:szCs w:val="22"/>
        </w:rPr>
      </w:pPr>
      <w:r w:rsidRPr="00DF4B1E">
        <w:rPr>
          <w:sz w:val="22"/>
          <w:szCs w:val="22"/>
        </w:rPr>
        <w:t>This list does not include assets and liabilities that are carried at fair value based on a recently observed market price.</w:t>
      </w:r>
    </w:p>
    <w:p w:rsidR="00E874AD" w:rsidRDefault="00E874AD">
      <w:pPr>
        <w:rPr>
          <w:sz w:val="22"/>
          <w:szCs w:val="22"/>
        </w:rPr>
      </w:pPr>
      <w:r>
        <w:rPr>
          <w:sz w:val="22"/>
          <w:szCs w:val="22"/>
        </w:rPr>
        <w:br w:type="page"/>
      </w:r>
    </w:p>
    <w:p w:rsidR="00DF4B1E" w:rsidRDefault="00DF4B1E" w:rsidP="00DF4B1E">
      <w:pPr>
        <w:ind w:left="720"/>
        <w:jc w:val="both"/>
        <w:rPr>
          <w:sz w:val="22"/>
          <w:szCs w:val="22"/>
        </w:rPr>
      </w:pPr>
    </w:p>
    <w:p w:rsidR="009B6F2A" w:rsidRPr="004F2F53" w:rsidRDefault="006626A8" w:rsidP="009B6F2A">
      <w:pPr>
        <w:rPr>
          <w:b/>
          <w:sz w:val="22"/>
        </w:rPr>
      </w:pPr>
      <w:r>
        <w:rPr>
          <w:b/>
          <w:sz w:val="22"/>
        </w:rPr>
        <w:t>2</w:t>
      </w:r>
      <w:r w:rsidR="0096743B">
        <w:rPr>
          <w:b/>
          <w:sz w:val="22"/>
        </w:rPr>
        <w:t>6</w:t>
      </w:r>
      <w:r>
        <w:rPr>
          <w:b/>
          <w:sz w:val="22"/>
        </w:rPr>
        <w:tab/>
      </w:r>
      <w:r w:rsidR="009B6F2A" w:rsidRPr="004F2F53">
        <w:rPr>
          <w:b/>
          <w:sz w:val="22"/>
        </w:rPr>
        <w:t>Accounting Standards issued but not yet adopted</w:t>
      </w:r>
    </w:p>
    <w:p w:rsidR="009B6F2A" w:rsidRPr="004F2F53" w:rsidRDefault="009B6F2A" w:rsidP="009B6F2A">
      <w:pPr>
        <w:ind w:left="720"/>
        <w:rPr>
          <w:sz w:val="22"/>
        </w:rPr>
      </w:pPr>
    </w:p>
    <w:p w:rsidR="009B6F2A" w:rsidRPr="0056785D" w:rsidRDefault="009B6F2A" w:rsidP="00CF7E56">
      <w:pPr>
        <w:ind w:left="720"/>
        <w:jc w:val="both"/>
        <w:rPr>
          <w:sz w:val="22"/>
        </w:rPr>
      </w:pPr>
      <w:r w:rsidRPr="004F2F53">
        <w:rPr>
          <w:sz w:val="22"/>
        </w:rPr>
        <w:t>For 201</w:t>
      </w:r>
      <w:r w:rsidR="0096743B">
        <w:rPr>
          <w:sz w:val="22"/>
        </w:rPr>
        <w:t>7</w:t>
      </w:r>
      <w:r w:rsidRPr="004F2F53">
        <w:rPr>
          <w:sz w:val="22"/>
        </w:rPr>
        <w:t>/1</w:t>
      </w:r>
      <w:r w:rsidR="0096743B">
        <w:rPr>
          <w:sz w:val="22"/>
        </w:rPr>
        <w:t>8</w:t>
      </w:r>
      <w:r w:rsidRPr="004F2F53">
        <w:rPr>
          <w:sz w:val="22"/>
        </w:rPr>
        <w:t xml:space="preserve"> the </w:t>
      </w:r>
      <w:r w:rsidRPr="0056785D">
        <w:rPr>
          <w:sz w:val="22"/>
        </w:rPr>
        <w:t>following accounting policy changes that need to be reported relate to:</w:t>
      </w:r>
    </w:p>
    <w:p w:rsidR="00CF7E56" w:rsidRPr="0056785D" w:rsidRDefault="0056785D" w:rsidP="00882E25">
      <w:pPr>
        <w:numPr>
          <w:ilvl w:val="0"/>
          <w:numId w:val="25"/>
        </w:numPr>
        <w:jc w:val="both"/>
        <w:rPr>
          <w:sz w:val="22"/>
        </w:rPr>
      </w:pPr>
      <w:r w:rsidRPr="0056785D">
        <w:rPr>
          <w:sz w:val="22"/>
        </w:rPr>
        <w:t>IFRS 9 Financial instruments</w:t>
      </w:r>
    </w:p>
    <w:p w:rsidR="0056785D" w:rsidRPr="0056785D" w:rsidRDefault="0056785D" w:rsidP="00882E25">
      <w:pPr>
        <w:numPr>
          <w:ilvl w:val="0"/>
          <w:numId w:val="25"/>
        </w:numPr>
        <w:jc w:val="both"/>
        <w:rPr>
          <w:sz w:val="22"/>
        </w:rPr>
      </w:pPr>
      <w:r w:rsidRPr="0056785D">
        <w:rPr>
          <w:sz w:val="22"/>
        </w:rPr>
        <w:t>IFRS 15 Revenue from Contracts with Customers</w:t>
      </w:r>
    </w:p>
    <w:p w:rsidR="0056785D" w:rsidRPr="0056785D" w:rsidRDefault="0056785D" w:rsidP="00882E25">
      <w:pPr>
        <w:numPr>
          <w:ilvl w:val="0"/>
          <w:numId w:val="25"/>
        </w:numPr>
        <w:jc w:val="both"/>
        <w:rPr>
          <w:sz w:val="22"/>
        </w:rPr>
      </w:pPr>
      <w:r w:rsidRPr="0056785D">
        <w:rPr>
          <w:sz w:val="22"/>
        </w:rPr>
        <w:t>Amendments to IAS 12 Income Taxes: Recognition of Deferred Tax Assets for Unrealised Losses</w:t>
      </w:r>
    </w:p>
    <w:p w:rsidR="0056785D" w:rsidRPr="0056785D" w:rsidRDefault="0056785D" w:rsidP="00882E25">
      <w:pPr>
        <w:numPr>
          <w:ilvl w:val="0"/>
          <w:numId w:val="25"/>
        </w:numPr>
        <w:jc w:val="both"/>
        <w:rPr>
          <w:sz w:val="22"/>
        </w:rPr>
      </w:pPr>
      <w:r w:rsidRPr="0056785D">
        <w:rPr>
          <w:sz w:val="22"/>
        </w:rPr>
        <w:t>Amendments to IAS 7 Statement of Cash Flows: Disclosure Initiative</w:t>
      </w:r>
    </w:p>
    <w:p w:rsidR="009B6F2A" w:rsidRPr="0056785D" w:rsidRDefault="009B6F2A" w:rsidP="009B6F2A">
      <w:pPr>
        <w:ind w:left="1800"/>
        <w:jc w:val="both"/>
        <w:rPr>
          <w:sz w:val="22"/>
        </w:rPr>
      </w:pPr>
    </w:p>
    <w:p w:rsidR="009B6F2A" w:rsidRPr="004F2F53" w:rsidRDefault="009B6F2A" w:rsidP="00CF7E56">
      <w:pPr>
        <w:ind w:left="720"/>
        <w:jc w:val="both"/>
        <w:rPr>
          <w:sz w:val="22"/>
        </w:rPr>
      </w:pPr>
      <w:r w:rsidRPr="0056785D">
        <w:rPr>
          <w:sz w:val="22"/>
        </w:rPr>
        <w:t>These standards will be incorporated</w:t>
      </w:r>
      <w:r w:rsidRPr="004F2F53">
        <w:rPr>
          <w:sz w:val="22"/>
        </w:rPr>
        <w:t xml:space="preserve"> into the Statement of Accounts as required by the Code</w:t>
      </w:r>
      <w:r w:rsidR="0056785D">
        <w:rPr>
          <w:sz w:val="22"/>
        </w:rPr>
        <w:t>, but are not expected to have a material impact</w:t>
      </w:r>
      <w:r w:rsidRPr="004F2F53">
        <w:rPr>
          <w:sz w:val="22"/>
        </w:rPr>
        <w:t>.</w:t>
      </w:r>
    </w:p>
    <w:p w:rsidR="009B6F2A" w:rsidRPr="00BE48DC" w:rsidRDefault="009B6F2A" w:rsidP="009B6F2A">
      <w:pPr>
        <w:ind w:left="1440"/>
        <w:jc w:val="both"/>
        <w:rPr>
          <w:sz w:val="22"/>
        </w:rPr>
      </w:pPr>
    </w:p>
    <w:p w:rsidR="009B6F2A" w:rsidRPr="009D7148" w:rsidRDefault="006626A8" w:rsidP="009D7148">
      <w:pPr>
        <w:rPr>
          <w:sz w:val="22"/>
          <w:szCs w:val="22"/>
          <w:highlight w:val="yellow"/>
        </w:rPr>
      </w:pPr>
      <w:r>
        <w:rPr>
          <w:b/>
          <w:sz w:val="22"/>
        </w:rPr>
        <w:t>2</w:t>
      </w:r>
      <w:r w:rsidR="0096743B">
        <w:rPr>
          <w:b/>
          <w:sz w:val="22"/>
        </w:rPr>
        <w:t>7</w:t>
      </w:r>
      <w:r>
        <w:rPr>
          <w:b/>
          <w:sz w:val="22"/>
        </w:rPr>
        <w:tab/>
      </w:r>
      <w:r w:rsidR="00792963">
        <w:rPr>
          <w:b/>
          <w:sz w:val="22"/>
        </w:rPr>
        <w:t>Expenditure and Income Analysed by Nature</w:t>
      </w:r>
      <w:r w:rsidR="00B669BB" w:rsidRPr="009D7148">
        <w:rPr>
          <w:sz w:val="22"/>
          <w:szCs w:val="22"/>
          <w:highlight w:val="yellow"/>
        </w:rPr>
        <w:t xml:space="preserve"> </w:t>
      </w:r>
    </w:p>
    <w:p w:rsidR="00DF4B1E" w:rsidRPr="009D7148" w:rsidRDefault="00DF4B1E" w:rsidP="00D90216">
      <w:pPr>
        <w:rPr>
          <w:sz w:val="22"/>
        </w:rPr>
      </w:pPr>
    </w:p>
    <w:p w:rsidR="00B55DEC" w:rsidRPr="009D7148" w:rsidRDefault="00B55DEC" w:rsidP="009D7148">
      <w:pPr>
        <w:ind w:left="720"/>
        <w:jc w:val="both"/>
        <w:rPr>
          <w:sz w:val="22"/>
        </w:rPr>
      </w:pPr>
      <w:r w:rsidRPr="009D7148">
        <w:rPr>
          <w:sz w:val="22"/>
        </w:rPr>
        <w:t>The Authority’s expenditure and income is analysed as follows:</w:t>
      </w:r>
    </w:p>
    <w:p w:rsidR="00B55DEC" w:rsidRPr="009D7148" w:rsidRDefault="00B55DEC" w:rsidP="009D7148">
      <w:pPr>
        <w:ind w:left="720"/>
        <w:jc w:val="both"/>
        <w:rPr>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1635"/>
        <w:gridCol w:w="1756"/>
      </w:tblGrid>
      <w:tr w:rsidR="00B55DEC" w:rsidTr="009D7148">
        <w:tc>
          <w:tcPr>
            <w:tcW w:w="5342" w:type="dxa"/>
          </w:tcPr>
          <w:p w:rsidR="00B55DEC" w:rsidRDefault="00B55DEC" w:rsidP="00B55DEC">
            <w:pPr>
              <w:jc w:val="both"/>
              <w:rPr>
                <w:sz w:val="22"/>
              </w:rPr>
            </w:pPr>
          </w:p>
        </w:tc>
        <w:tc>
          <w:tcPr>
            <w:tcW w:w="1635" w:type="dxa"/>
          </w:tcPr>
          <w:p w:rsidR="00B55DEC" w:rsidRPr="009D7148" w:rsidRDefault="00B55DEC" w:rsidP="009D7148">
            <w:pPr>
              <w:jc w:val="center"/>
              <w:rPr>
                <w:b/>
                <w:sz w:val="22"/>
              </w:rPr>
            </w:pPr>
            <w:r w:rsidRPr="001844B0">
              <w:rPr>
                <w:sz w:val="22"/>
                <w:szCs w:val="22"/>
              </w:rPr>
              <w:t>201</w:t>
            </w:r>
            <w:r>
              <w:rPr>
                <w:sz w:val="22"/>
                <w:szCs w:val="22"/>
              </w:rPr>
              <w:t>7</w:t>
            </w:r>
            <w:r w:rsidRPr="001844B0">
              <w:rPr>
                <w:sz w:val="22"/>
                <w:szCs w:val="22"/>
              </w:rPr>
              <w:t>/1</w:t>
            </w:r>
            <w:r>
              <w:rPr>
                <w:sz w:val="22"/>
                <w:szCs w:val="22"/>
              </w:rPr>
              <w:t>8</w:t>
            </w:r>
          </w:p>
        </w:tc>
        <w:tc>
          <w:tcPr>
            <w:tcW w:w="1756" w:type="dxa"/>
          </w:tcPr>
          <w:p w:rsidR="00B55DEC" w:rsidRPr="009D7148" w:rsidRDefault="00B55DEC" w:rsidP="009D7148">
            <w:pPr>
              <w:jc w:val="center"/>
              <w:rPr>
                <w:b/>
                <w:sz w:val="22"/>
              </w:rPr>
            </w:pPr>
            <w:r w:rsidRPr="001844B0">
              <w:rPr>
                <w:sz w:val="22"/>
                <w:szCs w:val="22"/>
              </w:rPr>
              <w:t>201</w:t>
            </w:r>
            <w:r>
              <w:rPr>
                <w:sz w:val="22"/>
                <w:szCs w:val="22"/>
              </w:rPr>
              <w:t>6</w:t>
            </w:r>
            <w:r w:rsidRPr="001844B0">
              <w:rPr>
                <w:sz w:val="22"/>
                <w:szCs w:val="22"/>
              </w:rPr>
              <w:t>/1</w:t>
            </w:r>
            <w:r>
              <w:rPr>
                <w:sz w:val="22"/>
                <w:szCs w:val="22"/>
              </w:rPr>
              <w:t>7</w:t>
            </w:r>
          </w:p>
        </w:tc>
      </w:tr>
      <w:tr w:rsidR="00B55DEC" w:rsidTr="009D7148">
        <w:tc>
          <w:tcPr>
            <w:tcW w:w="5342" w:type="dxa"/>
          </w:tcPr>
          <w:p w:rsidR="00B55DEC" w:rsidRDefault="00B55DEC" w:rsidP="00B55DEC">
            <w:pPr>
              <w:jc w:val="both"/>
              <w:rPr>
                <w:sz w:val="22"/>
              </w:rPr>
            </w:pPr>
          </w:p>
        </w:tc>
        <w:tc>
          <w:tcPr>
            <w:tcW w:w="1635" w:type="dxa"/>
          </w:tcPr>
          <w:p w:rsidR="00B55DEC" w:rsidRPr="009D7148" w:rsidRDefault="00B55DEC" w:rsidP="009D7148">
            <w:pPr>
              <w:jc w:val="center"/>
              <w:rPr>
                <w:b/>
                <w:sz w:val="22"/>
              </w:rPr>
            </w:pPr>
            <w:r w:rsidRPr="00952524">
              <w:rPr>
                <w:sz w:val="22"/>
              </w:rPr>
              <w:t>£000</w:t>
            </w:r>
          </w:p>
        </w:tc>
        <w:tc>
          <w:tcPr>
            <w:tcW w:w="1756" w:type="dxa"/>
          </w:tcPr>
          <w:p w:rsidR="00B55DEC" w:rsidRPr="009D7148" w:rsidRDefault="00B55DEC" w:rsidP="009D7148">
            <w:pPr>
              <w:jc w:val="center"/>
              <w:rPr>
                <w:b/>
                <w:sz w:val="22"/>
              </w:rPr>
            </w:pPr>
            <w:r w:rsidRPr="00952524">
              <w:rPr>
                <w:sz w:val="22"/>
              </w:rPr>
              <w:t>£000</w:t>
            </w:r>
          </w:p>
        </w:tc>
      </w:tr>
      <w:tr w:rsidR="00B55DEC" w:rsidTr="009D7148">
        <w:tc>
          <w:tcPr>
            <w:tcW w:w="5342" w:type="dxa"/>
          </w:tcPr>
          <w:p w:rsidR="00B55DEC" w:rsidRDefault="00B55DEC" w:rsidP="00B55DEC">
            <w:pPr>
              <w:jc w:val="both"/>
              <w:rPr>
                <w:sz w:val="22"/>
              </w:rPr>
            </w:pPr>
            <w:r>
              <w:rPr>
                <w:sz w:val="22"/>
              </w:rPr>
              <w:t>Expenditure</w:t>
            </w:r>
          </w:p>
        </w:tc>
        <w:tc>
          <w:tcPr>
            <w:tcW w:w="1635" w:type="dxa"/>
          </w:tcPr>
          <w:p w:rsidR="00B55DEC" w:rsidRDefault="00B55DEC" w:rsidP="00B55DEC">
            <w:pPr>
              <w:jc w:val="both"/>
              <w:rPr>
                <w:sz w:val="22"/>
              </w:rPr>
            </w:pPr>
          </w:p>
        </w:tc>
        <w:tc>
          <w:tcPr>
            <w:tcW w:w="1756" w:type="dxa"/>
          </w:tcPr>
          <w:p w:rsidR="00B55DEC" w:rsidRDefault="00B55DEC" w:rsidP="00B55DEC">
            <w:pPr>
              <w:jc w:val="both"/>
              <w:rPr>
                <w:sz w:val="22"/>
              </w:rPr>
            </w:pPr>
          </w:p>
        </w:tc>
      </w:tr>
      <w:tr w:rsidR="00B55DEC" w:rsidTr="009D7148">
        <w:tc>
          <w:tcPr>
            <w:tcW w:w="5342" w:type="dxa"/>
          </w:tcPr>
          <w:p w:rsidR="005A4561" w:rsidRDefault="005A4561" w:rsidP="00B55DEC">
            <w:pPr>
              <w:jc w:val="both"/>
              <w:rPr>
                <w:sz w:val="22"/>
              </w:rPr>
            </w:pPr>
            <w:r>
              <w:rPr>
                <w:sz w:val="22"/>
              </w:rPr>
              <w:t>Employee benefits expenses</w:t>
            </w:r>
          </w:p>
        </w:tc>
        <w:tc>
          <w:tcPr>
            <w:tcW w:w="1635" w:type="dxa"/>
          </w:tcPr>
          <w:p w:rsidR="00B55DEC" w:rsidRDefault="005A4561" w:rsidP="009D7148">
            <w:pPr>
              <w:tabs>
                <w:tab w:val="decimal" w:pos="1097"/>
              </w:tabs>
              <w:jc w:val="both"/>
              <w:rPr>
                <w:sz w:val="22"/>
              </w:rPr>
            </w:pPr>
            <w:r>
              <w:rPr>
                <w:sz w:val="22"/>
              </w:rPr>
              <w:t>33,678</w:t>
            </w:r>
          </w:p>
        </w:tc>
        <w:tc>
          <w:tcPr>
            <w:tcW w:w="1756" w:type="dxa"/>
          </w:tcPr>
          <w:p w:rsidR="00B55DEC" w:rsidRDefault="003001DB" w:rsidP="009D7148">
            <w:pPr>
              <w:tabs>
                <w:tab w:val="decimal" w:pos="1097"/>
              </w:tabs>
              <w:jc w:val="both"/>
              <w:rPr>
                <w:sz w:val="22"/>
              </w:rPr>
            </w:pPr>
            <w:r>
              <w:rPr>
                <w:sz w:val="22"/>
              </w:rPr>
              <w:t>28,459</w:t>
            </w:r>
          </w:p>
        </w:tc>
      </w:tr>
      <w:tr w:rsidR="00B55DEC" w:rsidTr="009D7148">
        <w:tc>
          <w:tcPr>
            <w:tcW w:w="5342" w:type="dxa"/>
          </w:tcPr>
          <w:p w:rsidR="005A4561" w:rsidRDefault="005A4561" w:rsidP="00B55DEC">
            <w:pPr>
              <w:jc w:val="both"/>
              <w:rPr>
                <w:sz w:val="22"/>
              </w:rPr>
            </w:pPr>
            <w:r>
              <w:rPr>
                <w:sz w:val="22"/>
              </w:rPr>
              <w:t>Other services expenses</w:t>
            </w:r>
          </w:p>
        </w:tc>
        <w:tc>
          <w:tcPr>
            <w:tcW w:w="1635" w:type="dxa"/>
          </w:tcPr>
          <w:p w:rsidR="00B55DEC" w:rsidRDefault="005A4561" w:rsidP="009D7148">
            <w:pPr>
              <w:tabs>
                <w:tab w:val="decimal" w:pos="1097"/>
              </w:tabs>
              <w:jc w:val="both"/>
              <w:rPr>
                <w:sz w:val="22"/>
              </w:rPr>
            </w:pPr>
            <w:r>
              <w:rPr>
                <w:sz w:val="22"/>
              </w:rPr>
              <w:t>12,584</w:t>
            </w:r>
          </w:p>
        </w:tc>
        <w:tc>
          <w:tcPr>
            <w:tcW w:w="1756" w:type="dxa"/>
          </w:tcPr>
          <w:p w:rsidR="00B55DEC" w:rsidRDefault="008B498C" w:rsidP="009D7148">
            <w:pPr>
              <w:tabs>
                <w:tab w:val="decimal" w:pos="1097"/>
              </w:tabs>
              <w:jc w:val="both"/>
              <w:rPr>
                <w:sz w:val="22"/>
              </w:rPr>
            </w:pPr>
            <w:r>
              <w:rPr>
                <w:sz w:val="22"/>
              </w:rPr>
              <w:t>11,575</w:t>
            </w:r>
          </w:p>
        </w:tc>
      </w:tr>
      <w:tr w:rsidR="00B55DEC" w:rsidTr="009D7148">
        <w:tc>
          <w:tcPr>
            <w:tcW w:w="5342" w:type="dxa"/>
          </w:tcPr>
          <w:p w:rsidR="00B55DEC" w:rsidRDefault="005A4561" w:rsidP="00B55DEC">
            <w:pPr>
              <w:jc w:val="both"/>
              <w:rPr>
                <w:sz w:val="22"/>
              </w:rPr>
            </w:pPr>
            <w:r>
              <w:rPr>
                <w:sz w:val="22"/>
              </w:rPr>
              <w:t>Support service recharges</w:t>
            </w:r>
          </w:p>
        </w:tc>
        <w:tc>
          <w:tcPr>
            <w:tcW w:w="1635" w:type="dxa"/>
          </w:tcPr>
          <w:p w:rsidR="00B55DEC" w:rsidRDefault="005A4561" w:rsidP="009D7148">
            <w:pPr>
              <w:tabs>
                <w:tab w:val="decimal" w:pos="1097"/>
              </w:tabs>
              <w:jc w:val="both"/>
              <w:rPr>
                <w:sz w:val="22"/>
              </w:rPr>
            </w:pPr>
            <w:r>
              <w:rPr>
                <w:sz w:val="22"/>
              </w:rPr>
              <w:t>8</w:t>
            </w:r>
          </w:p>
        </w:tc>
        <w:tc>
          <w:tcPr>
            <w:tcW w:w="1756" w:type="dxa"/>
          </w:tcPr>
          <w:p w:rsidR="00B55DEC" w:rsidRDefault="008B498C" w:rsidP="009D7148">
            <w:pPr>
              <w:tabs>
                <w:tab w:val="decimal" w:pos="1097"/>
              </w:tabs>
              <w:jc w:val="both"/>
              <w:rPr>
                <w:sz w:val="22"/>
              </w:rPr>
            </w:pPr>
            <w:r>
              <w:rPr>
                <w:sz w:val="22"/>
              </w:rPr>
              <w:t>1</w:t>
            </w:r>
          </w:p>
        </w:tc>
      </w:tr>
      <w:tr w:rsidR="00B55DEC" w:rsidTr="009D7148">
        <w:tc>
          <w:tcPr>
            <w:tcW w:w="5342" w:type="dxa"/>
          </w:tcPr>
          <w:p w:rsidR="00B55DEC" w:rsidRDefault="005A4561" w:rsidP="00B55DEC">
            <w:pPr>
              <w:jc w:val="both"/>
              <w:rPr>
                <w:sz w:val="22"/>
              </w:rPr>
            </w:pPr>
            <w:r>
              <w:rPr>
                <w:sz w:val="22"/>
              </w:rPr>
              <w:t xml:space="preserve">Depreciation, amortisation and impairment </w:t>
            </w:r>
          </w:p>
        </w:tc>
        <w:tc>
          <w:tcPr>
            <w:tcW w:w="1635" w:type="dxa"/>
          </w:tcPr>
          <w:p w:rsidR="00B55DEC" w:rsidRDefault="005A4561" w:rsidP="009D7148">
            <w:pPr>
              <w:tabs>
                <w:tab w:val="decimal" w:pos="1097"/>
              </w:tabs>
              <w:jc w:val="both"/>
              <w:rPr>
                <w:sz w:val="22"/>
              </w:rPr>
            </w:pPr>
            <w:r>
              <w:rPr>
                <w:sz w:val="22"/>
              </w:rPr>
              <w:t>4,499</w:t>
            </w:r>
          </w:p>
        </w:tc>
        <w:tc>
          <w:tcPr>
            <w:tcW w:w="1756" w:type="dxa"/>
          </w:tcPr>
          <w:p w:rsidR="00B55DEC" w:rsidRDefault="008B498C" w:rsidP="009D7148">
            <w:pPr>
              <w:tabs>
                <w:tab w:val="decimal" w:pos="1097"/>
              </w:tabs>
              <w:jc w:val="both"/>
              <w:rPr>
                <w:sz w:val="22"/>
              </w:rPr>
            </w:pPr>
            <w:r>
              <w:rPr>
                <w:sz w:val="22"/>
              </w:rPr>
              <w:t>6,453</w:t>
            </w:r>
          </w:p>
        </w:tc>
      </w:tr>
      <w:tr w:rsidR="00B55DEC" w:rsidTr="009D7148">
        <w:tc>
          <w:tcPr>
            <w:tcW w:w="5342" w:type="dxa"/>
          </w:tcPr>
          <w:p w:rsidR="005A4561" w:rsidRDefault="005A4561" w:rsidP="00B55DEC">
            <w:pPr>
              <w:jc w:val="both"/>
              <w:rPr>
                <w:sz w:val="22"/>
              </w:rPr>
            </w:pPr>
            <w:r>
              <w:rPr>
                <w:sz w:val="22"/>
              </w:rPr>
              <w:t>Interest payments</w:t>
            </w:r>
          </w:p>
        </w:tc>
        <w:tc>
          <w:tcPr>
            <w:tcW w:w="1635" w:type="dxa"/>
          </w:tcPr>
          <w:p w:rsidR="00B55DEC" w:rsidRDefault="005A4561" w:rsidP="009D7148">
            <w:pPr>
              <w:tabs>
                <w:tab w:val="decimal" w:pos="1097"/>
              </w:tabs>
              <w:jc w:val="both"/>
              <w:rPr>
                <w:sz w:val="22"/>
              </w:rPr>
            </w:pPr>
            <w:r>
              <w:rPr>
                <w:sz w:val="22"/>
              </w:rPr>
              <w:t>22,581</w:t>
            </w:r>
          </w:p>
        </w:tc>
        <w:tc>
          <w:tcPr>
            <w:tcW w:w="1756" w:type="dxa"/>
          </w:tcPr>
          <w:p w:rsidR="00B55DEC" w:rsidRDefault="008B498C" w:rsidP="009D7148">
            <w:pPr>
              <w:tabs>
                <w:tab w:val="decimal" w:pos="1097"/>
              </w:tabs>
              <w:jc w:val="both"/>
              <w:rPr>
                <w:sz w:val="22"/>
              </w:rPr>
            </w:pPr>
            <w:r>
              <w:rPr>
                <w:sz w:val="22"/>
              </w:rPr>
              <w:t>24,959</w:t>
            </w:r>
          </w:p>
        </w:tc>
      </w:tr>
      <w:tr w:rsidR="00B55DEC" w:rsidTr="009D7148">
        <w:tc>
          <w:tcPr>
            <w:tcW w:w="5342" w:type="dxa"/>
          </w:tcPr>
          <w:p w:rsidR="00B55DEC" w:rsidRDefault="005A4561" w:rsidP="00B55DEC">
            <w:pPr>
              <w:jc w:val="both"/>
              <w:rPr>
                <w:sz w:val="22"/>
              </w:rPr>
            </w:pPr>
            <w:r>
              <w:rPr>
                <w:sz w:val="22"/>
              </w:rPr>
              <w:t>Gain on disposal of fixed assets</w:t>
            </w:r>
          </w:p>
        </w:tc>
        <w:tc>
          <w:tcPr>
            <w:tcW w:w="1635" w:type="dxa"/>
          </w:tcPr>
          <w:p w:rsidR="00B55DEC" w:rsidRDefault="005A4561" w:rsidP="009D7148">
            <w:pPr>
              <w:tabs>
                <w:tab w:val="decimal" w:pos="1097"/>
              </w:tabs>
              <w:jc w:val="both"/>
              <w:rPr>
                <w:sz w:val="22"/>
              </w:rPr>
            </w:pPr>
            <w:r>
              <w:rPr>
                <w:sz w:val="22"/>
              </w:rPr>
              <w:t>(13)</w:t>
            </w:r>
          </w:p>
        </w:tc>
        <w:tc>
          <w:tcPr>
            <w:tcW w:w="1756" w:type="dxa"/>
          </w:tcPr>
          <w:p w:rsidR="00B55DEC" w:rsidRDefault="008B498C" w:rsidP="009D7148">
            <w:pPr>
              <w:tabs>
                <w:tab w:val="decimal" w:pos="1097"/>
              </w:tabs>
              <w:jc w:val="both"/>
              <w:rPr>
                <w:sz w:val="22"/>
              </w:rPr>
            </w:pPr>
            <w:r>
              <w:rPr>
                <w:sz w:val="22"/>
              </w:rPr>
              <w:t>-</w:t>
            </w:r>
          </w:p>
        </w:tc>
      </w:tr>
      <w:tr w:rsidR="00B55DEC" w:rsidTr="009D7148">
        <w:tc>
          <w:tcPr>
            <w:tcW w:w="5342" w:type="dxa"/>
          </w:tcPr>
          <w:p w:rsidR="00B55DEC" w:rsidRDefault="005A4561" w:rsidP="00B55DEC">
            <w:pPr>
              <w:jc w:val="both"/>
              <w:rPr>
                <w:sz w:val="22"/>
              </w:rPr>
            </w:pPr>
            <w:r>
              <w:rPr>
                <w:sz w:val="22"/>
              </w:rPr>
              <w:t>Total expenditure</w:t>
            </w:r>
          </w:p>
        </w:tc>
        <w:tc>
          <w:tcPr>
            <w:tcW w:w="1635" w:type="dxa"/>
          </w:tcPr>
          <w:p w:rsidR="00B55DEC" w:rsidRDefault="005A4561" w:rsidP="009D7148">
            <w:pPr>
              <w:tabs>
                <w:tab w:val="decimal" w:pos="1097"/>
              </w:tabs>
              <w:jc w:val="both"/>
              <w:rPr>
                <w:sz w:val="22"/>
              </w:rPr>
            </w:pPr>
            <w:r>
              <w:rPr>
                <w:sz w:val="22"/>
              </w:rPr>
              <w:t>73,337</w:t>
            </w:r>
          </w:p>
        </w:tc>
        <w:tc>
          <w:tcPr>
            <w:tcW w:w="1756" w:type="dxa"/>
          </w:tcPr>
          <w:p w:rsidR="00B55DEC" w:rsidRDefault="008B498C" w:rsidP="009D7148">
            <w:pPr>
              <w:tabs>
                <w:tab w:val="decimal" w:pos="1097"/>
              </w:tabs>
              <w:jc w:val="both"/>
              <w:rPr>
                <w:sz w:val="22"/>
              </w:rPr>
            </w:pPr>
            <w:r>
              <w:rPr>
                <w:sz w:val="22"/>
              </w:rPr>
              <w:t>71,448</w:t>
            </w:r>
          </w:p>
        </w:tc>
      </w:tr>
      <w:tr w:rsidR="00B55DEC" w:rsidTr="009D7148">
        <w:tc>
          <w:tcPr>
            <w:tcW w:w="5342" w:type="dxa"/>
          </w:tcPr>
          <w:p w:rsidR="00B55DEC" w:rsidRDefault="00B55DEC" w:rsidP="00B55DEC">
            <w:pPr>
              <w:jc w:val="both"/>
              <w:rPr>
                <w:sz w:val="22"/>
              </w:rPr>
            </w:pPr>
          </w:p>
        </w:tc>
        <w:tc>
          <w:tcPr>
            <w:tcW w:w="1635" w:type="dxa"/>
          </w:tcPr>
          <w:p w:rsidR="00B55DEC" w:rsidRDefault="00B55DEC" w:rsidP="009D7148">
            <w:pPr>
              <w:tabs>
                <w:tab w:val="decimal" w:pos="1097"/>
              </w:tabs>
              <w:jc w:val="both"/>
              <w:rPr>
                <w:sz w:val="22"/>
              </w:rPr>
            </w:pPr>
          </w:p>
        </w:tc>
        <w:tc>
          <w:tcPr>
            <w:tcW w:w="1756" w:type="dxa"/>
          </w:tcPr>
          <w:p w:rsidR="00B55DEC" w:rsidRDefault="00B55DEC" w:rsidP="009D7148">
            <w:pPr>
              <w:tabs>
                <w:tab w:val="decimal" w:pos="1097"/>
              </w:tabs>
              <w:jc w:val="both"/>
              <w:rPr>
                <w:sz w:val="22"/>
              </w:rPr>
            </w:pPr>
          </w:p>
        </w:tc>
      </w:tr>
      <w:tr w:rsidR="00B55DEC" w:rsidTr="009D7148">
        <w:tc>
          <w:tcPr>
            <w:tcW w:w="5342" w:type="dxa"/>
          </w:tcPr>
          <w:p w:rsidR="00B55DEC" w:rsidRDefault="005A4561" w:rsidP="00B55DEC">
            <w:pPr>
              <w:jc w:val="both"/>
              <w:rPr>
                <w:sz w:val="22"/>
              </w:rPr>
            </w:pPr>
            <w:r>
              <w:rPr>
                <w:sz w:val="22"/>
              </w:rPr>
              <w:t>Income</w:t>
            </w:r>
          </w:p>
        </w:tc>
        <w:tc>
          <w:tcPr>
            <w:tcW w:w="1635" w:type="dxa"/>
          </w:tcPr>
          <w:p w:rsidR="00B55DEC" w:rsidRDefault="00B55DEC" w:rsidP="009D7148">
            <w:pPr>
              <w:tabs>
                <w:tab w:val="decimal" w:pos="1097"/>
              </w:tabs>
              <w:jc w:val="both"/>
              <w:rPr>
                <w:sz w:val="22"/>
              </w:rPr>
            </w:pPr>
          </w:p>
        </w:tc>
        <w:tc>
          <w:tcPr>
            <w:tcW w:w="1756" w:type="dxa"/>
          </w:tcPr>
          <w:p w:rsidR="00B55DEC" w:rsidRDefault="00B55DEC" w:rsidP="009D7148">
            <w:pPr>
              <w:tabs>
                <w:tab w:val="decimal" w:pos="1097"/>
              </w:tabs>
              <w:jc w:val="both"/>
              <w:rPr>
                <w:sz w:val="22"/>
              </w:rPr>
            </w:pPr>
          </w:p>
        </w:tc>
      </w:tr>
      <w:tr w:rsidR="00B55DEC" w:rsidTr="009D7148">
        <w:tc>
          <w:tcPr>
            <w:tcW w:w="5342" w:type="dxa"/>
          </w:tcPr>
          <w:p w:rsidR="00B55DEC" w:rsidRDefault="005A4561" w:rsidP="00B55DEC">
            <w:pPr>
              <w:jc w:val="both"/>
              <w:rPr>
                <w:sz w:val="22"/>
              </w:rPr>
            </w:pPr>
            <w:r>
              <w:rPr>
                <w:sz w:val="22"/>
              </w:rPr>
              <w:t>Fees, charges and other service income</w:t>
            </w:r>
          </w:p>
        </w:tc>
        <w:tc>
          <w:tcPr>
            <w:tcW w:w="1635" w:type="dxa"/>
          </w:tcPr>
          <w:p w:rsidR="00B55DEC" w:rsidRDefault="00793AC8" w:rsidP="009D7148">
            <w:pPr>
              <w:tabs>
                <w:tab w:val="decimal" w:pos="1097"/>
              </w:tabs>
              <w:jc w:val="both"/>
              <w:rPr>
                <w:sz w:val="22"/>
              </w:rPr>
            </w:pPr>
            <w:r>
              <w:rPr>
                <w:sz w:val="22"/>
              </w:rPr>
              <w:t>(4,640)</w:t>
            </w:r>
          </w:p>
        </w:tc>
        <w:tc>
          <w:tcPr>
            <w:tcW w:w="1756" w:type="dxa"/>
          </w:tcPr>
          <w:p w:rsidR="00B55DEC" w:rsidRDefault="008B498C" w:rsidP="009D7148">
            <w:pPr>
              <w:tabs>
                <w:tab w:val="decimal" w:pos="1097"/>
              </w:tabs>
              <w:jc w:val="both"/>
              <w:rPr>
                <w:sz w:val="22"/>
              </w:rPr>
            </w:pPr>
            <w:r>
              <w:rPr>
                <w:sz w:val="22"/>
              </w:rPr>
              <w:t>(4,363)</w:t>
            </w:r>
          </w:p>
        </w:tc>
      </w:tr>
      <w:tr w:rsidR="00B55DEC" w:rsidTr="009D7148">
        <w:tc>
          <w:tcPr>
            <w:tcW w:w="5342" w:type="dxa"/>
          </w:tcPr>
          <w:p w:rsidR="00B55DEC" w:rsidRDefault="005A4561" w:rsidP="00B55DEC">
            <w:pPr>
              <w:jc w:val="both"/>
              <w:rPr>
                <w:sz w:val="22"/>
              </w:rPr>
            </w:pPr>
            <w:r>
              <w:rPr>
                <w:sz w:val="22"/>
              </w:rPr>
              <w:t>Interest and investment income</w:t>
            </w:r>
          </w:p>
        </w:tc>
        <w:tc>
          <w:tcPr>
            <w:tcW w:w="1635" w:type="dxa"/>
          </w:tcPr>
          <w:p w:rsidR="00B55DEC" w:rsidRDefault="00793AC8" w:rsidP="009D7148">
            <w:pPr>
              <w:tabs>
                <w:tab w:val="decimal" w:pos="1097"/>
              </w:tabs>
              <w:jc w:val="both"/>
              <w:rPr>
                <w:sz w:val="22"/>
              </w:rPr>
            </w:pPr>
            <w:r>
              <w:rPr>
                <w:sz w:val="22"/>
              </w:rPr>
              <w:t>(267)</w:t>
            </w:r>
          </w:p>
        </w:tc>
        <w:tc>
          <w:tcPr>
            <w:tcW w:w="1756" w:type="dxa"/>
          </w:tcPr>
          <w:p w:rsidR="00B55DEC" w:rsidRDefault="008B498C" w:rsidP="009D7148">
            <w:pPr>
              <w:tabs>
                <w:tab w:val="decimal" w:pos="1097"/>
              </w:tabs>
              <w:jc w:val="both"/>
              <w:rPr>
                <w:sz w:val="22"/>
              </w:rPr>
            </w:pPr>
            <w:r>
              <w:rPr>
                <w:sz w:val="22"/>
              </w:rPr>
              <w:t>(305)</w:t>
            </w:r>
          </w:p>
        </w:tc>
      </w:tr>
      <w:tr w:rsidR="001E7D46" w:rsidTr="00B55DEC">
        <w:tc>
          <w:tcPr>
            <w:tcW w:w="5342" w:type="dxa"/>
          </w:tcPr>
          <w:p w:rsidR="001E7D46" w:rsidRDefault="005A4561" w:rsidP="00B55DEC">
            <w:pPr>
              <w:jc w:val="both"/>
              <w:rPr>
                <w:sz w:val="22"/>
              </w:rPr>
            </w:pPr>
            <w:r>
              <w:rPr>
                <w:sz w:val="22"/>
              </w:rPr>
              <w:t>Income from council tax and business rates</w:t>
            </w:r>
          </w:p>
        </w:tc>
        <w:tc>
          <w:tcPr>
            <w:tcW w:w="1635" w:type="dxa"/>
          </w:tcPr>
          <w:p w:rsidR="001E7D46" w:rsidRDefault="00793AC8" w:rsidP="009D7148">
            <w:pPr>
              <w:tabs>
                <w:tab w:val="decimal" w:pos="1097"/>
              </w:tabs>
              <w:jc w:val="both"/>
              <w:rPr>
                <w:sz w:val="22"/>
              </w:rPr>
            </w:pPr>
            <w:r>
              <w:rPr>
                <w:sz w:val="22"/>
              </w:rPr>
              <w:t>(42,838)</w:t>
            </w:r>
          </w:p>
        </w:tc>
        <w:tc>
          <w:tcPr>
            <w:tcW w:w="1756" w:type="dxa"/>
          </w:tcPr>
          <w:p w:rsidR="001E7D46" w:rsidRDefault="008B498C" w:rsidP="009D7148">
            <w:pPr>
              <w:tabs>
                <w:tab w:val="decimal" w:pos="1097"/>
              </w:tabs>
              <w:jc w:val="both"/>
              <w:rPr>
                <w:sz w:val="22"/>
              </w:rPr>
            </w:pPr>
            <w:r>
              <w:rPr>
                <w:sz w:val="22"/>
              </w:rPr>
              <w:t>(42,557)</w:t>
            </w:r>
          </w:p>
        </w:tc>
      </w:tr>
      <w:tr w:rsidR="001E7D46" w:rsidTr="00B55DEC">
        <w:tc>
          <w:tcPr>
            <w:tcW w:w="5342" w:type="dxa"/>
          </w:tcPr>
          <w:p w:rsidR="001E7D46" w:rsidRDefault="005A4561" w:rsidP="00B55DEC">
            <w:pPr>
              <w:jc w:val="both"/>
              <w:rPr>
                <w:sz w:val="22"/>
              </w:rPr>
            </w:pPr>
            <w:r>
              <w:rPr>
                <w:sz w:val="22"/>
              </w:rPr>
              <w:t>Government grants and contributions</w:t>
            </w:r>
          </w:p>
        </w:tc>
        <w:tc>
          <w:tcPr>
            <w:tcW w:w="1635" w:type="dxa"/>
          </w:tcPr>
          <w:p w:rsidR="001E7D46" w:rsidRDefault="00793AC8" w:rsidP="009D7148">
            <w:pPr>
              <w:tabs>
                <w:tab w:val="decimal" w:pos="1097"/>
              </w:tabs>
              <w:jc w:val="both"/>
              <w:rPr>
                <w:sz w:val="22"/>
              </w:rPr>
            </w:pPr>
            <w:r>
              <w:rPr>
                <w:sz w:val="22"/>
              </w:rPr>
              <w:t>(11,170)</w:t>
            </w:r>
          </w:p>
        </w:tc>
        <w:tc>
          <w:tcPr>
            <w:tcW w:w="1756" w:type="dxa"/>
          </w:tcPr>
          <w:p w:rsidR="001E7D46" w:rsidRDefault="008B498C" w:rsidP="009D7148">
            <w:pPr>
              <w:tabs>
                <w:tab w:val="decimal" w:pos="1097"/>
              </w:tabs>
              <w:jc w:val="both"/>
              <w:rPr>
                <w:sz w:val="22"/>
              </w:rPr>
            </w:pPr>
            <w:r>
              <w:rPr>
                <w:sz w:val="22"/>
              </w:rPr>
              <w:t>(13,666)</w:t>
            </w:r>
          </w:p>
        </w:tc>
      </w:tr>
      <w:tr w:rsidR="001E7D46" w:rsidTr="00B55DEC">
        <w:tc>
          <w:tcPr>
            <w:tcW w:w="5342" w:type="dxa"/>
          </w:tcPr>
          <w:p w:rsidR="001E7D46" w:rsidRDefault="005A4561" w:rsidP="00B55DEC">
            <w:pPr>
              <w:jc w:val="both"/>
              <w:rPr>
                <w:sz w:val="22"/>
              </w:rPr>
            </w:pPr>
            <w:r>
              <w:rPr>
                <w:sz w:val="22"/>
              </w:rPr>
              <w:t>Total Income</w:t>
            </w:r>
          </w:p>
        </w:tc>
        <w:tc>
          <w:tcPr>
            <w:tcW w:w="1635" w:type="dxa"/>
          </w:tcPr>
          <w:p w:rsidR="001E7D46" w:rsidRDefault="00793AC8" w:rsidP="009D7148">
            <w:pPr>
              <w:tabs>
                <w:tab w:val="decimal" w:pos="1097"/>
              </w:tabs>
              <w:jc w:val="both"/>
              <w:rPr>
                <w:sz w:val="22"/>
              </w:rPr>
            </w:pPr>
            <w:r>
              <w:rPr>
                <w:sz w:val="22"/>
              </w:rPr>
              <w:t>(58,916)</w:t>
            </w:r>
          </w:p>
        </w:tc>
        <w:tc>
          <w:tcPr>
            <w:tcW w:w="1756" w:type="dxa"/>
          </w:tcPr>
          <w:p w:rsidR="001E7D46" w:rsidRDefault="009D7148" w:rsidP="009D7148">
            <w:pPr>
              <w:tabs>
                <w:tab w:val="decimal" w:pos="1097"/>
              </w:tabs>
              <w:jc w:val="both"/>
              <w:rPr>
                <w:sz w:val="22"/>
              </w:rPr>
            </w:pPr>
            <w:r>
              <w:rPr>
                <w:sz w:val="22"/>
              </w:rPr>
              <w:t>(60,891)</w:t>
            </w:r>
          </w:p>
        </w:tc>
      </w:tr>
      <w:tr w:rsidR="005A4561" w:rsidTr="00B55DEC">
        <w:tc>
          <w:tcPr>
            <w:tcW w:w="5342" w:type="dxa"/>
          </w:tcPr>
          <w:p w:rsidR="005A4561" w:rsidRDefault="005A4561" w:rsidP="00B55DEC">
            <w:pPr>
              <w:jc w:val="both"/>
              <w:rPr>
                <w:sz w:val="22"/>
              </w:rPr>
            </w:pPr>
          </w:p>
        </w:tc>
        <w:tc>
          <w:tcPr>
            <w:tcW w:w="1635" w:type="dxa"/>
          </w:tcPr>
          <w:p w:rsidR="005A4561" w:rsidRDefault="005A4561" w:rsidP="005A4561">
            <w:pPr>
              <w:tabs>
                <w:tab w:val="decimal" w:pos="1097"/>
              </w:tabs>
              <w:jc w:val="both"/>
              <w:rPr>
                <w:sz w:val="22"/>
              </w:rPr>
            </w:pPr>
          </w:p>
        </w:tc>
        <w:tc>
          <w:tcPr>
            <w:tcW w:w="1756" w:type="dxa"/>
          </w:tcPr>
          <w:p w:rsidR="005A4561" w:rsidRDefault="005A4561" w:rsidP="009D7148">
            <w:pPr>
              <w:tabs>
                <w:tab w:val="decimal" w:pos="1097"/>
              </w:tabs>
              <w:jc w:val="both"/>
              <w:rPr>
                <w:sz w:val="22"/>
              </w:rPr>
            </w:pPr>
          </w:p>
        </w:tc>
      </w:tr>
      <w:tr w:rsidR="001E7D46" w:rsidTr="00B55DEC">
        <w:tc>
          <w:tcPr>
            <w:tcW w:w="5342" w:type="dxa"/>
          </w:tcPr>
          <w:p w:rsidR="001E7D46" w:rsidRDefault="005A4561" w:rsidP="00B55DEC">
            <w:pPr>
              <w:jc w:val="both"/>
              <w:rPr>
                <w:sz w:val="22"/>
              </w:rPr>
            </w:pPr>
            <w:r>
              <w:rPr>
                <w:sz w:val="22"/>
              </w:rPr>
              <w:t>Deficit on the provision of services</w:t>
            </w:r>
          </w:p>
        </w:tc>
        <w:tc>
          <w:tcPr>
            <w:tcW w:w="1635" w:type="dxa"/>
          </w:tcPr>
          <w:p w:rsidR="001E7D46" w:rsidRDefault="00793AC8" w:rsidP="009D7148">
            <w:pPr>
              <w:tabs>
                <w:tab w:val="decimal" w:pos="1097"/>
              </w:tabs>
              <w:jc w:val="both"/>
              <w:rPr>
                <w:sz w:val="22"/>
              </w:rPr>
            </w:pPr>
            <w:r>
              <w:rPr>
                <w:sz w:val="22"/>
              </w:rPr>
              <w:t>14,421</w:t>
            </w:r>
          </w:p>
        </w:tc>
        <w:tc>
          <w:tcPr>
            <w:tcW w:w="1756" w:type="dxa"/>
          </w:tcPr>
          <w:p w:rsidR="001E7D46" w:rsidRDefault="009D7148" w:rsidP="009D7148">
            <w:pPr>
              <w:tabs>
                <w:tab w:val="decimal" w:pos="1097"/>
              </w:tabs>
              <w:jc w:val="both"/>
              <w:rPr>
                <w:sz w:val="22"/>
              </w:rPr>
            </w:pPr>
            <w:r>
              <w:rPr>
                <w:sz w:val="22"/>
              </w:rPr>
              <w:t>10,557</w:t>
            </w:r>
          </w:p>
        </w:tc>
      </w:tr>
    </w:tbl>
    <w:p w:rsidR="00B55DEC" w:rsidRPr="009D7148" w:rsidRDefault="00B55DEC" w:rsidP="009D7148">
      <w:pPr>
        <w:ind w:left="720"/>
        <w:jc w:val="both"/>
        <w:rPr>
          <w:sz w:val="22"/>
        </w:rPr>
      </w:pPr>
    </w:p>
    <w:p w:rsidR="00B55DEC" w:rsidRPr="009D7148" w:rsidRDefault="00B55DEC" w:rsidP="00D90216">
      <w:pPr>
        <w:rPr>
          <w:sz w:val="22"/>
        </w:rPr>
      </w:pPr>
    </w:p>
    <w:p w:rsidR="009B6F2A" w:rsidRPr="0022533C" w:rsidRDefault="006626A8" w:rsidP="006626A8">
      <w:pPr>
        <w:rPr>
          <w:b/>
          <w:sz w:val="22"/>
        </w:rPr>
      </w:pPr>
      <w:r>
        <w:rPr>
          <w:b/>
          <w:sz w:val="22"/>
        </w:rPr>
        <w:t>2</w:t>
      </w:r>
      <w:r w:rsidR="0096743B">
        <w:rPr>
          <w:b/>
          <w:sz w:val="22"/>
        </w:rPr>
        <w:t>8</w:t>
      </w:r>
      <w:r>
        <w:rPr>
          <w:b/>
          <w:sz w:val="22"/>
        </w:rPr>
        <w:tab/>
      </w:r>
      <w:r w:rsidR="009B6F2A" w:rsidRPr="0022533C">
        <w:rPr>
          <w:b/>
          <w:sz w:val="22"/>
        </w:rPr>
        <w:t>Accounting Policies</w:t>
      </w:r>
    </w:p>
    <w:p w:rsidR="009B6F2A" w:rsidRPr="0022533C" w:rsidRDefault="009B6F2A" w:rsidP="009B6F2A">
      <w:pPr>
        <w:rPr>
          <w:b/>
          <w:sz w:val="22"/>
        </w:rPr>
      </w:pPr>
    </w:p>
    <w:p w:rsidR="00FB3503" w:rsidRPr="006430F4" w:rsidRDefault="00FB3503" w:rsidP="00FB3503">
      <w:pPr>
        <w:ind w:left="720"/>
        <w:jc w:val="both"/>
        <w:rPr>
          <w:b/>
          <w:sz w:val="22"/>
        </w:rPr>
      </w:pPr>
      <w:proofErr w:type="gramStart"/>
      <w:r w:rsidRPr="006430F4">
        <w:rPr>
          <w:b/>
          <w:sz w:val="22"/>
        </w:rPr>
        <w:t>a</w:t>
      </w:r>
      <w:proofErr w:type="gramEnd"/>
      <w:r w:rsidRPr="006430F4">
        <w:rPr>
          <w:b/>
          <w:sz w:val="22"/>
        </w:rPr>
        <w:tab/>
        <w:t>General Principles</w:t>
      </w:r>
    </w:p>
    <w:p w:rsidR="00FB3503" w:rsidRPr="006430F4" w:rsidRDefault="00FB3503" w:rsidP="00FB3503">
      <w:pPr>
        <w:pStyle w:val="Footer"/>
        <w:tabs>
          <w:tab w:val="clear" w:pos="4153"/>
          <w:tab w:val="clear" w:pos="8306"/>
        </w:tabs>
        <w:ind w:left="720"/>
        <w:jc w:val="both"/>
        <w:rPr>
          <w:sz w:val="22"/>
        </w:rPr>
      </w:pPr>
    </w:p>
    <w:p w:rsidR="00FB3503" w:rsidRPr="006430F4" w:rsidRDefault="00FB3503" w:rsidP="00FB3503">
      <w:pPr>
        <w:pStyle w:val="BodyTextIndent2"/>
        <w:ind w:left="1440" w:firstLine="0"/>
        <w:jc w:val="both"/>
        <w:rPr>
          <w:sz w:val="22"/>
        </w:rPr>
      </w:pPr>
      <w:r w:rsidRPr="006430F4">
        <w:rPr>
          <w:sz w:val="22"/>
        </w:rPr>
        <w:t>The Statement of Accounts summarises the Authority’s transactions for the 201</w:t>
      </w:r>
      <w:r>
        <w:rPr>
          <w:sz w:val="22"/>
        </w:rPr>
        <w:t>7</w:t>
      </w:r>
      <w:r w:rsidRPr="006430F4">
        <w:rPr>
          <w:sz w:val="22"/>
        </w:rPr>
        <w:t>/1</w:t>
      </w:r>
      <w:r>
        <w:rPr>
          <w:sz w:val="22"/>
        </w:rPr>
        <w:t>8</w:t>
      </w:r>
      <w:r w:rsidRPr="006430F4">
        <w:rPr>
          <w:sz w:val="22"/>
        </w:rPr>
        <w:t xml:space="preserve"> financial year and its position at the year end of 31 March 201</w:t>
      </w:r>
      <w:r>
        <w:rPr>
          <w:sz w:val="22"/>
        </w:rPr>
        <w:t>8</w:t>
      </w:r>
      <w:r w:rsidRPr="006430F4">
        <w:rPr>
          <w:sz w:val="22"/>
        </w:rPr>
        <w:t>.  The Authority is required to prepare an annual Statement of Accounts by the Accounts and Audit Regulations 2015, which those regulations require to be prepared in accordance with proper accounting practices.  These practices primarily comprise the Code of Practice on Local Authority Accounting in the United Kingdom – 201</w:t>
      </w:r>
      <w:r>
        <w:rPr>
          <w:sz w:val="22"/>
        </w:rPr>
        <w:t>7</w:t>
      </w:r>
      <w:r w:rsidRPr="006430F4">
        <w:rPr>
          <w:sz w:val="22"/>
        </w:rPr>
        <w:t>/1</w:t>
      </w:r>
      <w:r>
        <w:rPr>
          <w:sz w:val="22"/>
        </w:rPr>
        <w:t>8</w:t>
      </w:r>
      <w:r w:rsidRPr="006430F4">
        <w:rPr>
          <w:sz w:val="22"/>
        </w:rPr>
        <w:t>, supported by International Financial Reporting Standards (IFRS).</w:t>
      </w:r>
    </w:p>
    <w:p w:rsidR="00FB3503" w:rsidRPr="006430F4" w:rsidRDefault="00FB3503" w:rsidP="00FB3503">
      <w:pPr>
        <w:pStyle w:val="BodyTextIndent2"/>
        <w:ind w:left="1440" w:firstLine="0"/>
        <w:jc w:val="both"/>
        <w:rPr>
          <w:sz w:val="22"/>
        </w:rPr>
      </w:pPr>
    </w:p>
    <w:p w:rsidR="00FB3503" w:rsidRPr="006430F4" w:rsidRDefault="00FB3503" w:rsidP="00FB3503">
      <w:pPr>
        <w:pStyle w:val="BodyTextIndent2"/>
        <w:ind w:left="1440" w:firstLine="0"/>
        <w:jc w:val="both"/>
        <w:rPr>
          <w:sz w:val="22"/>
        </w:rPr>
      </w:pPr>
      <w:r w:rsidRPr="006430F4">
        <w:rPr>
          <w:sz w:val="22"/>
        </w:rPr>
        <w:t xml:space="preserve">The accounting convention adopted in the Statement of Accounts is principally historical cost, modified by the revaluation of certain categories of non-current assets and financial instruments.  </w:t>
      </w:r>
    </w:p>
    <w:p w:rsidR="00FB3503" w:rsidRPr="006430F4" w:rsidRDefault="00FB3503" w:rsidP="00FB3503">
      <w:pPr>
        <w:ind w:left="720"/>
        <w:jc w:val="both"/>
        <w:rPr>
          <w:sz w:val="22"/>
        </w:rPr>
      </w:pPr>
    </w:p>
    <w:p w:rsidR="00FB3503" w:rsidRPr="006430F4" w:rsidRDefault="00FB3503" w:rsidP="00FB3503">
      <w:pPr>
        <w:ind w:left="720"/>
        <w:jc w:val="both"/>
        <w:rPr>
          <w:sz w:val="22"/>
        </w:rPr>
      </w:pPr>
      <w:proofErr w:type="gramStart"/>
      <w:r w:rsidRPr="006430F4">
        <w:rPr>
          <w:b/>
          <w:sz w:val="22"/>
        </w:rPr>
        <w:t>b</w:t>
      </w:r>
      <w:proofErr w:type="gramEnd"/>
      <w:r w:rsidRPr="006430F4">
        <w:rPr>
          <w:b/>
          <w:sz w:val="22"/>
        </w:rPr>
        <w:tab/>
        <w:t>Accruals of income and expenditure</w:t>
      </w:r>
    </w:p>
    <w:p w:rsidR="00FB3503" w:rsidRPr="006430F4" w:rsidRDefault="00FB3503" w:rsidP="00FB3503">
      <w:pPr>
        <w:ind w:left="720"/>
        <w:jc w:val="both"/>
        <w:rPr>
          <w:sz w:val="22"/>
        </w:rPr>
      </w:pPr>
    </w:p>
    <w:p w:rsidR="00FB3503" w:rsidRPr="006430F4" w:rsidRDefault="00FB3503" w:rsidP="00FB3503">
      <w:pPr>
        <w:pStyle w:val="BodyTextIndent"/>
        <w:ind w:left="1440"/>
        <w:jc w:val="both"/>
        <w:rPr>
          <w:sz w:val="22"/>
          <w:lang w:val="en-GB"/>
        </w:rPr>
      </w:pPr>
      <w:r w:rsidRPr="006430F4">
        <w:rPr>
          <w:sz w:val="22"/>
          <w:lang w:val="en-GB"/>
        </w:rPr>
        <w:t>Activity is accounted for in the year that it takes place, not simply when cash payments are made or received.  In particular:</w:t>
      </w:r>
    </w:p>
    <w:p w:rsidR="00FB3503" w:rsidRPr="006430F4" w:rsidRDefault="00FB3503" w:rsidP="00882E25">
      <w:pPr>
        <w:pStyle w:val="BodyTextIndent"/>
        <w:numPr>
          <w:ilvl w:val="0"/>
          <w:numId w:val="11"/>
        </w:numPr>
        <w:jc w:val="both"/>
        <w:rPr>
          <w:sz w:val="22"/>
          <w:lang w:val="en-GB"/>
        </w:rPr>
      </w:pPr>
      <w:r w:rsidRPr="006430F4">
        <w:rPr>
          <w:sz w:val="22"/>
          <w:lang w:val="en-GB"/>
        </w:rPr>
        <w:lastRenderedPageBreak/>
        <w:t xml:space="preserve">Supplies are recorded as expenditure when they are consumed – where there is a gap between the date supplies are received and their </w:t>
      </w:r>
      <w:proofErr w:type="gramStart"/>
      <w:r w:rsidRPr="006430F4">
        <w:rPr>
          <w:sz w:val="22"/>
          <w:lang w:val="en-GB"/>
        </w:rPr>
        <w:t>consumption,</w:t>
      </w:r>
      <w:proofErr w:type="gramEnd"/>
      <w:r w:rsidRPr="006430F4">
        <w:rPr>
          <w:sz w:val="22"/>
          <w:lang w:val="en-GB"/>
        </w:rPr>
        <w:t xml:space="preserve"> they are carried as inventories on the Balance Sheet.</w:t>
      </w:r>
    </w:p>
    <w:p w:rsidR="00FB3503" w:rsidRPr="006430F4" w:rsidRDefault="00FB3503" w:rsidP="00882E25">
      <w:pPr>
        <w:pStyle w:val="BodyTextIndent"/>
        <w:numPr>
          <w:ilvl w:val="0"/>
          <w:numId w:val="11"/>
        </w:numPr>
        <w:jc w:val="both"/>
        <w:rPr>
          <w:sz w:val="22"/>
          <w:lang w:val="en-GB"/>
        </w:rPr>
      </w:pPr>
      <w:r w:rsidRPr="006430F4">
        <w:rPr>
          <w:sz w:val="22"/>
          <w:lang w:val="en-GB"/>
        </w:rPr>
        <w:t>Expenses in relation to services received (including services provided by employees) are recorded as expenditure when the services are received rather than when payments are made.</w:t>
      </w:r>
    </w:p>
    <w:p w:rsidR="00FB3503" w:rsidRPr="006430F4" w:rsidRDefault="00FB3503" w:rsidP="00882E25">
      <w:pPr>
        <w:pStyle w:val="BodyTextIndent"/>
        <w:numPr>
          <w:ilvl w:val="0"/>
          <w:numId w:val="11"/>
        </w:numPr>
        <w:jc w:val="both"/>
        <w:rPr>
          <w:sz w:val="22"/>
          <w:lang w:val="en-GB"/>
        </w:rPr>
      </w:pPr>
      <w:r w:rsidRPr="006430F4">
        <w:rPr>
          <w:sz w:val="22"/>
          <w:lang w:val="en-GB"/>
        </w:rPr>
        <w:t xml:space="preserve">Interest receivable on investments and payable on borrowings is accounted for respectively as income and expenditure on the basis of the effective interest rate for the relevant financial instrument rather than the cash flows fixed or determined by the contract. </w:t>
      </w:r>
    </w:p>
    <w:p w:rsidR="00FB3503" w:rsidRPr="006430F4" w:rsidRDefault="00FB3503" w:rsidP="00882E25">
      <w:pPr>
        <w:pStyle w:val="BodyTextIndent"/>
        <w:numPr>
          <w:ilvl w:val="0"/>
          <w:numId w:val="11"/>
        </w:numPr>
        <w:jc w:val="both"/>
        <w:rPr>
          <w:sz w:val="22"/>
          <w:lang w:val="en-GB"/>
        </w:rPr>
      </w:pPr>
      <w:r w:rsidRPr="006430F4">
        <w:rPr>
          <w:sz w:val="22"/>
          <w:lang w:val="en-GB"/>
        </w:rPr>
        <w:t>Where income and expenditure have been recognised but cash has not been received or paid, a debtor or a creditor for the relevant amount is recorded in the Balance Sheet.  Where debts may not be settled, the balance of debtors is written down and a charge made to revenue for the income that might not be collected.</w:t>
      </w:r>
    </w:p>
    <w:p w:rsidR="00FB3503" w:rsidRPr="006430F4" w:rsidRDefault="00FB3503" w:rsidP="00FB3503">
      <w:pPr>
        <w:pStyle w:val="BodyTextIndent"/>
        <w:ind w:left="1440"/>
        <w:jc w:val="both"/>
        <w:rPr>
          <w:sz w:val="22"/>
          <w:lang w:val="en-GB"/>
        </w:rPr>
      </w:pPr>
    </w:p>
    <w:p w:rsidR="00FB3503" w:rsidRPr="006430F4" w:rsidRDefault="00FB3503" w:rsidP="00FB3503">
      <w:pPr>
        <w:ind w:left="720"/>
        <w:jc w:val="both"/>
        <w:rPr>
          <w:b/>
          <w:sz w:val="22"/>
        </w:rPr>
      </w:pPr>
      <w:proofErr w:type="gramStart"/>
      <w:r w:rsidRPr="006430F4">
        <w:rPr>
          <w:b/>
          <w:sz w:val="22"/>
        </w:rPr>
        <w:t>c</w:t>
      </w:r>
      <w:proofErr w:type="gramEnd"/>
      <w:r w:rsidRPr="006430F4">
        <w:rPr>
          <w:b/>
          <w:sz w:val="22"/>
        </w:rPr>
        <w:tab/>
        <w:t>Cash &amp; cash equivalents</w:t>
      </w:r>
    </w:p>
    <w:p w:rsidR="00FB3503" w:rsidRPr="006430F4" w:rsidRDefault="00FB3503" w:rsidP="00FB3503">
      <w:pPr>
        <w:ind w:left="720"/>
        <w:jc w:val="both"/>
        <w:rPr>
          <w:b/>
          <w:sz w:val="22"/>
        </w:rPr>
      </w:pPr>
    </w:p>
    <w:p w:rsidR="00FB3503" w:rsidRPr="006430F4" w:rsidRDefault="00FB3503" w:rsidP="00FB3503">
      <w:pPr>
        <w:pStyle w:val="BodyTextIndent"/>
        <w:ind w:left="1440"/>
        <w:jc w:val="both"/>
        <w:rPr>
          <w:sz w:val="22"/>
        </w:rPr>
      </w:pPr>
      <w:r w:rsidRPr="006430F4">
        <w:rPr>
          <w:sz w:val="22"/>
        </w:rPr>
        <w:t>Cash is represented by cash in hand and deposits repayable without penalty on notice of not more than 24 hours.  Cash equivalents are investments that mature in three months or less from the date of acquisition and that are readily convertible to known amounts of cash with insignificant risk of change in value.</w:t>
      </w:r>
    </w:p>
    <w:p w:rsidR="00FB3503" w:rsidRPr="006430F4" w:rsidRDefault="00FB3503" w:rsidP="00FB3503">
      <w:pPr>
        <w:pStyle w:val="BodyTextIndent"/>
        <w:ind w:left="1440"/>
        <w:jc w:val="both"/>
        <w:rPr>
          <w:sz w:val="22"/>
        </w:rPr>
      </w:pPr>
    </w:p>
    <w:p w:rsidR="00FB3503" w:rsidRPr="006430F4" w:rsidRDefault="00FB3503" w:rsidP="00FB3503">
      <w:pPr>
        <w:pStyle w:val="BodyTextIndent"/>
        <w:ind w:left="1440"/>
        <w:jc w:val="both"/>
        <w:rPr>
          <w:sz w:val="22"/>
        </w:rPr>
      </w:pPr>
      <w:r w:rsidRPr="006430F4">
        <w:rPr>
          <w:sz w:val="22"/>
        </w:rPr>
        <w:t>In the Cash Flow Statement, cash and cash equivalents are shown net of bank overdrafts that are repayable on demand and form an integral part of the Authority’s cash management.</w:t>
      </w:r>
    </w:p>
    <w:p w:rsidR="00FB3503" w:rsidRPr="006430F4" w:rsidRDefault="00FB3503" w:rsidP="00FB3503">
      <w:pPr>
        <w:jc w:val="both"/>
        <w:rPr>
          <w:sz w:val="22"/>
        </w:rPr>
      </w:pPr>
      <w:r w:rsidRPr="006430F4">
        <w:rPr>
          <w:b/>
          <w:sz w:val="22"/>
        </w:rPr>
        <w:tab/>
      </w:r>
    </w:p>
    <w:p w:rsidR="00FB3503" w:rsidRPr="006430F4" w:rsidRDefault="00FB3503" w:rsidP="00FB3503">
      <w:pPr>
        <w:ind w:left="720"/>
        <w:jc w:val="both"/>
        <w:rPr>
          <w:b/>
          <w:sz w:val="22"/>
        </w:rPr>
      </w:pPr>
    </w:p>
    <w:p w:rsidR="00FB3503" w:rsidRPr="006430F4" w:rsidRDefault="00FB3503" w:rsidP="00FB3503">
      <w:pPr>
        <w:ind w:left="720"/>
        <w:jc w:val="both"/>
        <w:rPr>
          <w:sz w:val="22"/>
        </w:rPr>
      </w:pPr>
      <w:proofErr w:type="gramStart"/>
      <w:r>
        <w:rPr>
          <w:b/>
          <w:sz w:val="22"/>
        </w:rPr>
        <w:t>d</w:t>
      </w:r>
      <w:proofErr w:type="gramEnd"/>
      <w:r w:rsidRPr="006430F4">
        <w:rPr>
          <w:b/>
          <w:sz w:val="22"/>
        </w:rPr>
        <w:tab/>
        <w:t>Charges to Revenue for Non-Current Assets</w:t>
      </w:r>
    </w:p>
    <w:p w:rsidR="00FB3503" w:rsidRPr="006430F4" w:rsidRDefault="00FB3503" w:rsidP="00FB3503">
      <w:pPr>
        <w:ind w:left="720"/>
        <w:jc w:val="both"/>
        <w:rPr>
          <w:sz w:val="22"/>
        </w:rPr>
      </w:pPr>
    </w:p>
    <w:p w:rsidR="00FB3503" w:rsidRPr="006430F4" w:rsidRDefault="00FB3503" w:rsidP="00FB3503">
      <w:pPr>
        <w:pStyle w:val="BodyTextIndent"/>
        <w:ind w:left="1440"/>
        <w:jc w:val="both"/>
        <w:rPr>
          <w:sz w:val="22"/>
          <w:lang w:val="en-GB"/>
        </w:rPr>
      </w:pPr>
      <w:r w:rsidRPr="006430F4">
        <w:rPr>
          <w:sz w:val="22"/>
          <w:lang w:val="en-GB"/>
        </w:rPr>
        <w:t>Services, support services and trading accounts are debited with the following amounts to record the cost of holding fixed assets during the year:</w:t>
      </w:r>
    </w:p>
    <w:p w:rsidR="00FB3503" w:rsidRPr="006430F4" w:rsidRDefault="00FB3503" w:rsidP="00882E25">
      <w:pPr>
        <w:pStyle w:val="BodyTextIndent"/>
        <w:numPr>
          <w:ilvl w:val="0"/>
          <w:numId w:val="12"/>
        </w:numPr>
        <w:jc w:val="both"/>
        <w:rPr>
          <w:sz w:val="22"/>
          <w:lang w:val="en-GB"/>
        </w:rPr>
      </w:pPr>
      <w:r w:rsidRPr="006430F4">
        <w:rPr>
          <w:sz w:val="22"/>
          <w:lang w:val="en-GB"/>
        </w:rPr>
        <w:t>Depreciation attributable to the assets used by the relevant service</w:t>
      </w:r>
    </w:p>
    <w:p w:rsidR="00FB3503" w:rsidRPr="006430F4" w:rsidRDefault="00FB3503" w:rsidP="00882E25">
      <w:pPr>
        <w:pStyle w:val="BodyTextIndent"/>
        <w:numPr>
          <w:ilvl w:val="0"/>
          <w:numId w:val="12"/>
        </w:numPr>
        <w:jc w:val="both"/>
        <w:rPr>
          <w:sz w:val="22"/>
          <w:lang w:val="en-GB"/>
        </w:rPr>
      </w:pPr>
      <w:r w:rsidRPr="006430F4">
        <w:rPr>
          <w:sz w:val="22"/>
          <w:lang w:val="en-GB"/>
        </w:rPr>
        <w:t>Revaluation and impairment losses on assets used by the service where there are no accumulated gains in the Revaluation Reserve against which the losses can be written off</w:t>
      </w:r>
    </w:p>
    <w:p w:rsidR="00FB3503" w:rsidRPr="006430F4" w:rsidRDefault="00FB3503" w:rsidP="00882E25">
      <w:pPr>
        <w:pStyle w:val="BodyTextIndent"/>
        <w:numPr>
          <w:ilvl w:val="0"/>
          <w:numId w:val="12"/>
        </w:numPr>
        <w:jc w:val="both"/>
        <w:rPr>
          <w:sz w:val="22"/>
          <w:lang w:val="en-GB"/>
        </w:rPr>
      </w:pPr>
      <w:r w:rsidRPr="006430F4">
        <w:rPr>
          <w:sz w:val="22"/>
          <w:lang w:val="en-GB"/>
        </w:rPr>
        <w:t>Amortisation of intangible fixed assets attributable to the service.</w:t>
      </w:r>
    </w:p>
    <w:p w:rsidR="00FB3503" w:rsidRPr="006430F4" w:rsidRDefault="00FB3503" w:rsidP="00FB3503">
      <w:pPr>
        <w:jc w:val="both"/>
        <w:rPr>
          <w:sz w:val="22"/>
        </w:rPr>
      </w:pPr>
    </w:p>
    <w:p w:rsidR="00FB3503" w:rsidRPr="006430F4" w:rsidRDefault="00FB3503" w:rsidP="00FB3503">
      <w:pPr>
        <w:pStyle w:val="BodyTextIndent"/>
        <w:ind w:left="1440"/>
        <w:jc w:val="both"/>
        <w:rPr>
          <w:sz w:val="22"/>
          <w:lang w:val="en-GB"/>
        </w:rPr>
      </w:pPr>
      <w:r w:rsidRPr="006430F4">
        <w:rPr>
          <w:sz w:val="22"/>
          <w:lang w:val="en-GB"/>
        </w:rPr>
        <w:t xml:space="preserve">The Authority is not required to raise council tax to cover these charges.  However, it is required to make an annual contribution from revenue (Minimum Revenue Provision (MRP)) towards the reduction in its overall borrowing requirement equal to either an amount calculated on a prudent basis determined by the Authority in accordance with statutory guidance, or a minimum of 4%.  In addition to the statutory MRP calculated, the Authority may also make voluntary MRP contributions in line with approved budgets and to reduce the ongoing borrowing requirement.  Depreciation, impairment and impairment losses and amortisations are therefore replaced by the contribution in the General Fund Balance, by way of an adjusting transaction with the Capital Adjustment Account in the Movement in Reserves Statement for the difference between the two. </w:t>
      </w:r>
    </w:p>
    <w:p w:rsidR="00FB3503" w:rsidRPr="006430F4" w:rsidRDefault="00FB3503" w:rsidP="00FB3503">
      <w:pPr>
        <w:jc w:val="both"/>
        <w:rPr>
          <w:b/>
          <w:sz w:val="22"/>
        </w:rPr>
      </w:pPr>
    </w:p>
    <w:p w:rsidR="00FB3503" w:rsidRPr="006430F4" w:rsidRDefault="00FB3503" w:rsidP="00FB3503">
      <w:pPr>
        <w:ind w:left="720"/>
        <w:jc w:val="both"/>
        <w:rPr>
          <w:b/>
          <w:sz w:val="22"/>
        </w:rPr>
      </w:pPr>
      <w:proofErr w:type="gramStart"/>
      <w:r>
        <w:rPr>
          <w:b/>
          <w:sz w:val="22"/>
        </w:rPr>
        <w:t>e</w:t>
      </w:r>
      <w:proofErr w:type="gramEnd"/>
      <w:r w:rsidRPr="006430F4">
        <w:rPr>
          <w:b/>
          <w:sz w:val="22"/>
        </w:rPr>
        <w:tab/>
        <w:t>Employee Benefits</w:t>
      </w:r>
    </w:p>
    <w:p w:rsidR="00FB3503" w:rsidRPr="006430F4" w:rsidRDefault="00FB3503" w:rsidP="00FB3503">
      <w:pPr>
        <w:ind w:left="720"/>
        <w:jc w:val="both"/>
        <w:rPr>
          <w:b/>
          <w:sz w:val="22"/>
        </w:rPr>
      </w:pPr>
    </w:p>
    <w:p w:rsidR="00FB3503" w:rsidRPr="006430F4" w:rsidRDefault="00FB3503" w:rsidP="00FB3503">
      <w:pPr>
        <w:pStyle w:val="BodyTextIndent"/>
        <w:ind w:left="1440"/>
        <w:jc w:val="both"/>
        <w:rPr>
          <w:b/>
          <w:sz w:val="22"/>
        </w:rPr>
      </w:pPr>
      <w:r w:rsidRPr="006430F4">
        <w:rPr>
          <w:b/>
          <w:sz w:val="22"/>
        </w:rPr>
        <w:t xml:space="preserve">Benefits Payable </w:t>
      </w:r>
      <w:proofErr w:type="gramStart"/>
      <w:r w:rsidRPr="006430F4">
        <w:rPr>
          <w:b/>
          <w:sz w:val="22"/>
        </w:rPr>
        <w:t>During</w:t>
      </w:r>
      <w:proofErr w:type="gramEnd"/>
      <w:r w:rsidRPr="006430F4">
        <w:rPr>
          <w:b/>
          <w:sz w:val="22"/>
        </w:rPr>
        <w:t xml:space="preserve"> Employment</w:t>
      </w:r>
    </w:p>
    <w:p w:rsidR="00FB3503" w:rsidRPr="006430F4" w:rsidRDefault="00FB3503" w:rsidP="00FB3503">
      <w:pPr>
        <w:pStyle w:val="BodyTextIndent"/>
        <w:ind w:left="1440"/>
        <w:jc w:val="both"/>
        <w:rPr>
          <w:b/>
          <w:sz w:val="22"/>
        </w:rPr>
      </w:pPr>
    </w:p>
    <w:p w:rsidR="00FB3503" w:rsidRPr="006430F4" w:rsidRDefault="00FB3503" w:rsidP="00FB3503">
      <w:pPr>
        <w:pStyle w:val="BodyTextIndent"/>
        <w:ind w:left="1440"/>
        <w:jc w:val="both"/>
        <w:rPr>
          <w:sz w:val="22"/>
          <w:lang w:val="en-GB"/>
        </w:rPr>
      </w:pPr>
      <w:r w:rsidRPr="006430F4">
        <w:rPr>
          <w:sz w:val="22"/>
        </w:rPr>
        <w:t xml:space="preserve">Short-term employee benefits are those due to be settled within 12 months of the year end.  They include such benefits as wages and salaries, paid annual leave and paid sick leave and non-monetary benefits (e.g. cars) for current employees and are </w:t>
      </w:r>
      <w:proofErr w:type="spellStart"/>
      <w:r w:rsidRPr="006430F4">
        <w:rPr>
          <w:sz w:val="22"/>
        </w:rPr>
        <w:t>recognised</w:t>
      </w:r>
      <w:proofErr w:type="spellEnd"/>
      <w:r w:rsidRPr="006430F4">
        <w:rPr>
          <w:sz w:val="22"/>
        </w:rPr>
        <w:t xml:space="preserve"> as an expense for services in the year in which employees render service to the Authority.  An accrual is made for the cost of holiday entitlements (or any form of leave, e.g. time off in lieu) earned by employees but not taken before the year end which employees can carry forward into the next financial </w:t>
      </w:r>
      <w:r w:rsidRPr="006430F4">
        <w:rPr>
          <w:sz w:val="22"/>
        </w:rPr>
        <w:lastRenderedPageBreak/>
        <w:t xml:space="preserve">year.  The accrual is made at the wage and salary rates applicable in the current financial year (the best estimate of future rates at the time of the accounts).  The accrual is charged to the surplus or deficit on provision of services, but then reversed out through the </w:t>
      </w:r>
      <w:r w:rsidRPr="006430F4">
        <w:rPr>
          <w:sz w:val="22"/>
          <w:lang w:val="en-GB"/>
        </w:rPr>
        <w:t>Movement in Reserves Statement so that holiday benefits are charged to revenue in the financial year in which the holiday absence occurs.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b/>
          <w:sz w:val="22"/>
          <w:lang w:val="en-GB"/>
        </w:rPr>
      </w:pPr>
      <w:proofErr w:type="spellStart"/>
      <w:r w:rsidRPr="006430F4">
        <w:rPr>
          <w:b/>
          <w:sz w:val="22"/>
          <w:lang w:val="en-GB"/>
        </w:rPr>
        <w:t>Post Employment</w:t>
      </w:r>
      <w:proofErr w:type="spellEnd"/>
      <w:r w:rsidRPr="006430F4">
        <w:rPr>
          <w:b/>
          <w:sz w:val="22"/>
          <w:lang w:val="en-GB"/>
        </w:rPr>
        <w:t xml:space="preserve"> Benefits</w:t>
      </w:r>
    </w:p>
    <w:p w:rsidR="00FB3503" w:rsidRPr="006430F4" w:rsidRDefault="00FB3503" w:rsidP="00FB3503">
      <w:pPr>
        <w:pStyle w:val="BodyTextIndent"/>
        <w:ind w:left="1440"/>
        <w:jc w:val="both"/>
        <w:rPr>
          <w:b/>
          <w:sz w:val="22"/>
          <w:lang w:val="en-GB"/>
        </w:rPr>
      </w:pPr>
    </w:p>
    <w:p w:rsidR="00FB3503" w:rsidRPr="006430F4" w:rsidRDefault="00FB3503" w:rsidP="00FB3503">
      <w:pPr>
        <w:pStyle w:val="BodyTextIndent"/>
        <w:ind w:left="1440"/>
        <w:jc w:val="both"/>
        <w:rPr>
          <w:sz w:val="22"/>
          <w:lang w:val="en-GB"/>
        </w:rPr>
      </w:pPr>
      <w:r w:rsidRPr="006430F4">
        <w:rPr>
          <w:sz w:val="22"/>
          <w:lang w:val="en-GB"/>
        </w:rPr>
        <w:t>Employees of the Authority are members of two separate pension schemes:</w:t>
      </w:r>
    </w:p>
    <w:p w:rsidR="00FB3503" w:rsidRPr="006430F4" w:rsidRDefault="00FB3503" w:rsidP="00882E25">
      <w:pPr>
        <w:pStyle w:val="BodyTextIndent"/>
        <w:numPr>
          <w:ilvl w:val="0"/>
          <w:numId w:val="13"/>
        </w:numPr>
        <w:jc w:val="both"/>
        <w:rPr>
          <w:sz w:val="22"/>
          <w:lang w:val="en-GB"/>
        </w:rPr>
      </w:pPr>
      <w:r w:rsidRPr="006430F4">
        <w:rPr>
          <w:sz w:val="22"/>
          <w:lang w:val="en-GB"/>
        </w:rPr>
        <w:t>The Firefighters Pension Scheme, administered by Lancashire County Council</w:t>
      </w:r>
    </w:p>
    <w:p w:rsidR="00FB3503" w:rsidRPr="006430F4" w:rsidRDefault="00FB3503" w:rsidP="00882E25">
      <w:pPr>
        <w:pStyle w:val="BodyTextIndent"/>
        <w:numPr>
          <w:ilvl w:val="0"/>
          <w:numId w:val="13"/>
        </w:numPr>
        <w:jc w:val="both"/>
        <w:rPr>
          <w:sz w:val="22"/>
          <w:lang w:val="en-GB"/>
        </w:rPr>
      </w:pPr>
      <w:r w:rsidRPr="006430F4">
        <w:rPr>
          <w:sz w:val="22"/>
          <w:lang w:val="en-GB"/>
        </w:rPr>
        <w:t>The Local Government Pension Scheme, administered by Lancashire County Council</w:t>
      </w:r>
    </w:p>
    <w:p w:rsidR="00FB3503" w:rsidRPr="006430F4" w:rsidRDefault="00FB3503" w:rsidP="00FB3503">
      <w:pPr>
        <w:pStyle w:val="BodyTextIndent"/>
        <w:ind w:left="1440"/>
        <w:jc w:val="both"/>
        <w:rPr>
          <w:sz w:val="22"/>
          <w:lang w:val="en-GB"/>
        </w:rPr>
      </w:pPr>
      <w:r w:rsidRPr="006430F4">
        <w:rPr>
          <w:sz w:val="22"/>
          <w:lang w:val="en-GB"/>
        </w:rPr>
        <w:t>Both schemes provided defined benefits to members (retirement lump sums and pensions), earned as employees worked for the Authority.</w:t>
      </w:r>
    </w:p>
    <w:p w:rsidR="00FB3503" w:rsidRPr="006430F4" w:rsidRDefault="00FB3503" w:rsidP="00FB3503">
      <w:pPr>
        <w:pStyle w:val="BodyTextIndent"/>
        <w:ind w:left="2160"/>
        <w:jc w:val="both"/>
        <w:rPr>
          <w:sz w:val="22"/>
          <w:u w:val="single"/>
          <w:lang w:val="en-GB"/>
        </w:rPr>
      </w:pPr>
    </w:p>
    <w:p w:rsidR="00FB3503" w:rsidRPr="006430F4" w:rsidRDefault="00FB3503" w:rsidP="00FB3503">
      <w:pPr>
        <w:pStyle w:val="BodyTextIndent"/>
        <w:ind w:left="2160"/>
        <w:jc w:val="both"/>
        <w:rPr>
          <w:sz w:val="22"/>
          <w:u w:val="single"/>
          <w:lang w:val="en-GB"/>
        </w:rPr>
      </w:pPr>
      <w:r w:rsidRPr="006430F4">
        <w:rPr>
          <w:sz w:val="22"/>
          <w:u w:val="single"/>
          <w:lang w:val="en-GB"/>
        </w:rPr>
        <w:t>The Firefighters’ Scheme</w:t>
      </w:r>
    </w:p>
    <w:p w:rsidR="00FB3503" w:rsidRPr="006430F4" w:rsidRDefault="00FB3503" w:rsidP="00FB3503">
      <w:pPr>
        <w:ind w:left="720"/>
        <w:jc w:val="both"/>
        <w:rPr>
          <w:sz w:val="22"/>
        </w:rPr>
      </w:pPr>
    </w:p>
    <w:p w:rsidR="00FB3503" w:rsidRPr="006430F4" w:rsidRDefault="00FB3503" w:rsidP="00FB3503">
      <w:pPr>
        <w:pStyle w:val="BodyTextIndent"/>
        <w:ind w:left="2160"/>
        <w:jc w:val="both"/>
        <w:rPr>
          <w:sz w:val="22"/>
          <w:lang w:val="en-GB"/>
        </w:rPr>
      </w:pPr>
      <w:r w:rsidRPr="006430F4">
        <w:rPr>
          <w:sz w:val="22"/>
          <w:lang w:val="en-GB"/>
        </w:rPr>
        <w:t xml:space="preserve">Under IAS19 the future costs of retirement benefits have to be recognised in the accounts at the point at which the Authority becomes committed to paying them (the point when the benefits have been earned by the employee), even if the actual payment of benefits will be many years in the future.  </w:t>
      </w:r>
    </w:p>
    <w:p w:rsidR="00FB3503" w:rsidRPr="006430F4" w:rsidRDefault="00FB3503" w:rsidP="00FB3503">
      <w:pPr>
        <w:pStyle w:val="BodyTextIndent"/>
        <w:ind w:left="1440"/>
        <w:jc w:val="both"/>
        <w:rPr>
          <w:sz w:val="22"/>
          <w:lang w:val="en-GB"/>
        </w:rPr>
      </w:pPr>
    </w:p>
    <w:p w:rsidR="00FB3503" w:rsidRPr="006430F4" w:rsidRDefault="00FB3503" w:rsidP="00FB3503">
      <w:pPr>
        <w:ind w:left="2160"/>
        <w:jc w:val="both"/>
        <w:rPr>
          <w:sz w:val="22"/>
          <w:szCs w:val="22"/>
        </w:rPr>
      </w:pPr>
      <w:r w:rsidRPr="006430F4">
        <w:rPr>
          <w:sz w:val="22"/>
        </w:rPr>
        <w:t xml:space="preserve">This obligation to pay pensions benefits in the future is recognised as a liability in the Authority’s Balance Sheet.  In the service costs part of the Comprehensive Income and Expenditure Statement, transactions are recorded that indicate the change over the year in the pension liability.  These are principally the future costs of pensions earned by Firefighters in service during the year.  The transactions are not cash-based, but are actuarially-calculated amounts that reflect more closely the true changes in the scheme’s long-term liabilities.   </w:t>
      </w:r>
    </w:p>
    <w:p w:rsidR="00FB3503" w:rsidRPr="006430F4" w:rsidRDefault="00FB3503" w:rsidP="00FB3503">
      <w:pPr>
        <w:ind w:left="2160"/>
        <w:jc w:val="both"/>
        <w:rPr>
          <w:sz w:val="22"/>
          <w:szCs w:val="22"/>
        </w:rPr>
      </w:pPr>
    </w:p>
    <w:p w:rsidR="00FB3503" w:rsidRPr="006430F4" w:rsidRDefault="00FB3503" w:rsidP="00FB3503">
      <w:pPr>
        <w:pStyle w:val="BodyTextIndent"/>
        <w:ind w:left="2160"/>
        <w:jc w:val="both"/>
        <w:rPr>
          <w:sz w:val="22"/>
          <w:szCs w:val="22"/>
        </w:rPr>
      </w:pPr>
      <w:r w:rsidRPr="006430F4">
        <w:rPr>
          <w:sz w:val="22"/>
          <w:szCs w:val="22"/>
        </w:rPr>
        <w:t>In calculating the liability for 201</w:t>
      </w:r>
      <w:r>
        <w:rPr>
          <w:sz w:val="22"/>
          <w:szCs w:val="22"/>
        </w:rPr>
        <w:t>7</w:t>
      </w:r>
      <w:r w:rsidRPr="006430F4">
        <w:rPr>
          <w:sz w:val="22"/>
          <w:szCs w:val="22"/>
        </w:rPr>
        <w:t>/1</w:t>
      </w:r>
      <w:r>
        <w:rPr>
          <w:sz w:val="22"/>
          <w:szCs w:val="22"/>
        </w:rPr>
        <w:t>8</w:t>
      </w:r>
      <w:r w:rsidRPr="006430F4">
        <w:rPr>
          <w:sz w:val="22"/>
          <w:szCs w:val="22"/>
        </w:rPr>
        <w:t>, the actuary based the valuation on a roll forwards approach.</w:t>
      </w:r>
    </w:p>
    <w:p w:rsidR="00FB3503" w:rsidRPr="006430F4" w:rsidRDefault="00FB3503" w:rsidP="00FB3503">
      <w:pPr>
        <w:pStyle w:val="BodyTextIndent"/>
        <w:ind w:left="2160"/>
        <w:jc w:val="both"/>
        <w:rPr>
          <w:sz w:val="22"/>
          <w:szCs w:val="22"/>
        </w:rPr>
      </w:pPr>
    </w:p>
    <w:p w:rsidR="00FB3503" w:rsidRPr="006430F4" w:rsidRDefault="00FB3503" w:rsidP="00FB3503">
      <w:pPr>
        <w:pStyle w:val="BodyTextIndent"/>
        <w:ind w:left="2160"/>
        <w:jc w:val="both"/>
        <w:rPr>
          <w:sz w:val="22"/>
          <w:szCs w:val="22"/>
        </w:rPr>
      </w:pPr>
      <w:r w:rsidRPr="006430F4">
        <w:rPr>
          <w:sz w:val="22"/>
          <w:szCs w:val="22"/>
        </w:rPr>
        <w:t xml:space="preserve">Top up grant received during the year from the Home Office to cover the pension costs of the above scheme are recognized in the Comprehensive Income and Expenditure Statement via adjustments in respect of the actuarial valuation. </w:t>
      </w:r>
    </w:p>
    <w:p w:rsidR="00FB3503" w:rsidRPr="006430F4" w:rsidRDefault="00FB3503" w:rsidP="00FB3503">
      <w:pPr>
        <w:ind w:left="2160"/>
        <w:jc w:val="both"/>
        <w:rPr>
          <w:sz w:val="22"/>
          <w:szCs w:val="22"/>
        </w:rPr>
      </w:pPr>
    </w:p>
    <w:p w:rsidR="00FB3503" w:rsidRPr="006430F4" w:rsidRDefault="00FB3503" w:rsidP="00FB3503">
      <w:pPr>
        <w:pStyle w:val="BodyTextIndent"/>
        <w:ind w:left="2160"/>
        <w:jc w:val="both"/>
        <w:rPr>
          <w:sz w:val="22"/>
          <w:szCs w:val="22"/>
          <w:u w:val="single"/>
          <w:lang w:val="en-GB"/>
        </w:rPr>
      </w:pPr>
      <w:r w:rsidRPr="006430F4">
        <w:rPr>
          <w:sz w:val="22"/>
          <w:szCs w:val="22"/>
          <w:u w:val="single"/>
          <w:lang w:val="en-GB"/>
        </w:rPr>
        <w:t>The Local Government Pension Scheme</w:t>
      </w:r>
    </w:p>
    <w:p w:rsidR="00FB3503" w:rsidRPr="006430F4" w:rsidRDefault="00FB3503" w:rsidP="00FB3503">
      <w:pPr>
        <w:pStyle w:val="BodyTextIndent"/>
        <w:ind w:left="2160"/>
        <w:jc w:val="both"/>
        <w:rPr>
          <w:sz w:val="22"/>
          <w:szCs w:val="22"/>
          <w:lang w:val="en-GB"/>
        </w:rPr>
      </w:pPr>
    </w:p>
    <w:p w:rsidR="00FB3503" w:rsidRPr="006430F4" w:rsidRDefault="00FB3503" w:rsidP="00FB3503">
      <w:pPr>
        <w:pStyle w:val="BodyTextIndent"/>
        <w:ind w:left="2160"/>
        <w:jc w:val="both"/>
        <w:rPr>
          <w:sz w:val="22"/>
          <w:lang w:val="en-GB"/>
        </w:rPr>
      </w:pPr>
      <w:r w:rsidRPr="006430F4">
        <w:rPr>
          <w:sz w:val="22"/>
          <w:lang w:val="en-GB"/>
        </w:rPr>
        <w:t xml:space="preserve">The same basic principles apply to the local government scheme with the difference being that, because this is a funded scheme (i.e. is backed by a portfolio of investments in equities, property </w:t>
      </w:r>
      <w:proofErr w:type="spellStart"/>
      <w:r w:rsidRPr="006430F4">
        <w:rPr>
          <w:sz w:val="22"/>
          <w:lang w:val="en-GB"/>
        </w:rPr>
        <w:t>etc</w:t>
      </w:r>
      <w:proofErr w:type="spellEnd"/>
      <w:r w:rsidRPr="006430F4">
        <w:rPr>
          <w:sz w:val="22"/>
          <w:lang w:val="en-GB"/>
        </w:rPr>
        <w:t>), there are transactions recorded in the revenue account to reflect changes in the expected return on these assets.  Like the transactions referred to above, these too, are actuarially-calculated figures.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2160"/>
        <w:jc w:val="both"/>
        <w:rPr>
          <w:sz w:val="22"/>
          <w:lang w:val="en-GB"/>
        </w:rPr>
      </w:pPr>
      <w:r w:rsidRPr="006430F4">
        <w:rPr>
          <w:sz w:val="22"/>
          <w:lang w:val="en-GB"/>
        </w:rPr>
        <w:t>On the Balance Sheet, the liability to pay future pensions is balanced, although at the moment not fully, by the fund’s investment assets.</w:t>
      </w:r>
    </w:p>
    <w:p w:rsidR="00FB3503" w:rsidRPr="006430F4" w:rsidRDefault="00FB3503" w:rsidP="00FB3503">
      <w:pPr>
        <w:jc w:val="both"/>
        <w:rPr>
          <w:sz w:val="22"/>
        </w:rPr>
      </w:pPr>
    </w:p>
    <w:p w:rsidR="00FB3503" w:rsidRPr="006430F4" w:rsidRDefault="00FB3503" w:rsidP="00FB3503">
      <w:pPr>
        <w:pStyle w:val="BodyTextIndent"/>
        <w:ind w:left="2160"/>
        <w:jc w:val="both"/>
        <w:rPr>
          <w:sz w:val="22"/>
          <w:szCs w:val="22"/>
        </w:rPr>
      </w:pPr>
      <w:r w:rsidRPr="006430F4">
        <w:rPr>
          <w:sz w:val="22"/>
        </w:rPr>
        <w:t>In calculating the liability for 201</w:t>
      </w:r>
      <w:r>
        <w:rPr>
          <w:sz w:val="22"/>
        </w:rPr>
        <w:t>7</w:t>
      </w:r>
      <w:r w:rsidRPr="006430F4">
        <w:rPr>
          <w:sz w:val="22"/>
        </w:rPr>
        <w:t>/1</w:t>
      </w:r>
      <w:r>
        <w:rPr>
          <w:sz w:val="22"/>
        </w:rPr>
        <w:t>8</w:t>
      </w:r>
      <w:r w:rsidRPr="006430F4">
        <w:rPr>
          <w:sz w:val="22"/>
        </w:rPr>
        <w:t xml:space="preserve">, </w:t>
      </w:r>
      <w:r w:rsidRPr="006430F4">
        <w:rPr>
          <w:sz w:val="22"/>
          <w:szCs w:val="22"/>
        </w:rPr>
        <w:t>the actuary based the valuation on a roll forwards approach.</w:t>
      </w:r>
    </w:p>
    <w:p w:rsidR="00FB3503" w:rsidRPr="006430F4" w:rsidRDefault="00FB3503" w:rsidP="00FB3503">
      <w:pPr>
        <w:pStyle w:val="BodyTextIndent"/>
        <w:ind w:left="2160"/>
        <w:jc w:val="both"/>
        <w:rPr>
          <w:sz w:val="22"/>
        </w:rPr>
      </w:pPr>
    </w:p>
    <w:p w:rsidR="00FB3503" w:rsidRPr="006430F4" w:rsidRDefault="00FB3503" w:rsidP="00FB3503">
      <w:pPr>
        <w:ind w:left="1440"/>
        <w:jc w:val="both"/>
        <w:rPr>
          <w:sz w:val="22"/>
        </w:rPr>
      </w:pPr>
      <w:r w:rsidRPr="006430F4">
        <w:rPr>
          <w:sz w:val="22"/>
        </w:rPr>
        <w:t>In valuing the pension scheme assets for 201</w:t>
      </w:r>
      <w:r>
        <w:rPr>
          <w:sz w:val="22"/>
        </w:rPr>
        <w:t>7</w:t>
      </w:r>
      <w:r w:rsidRPr="006430F4">
        <w:rPr>
          <w:sz w:val="22"/>
        </w:rPr>
        <w:t>/1</w:t>
      </w:r>
      <w:r>
        <w:rPr>
          <w:sz w:val="22"/>
        </w:rPr>
        <w:t>8</w:t>
      </w:r>
      <w:r w:rsidRPr="006430F4">
        <w:rPr>
          <w:sz w:val="22"/>
        </w:rPr>
        <w:t>, the actuaries used fair value basis for both derivatives and investments.</w:t>
      </w:r>
    </w:p>
    <w:p w:rsidR="00FB3503" w:rsidRPr="006430F4" w:rsidRDefault="00FB3503" w:rsidP="00FB3503">
      <w:pPr>
        <w:ind w:left="720"/>
        <w:jc w:val="both"/>
        <w:rPr>
          <w:b/>
          <w:sz w:val="22"/>
        </w:rPr>
      </w:pPr>
    </w:p>
    <w:p w:rsidR="00FB3503" w:rsidRPr="006430F4" w:rsidRDefault="00FB3503" w:rsidP="00FB3503">
      <w:pPr>
        <w:keepLines/>
        <w:widowControl w:val="0"/>
        <w:ind w:left="720"/>
        <w:jc w:val="both"/>
        <w:rPr>
          <w:b/>
          <w:sz w:val="22"/>
        </w:rPr>
      </w:pPr>
      <w:proofErr w:type="gramStart"/>
      <w:r>
        <w:rPr>
          <w:b/>
          <w:sz w:val="22"/>
        </w:rPr>
        <w:t>f</w:t>
      </w:r>
      <w:proofErr w:type="gramEnd"/>
      <w:r w:rsidRPr="006430F4">
        <w:rPr>
          <w:sz w:val="22"/>
        </w:rPr>
        <w:tab/>
      </w:r>
      <w:r w:rsidRPr="006430F4">
        <w:rPr>
          <w:b/>
          <w:sz w:val="22"/>
        </w:rPr>
        <w:t>Financial Liabilities</w:t>
      </w:r>
    </w:p>
    <w:p w:rsidR="00FB3503" w:rsidRPr="006430F4" w:rsidRDefault="00FB3503" w:rsidP="00FB3503">
      <w:pPr>
        <w:keepLines/>
        <w:widowControl w:val="0"/>
        <w:tabs>
          <w:tab w:val="left" w:pos="0"/>
          <w:tab w:val="right" w:pos="9072"/>
        </w:tabs>
        <w:ind w:left="720"/>
        <w:jc w:val="both"/>
        <w:rPr>
          <w:b/>
          <w:sz w:val="22"/>
        </w:rPr>
      </w:pPr>
    </w:p>
    <w:p w:rsidR="00FB3503" w:rsidRPr="006430F4" w:rsidRDefault="00FB3503" w:rsidP="00FB3503">
      <w:pPr>
        <w:keepLines/>
        <w:widowControl w:val="0"/>
        <w:ind w:left="1429"/>
        <w:jc w:val="both"/>
        <w:rPr>
          <w:sz w:val="22"/>
        </w:rPr>
      </w:pPr>
      <w:r w:rsidRPr="006430F4">
        <w:rPr>
          <w:sz w:val="22"/>
        </w:rPr>
        <w:lastRenderedPageBreak/>
        <w:t>Financial liabilities are initially measured at fair value and carried at their amortised cost.  For all of the borrowings the Authority has, this means that the amount presented in the Balance Sheet is the outstanding principle repayable plus accrued interest and the interest charged to the Comprehensive Income and Expenditure Statement is the amount payable for the year in the loan agreement.</w:t>
      </w:r>
    </w:p>
    <w:p w:rsidR="00FB3503" w:rsidRPr="006430F4" w:rsidRDefault="00FB3503" w:rsidP="00FB3503">
      <w:pPr>
        <w:keepLines/>
        <w:widowControl w:val="0"/>
        <w:ind w:left="720"/>
        <w:jc w:val="both"/>
        <w:rPr>
          <w:b/>
          <w:sz w:val="22"/>
        </w:rPr>
      </w:pPr>
    </w:p>
    <w:p w:rsidR="00FB3503" w:rsidRPr="006430F4" w:rsidRDefault="00FB3503" w:rsidP="00FB3503">
      <w:pPr>
        <w:keepLines/>
        <w:widowControl w:val="0"/>
        <w:ind w:left="720"/>
        <w:jc w:val="both"/>
        <w:rPr>
          <w:b/>
          <w:sz w:val="22"/>
        </w:rPr>
      </w:pPr>
      <w:proofErr w:type="gramStart"/>
      <w:r>
        <w:rPr>
          <w:b/>
          <w:sz w:val="22"/>
        </w:rPr>
        <w:t>g</w:t>
      </w:r>
      <w:proofErr w:type="gramEnd"/>
      <w:r w:rsidRPr="006430F4">
        <w:rPr>
          <w:b/>
          <w:sz w:val="22"/>
        </w:rPr>
        <w:tab/>
        <w:t>Financial Assets</w:t>
      </w:r>
    </w:p>
    <w:p w:rsidR="00FB3503" w:rsidRPr="006430F4" w:rsidRDefault="00FB3503" w:rsidP="00FB3503">
      <w:pPr>
        <w:keepLines/>
        <w:widowControl w:val="0"/>
        <w:tabs>
          <w:tab w:val="left" w:pos="0"/>
          <w:tab w:val="right" w:pos="9072"/>
        </w:tabs>
        <w:ind w:left="720"/>
        <w:jc w:val="both"/>
        <w:rPr>
          <w:b/>
          <w:sz w:val="22"/>
        </w:rPr>
      </w:pPr>
    </w:p>
    <w:p w:rsidR="00FB3503" w:rsidRPr="006430F4" w:rsidRDefault="00FB3503" w:rsidP="00FB3503">
      <w:pPr>
        <w:keepLines/>
        <w:widowControl w:val="0"/>
        <w:tabs>
          <w:tab w:val="right" w:pos="9072"/>
        </w:tabs>
        <w:ind w:left="1429"/>
        <w:jc w:val="both"/>
        <w:rPr>
          <w:sz w:val="22"/>
        </w:rPr>
      </w:pPr>
      <w:r w:rsidRPr="006430F4">
        <w:rPr>
          <w:sz w:val="22"/>
        </w:rPr>
        <w:t>The Authority holds only one type of financial asset, loans and receivables.  These are its cash investments and debtors - assets that have fixed or determinable payments but are not quoted in an active market.</w:t>
      </w:r>
    </w:p>
    <w:p w:rsidR="00FB3503" w:rsidRPr="006430F4" w:rsidRDefault="00FB3503" w:rsidP="00FB3503">
      <w:pPr>
        <w:keepLines/>
        <w:widowControl w:val="0"/>
        <w:ind w:left="1429" w:hanging="709"/>
        <w:jc w:val="both"/>
        <w:rPr>
          <w:b/>
          <w:sz w:val="22"/>
        </w:rPr>
      </w:pPr>
    </w:p>
    <w:p w:rsidR="00FB3503" w:rsidRPr="006430F4" w:rsidRDefault="00FB3503" w:rsidP="00FB3503">
      <w:pPr>
        <w:ind w:left="1429"/>
        <w:jc w:val="both"/>
        <w:rPr>
          <w:sz w:val="22"/>
        </w:rPr>
      </w:pPr>
      <w:r w:rsidRPr="006430F4">
        <w:rPr>
          <w:sz w:val="22"/>
        </w:rPr>
        <w:t>Loans and receivables are initially measured at fair value and carried at their amortised cost.  For all of the investments that the Authority has made, this means that the amount presented in the Balance Sheet is the outstanding principal receivable.  The interest credited to the Comprehensive Income and Expenditure Statement is the amount receivable for the year under the terms of the deposit agreement.</w:t>
      </w:r>
    </w:p>
    <w:p w:rsidR="00FB3503" w:rsidRPr="006430F4" w:rsidRDefault="00FB3503" w:rsidP="00FB3503">
      <w:pPr>
        <w:ind w:left="1429"/>
        <w:jc w:val="both"/>
        <w:rPr>
          <w:sz w:val="22"/>
        </w:rPr>
      </w:pPr>
    </w:p>
    <w:p w:rsidR="00FB3503" w:rsidRPr="006430F4" w:rsidRDefault="00FB3503" w:rsidP="00FB3503">
      <w:pPr>
        <w:ind w:left="720"/>
        <w:jc w:val="both"/>
        <w:rPr>
          <w:b/>
          <w:sz w:val="22"/>
        </w:rPr>
      </w:pPr>
      <w:proofErr w:type="gramStart"/>
      <w:r>
        <w:rPr>
          <w:b/>
          <w:sz w:val="22"/>
        </w:rPr>
        <w:t>h</w:t>
      </w:r>
      <w:proofErr w:type="gramEnd"/>
      <w:r w:rsidRPr="006430F4">
        <w:rPr>
          <w:b/>
          <w:sz w:val="22"/>
        </w:rPr>
        <w:tab/>
        <w:t>Government Grants &amp; Contributions</w:t>
      </w:r>
    </w:p>
    <w:p w:rsidR="00FB3503" w:rsidRPr="006430F4" w:rsidRDefault="00FB3503" w:rsidP="00FB3503">
      <w:pPr>
        <w:ind w:left="720"/>
        <w:jc w:val="both"/>
        <w:rPr>
          <w:b/>
          <w:sz w:val="22"/>
        </w:rPr>
      </w:pPr>
    </w:p>
    <w:p w:rsidR="00FB3503" w:rsidRPr="006430F4" w:rsidRDefault="00FB3503" w:rsidP="00FB3503">
      <w:pPr>
        <w:ind w:left="1429"/>
        <w:jc w:val="both"/>
        <w:rPr>
          <w:sz w:val="22"/>
        </w:rPr>
      </w:pPr>
      <w:r w:rsidRPr="006430F4">
        <w:rPr>
          <w:sz w:val="22"/>
        </w:rPr>
        <w:t>Government grants and donations are recognised as due to the Authority when there is reasonable assurance that:</w:t>
      </w:r>
    </w:p>
    <w:p w:rsidR="00FB3503" w:rsidRPr="006430F4" w:rsidRDefault="00FB3503" w:rsidP="00FB3503">
      <w:pPr>
        <w:ind w:left="1429"/>
        <w:jc w:val="both"/>
        <w:rPr>
          <w:sz w:val="22"/>
        </w:rPr>
      </w:pPr>
    </w:p>
    <w:p w:rsidR="00FB3503" w:rsidRPr="006430F4" w:rsidRDefault="00FB3503" w:rsidP="00882E25">
      <w:pPr>
        <w:numPr>
          <w:ilvl w:val="0"/>
          <w:numId w:val="14"/>
        </w:numPr>
        <w:jc w:val="both"/>
        <w:rPr>
          <w:sz w:val="22"/>
        </w:rPr>
      </w:pPr>
      <w:r w:rsidRPr="006430F4">
        <w:rPr>
          <w:sz w:val="22"/>
        </w:rPr>
        <w:t>The Authority will comply with the conditions attached to the payments, and</w:t>
      </w:r>
    </w:p>
    <w:p w:rsidR="00FB3503" w:rsidRPr="006430F4" w:rsidRDefault="00FB3503" w:rsidP="00882E25">
      <w:pPr>
        <w:numPr>
          <w:ilvl w:val="0"/>
          <w:numId w:val="14"/>
        </w:numPr>
        <w:jc w:val="both"/>
        <w:rPr>
          <w:sz w:val="22"/>
        </w:rPr>
      </w:pPr>
      <w:r w:rsidRPr="006430F4">
        <w:rPr>
          <w:sz w:val="22"/>
        </w:rPr>
        <w:t>The grants or contributions will be received.</w:t>
      </w:r>
    </w:p>
    <w:p w:rsidR="00FB3503" w:rsidRPr="006430F4" w:rsidRDefault="00FB3503" w:rsidP="00FB3503">
      <w:pPr>
        <w:ind w:left="1429"/>
        <w:jc w:val="both"/>
        <w:rPr>
          <w:sz w:val="22"/>
        </w:rPr>
      </w:pPr>
    </w:p>
    <w:p w:rsidR="00FB3503" w:rsidRPr="006430F4" w:rsidRDefault="00FB3503" w:rsidP="00FB3503">
      <w:pPr>
        <w:ind w:left="1429"/>
        <w:jc w:val="both"/>
        <w:rPr>
          <w:sz w:val="22"/>
        </w:rPr>
      </w:pPr>
      <w:r w:rsidRPr="006430F4">
        <w:rPr>
          <w:sz w:val="22"/>
        </w:rPr>
        <w:t>Amounts recognised as due to the Authority are not credited to the Comprehensive Income and Expenditure Statement until conditions attached have been satisfied.  When conditions have been satisfied, the grant is credited to the non-specific grant income line in the Comprehensive Income and Expenditure Statement.</w:t>
      </w:r>
    </w:p>
    <w:p w:rsidR="00FB3503" w:rsidRPr="006430F4" w:rsidRDefault="00FB3503" w:rsidP="00FB3503">
      <w:pPr>
        <w:ind w:left="1429"/>
        <w:jc w:val="both"/>
        <w:rPr>
          <w:sz w:val="22"/>
        </w:rPr>
      </w:pPr>
    </w:p>
    <w:p w:rsidR="00FB3503" w:rsidRPr="006430F4" w:rsidRDefault="00FB3503" w:rsidP="00FB3503">
      <w:pPr>
        <w:ind w:left="1429"/>
        <w:jc w:val="both"/>
        <w:rPr>
          <w:sz w:val="22"/>
        </w:rPr>
      </w:pPr>
      <w:r w:rsidRPr="006430F4">
        <w:rPr>
          <w:sz w:val="22"/>
        </w:rPr>
        <w:t>Where capital grants are credited to the Comprehensive Income and Expenditure Statement, they are reversed out of the General Fund Balance in the Movement in Reserves Statement.</w:t>
      </w:r>
    </w:p>
    <w:p w:rsidR="00FB3503" w:rsidRPr="006430F4" w:rsidRDefault="00FB3503" w:rsidP="00FB3503">
      <w:pPr>
        <w:ind w:left="1429"/>
        <w:jc w:val="both"/>
        <w:rPr>
          <w:sz w:val="22"/>
        </w:rPr>
      </w:pPr>
    </w:p>
    <w:p w:rsidR="00FB3503" w:rsidRPr="006430F4" w:rsidRDefault="00FB3503" w:rsidP="00FB3503">
      <w:pPr>
        <w:ind w:left="720"/>
        <w:jc w:val="both"/>
        <w:rPr>
          <w:sz w:val="22"/>
        </w:rPr>
      </w:pPr>
      <w:proofErr w:type="spellStart"/>
      <w:proofErr w:type="gramStart"/>
      <w:r>
        <w:rPr>
          <w:b/>
          <w:sz w:val="22"/>
        </w:rPr>
        <w:t>i</w:t>
      </w:r>
      <w:proofErr w:type="spellEnd"/>
      <w:proofErr w:type="gramEnd"/>
      <w:r w:rsidRPr="006430F4">
        <w:rPr>
          <w:b/>
          <w:sz w:val="22"/>
        </w:rPr>
        <w:tab/>
      </w:r>
      <w:proofErr w:type="spellStart"/>
      <w:r w:rsidRPr="006430F4">
        <w:rPr>
          <w:b/>
          <w:sz w:val="22"/>
        </w:rPr>
        <w:t>Non Current</w:t>
      </w:r>
      <w:proofErr w:type="spellEnd"/>
      <w:r w:rsidRPr="006430F4">
        <w:rPr>
          <w:b/>
          <w:sz w:val="22"/>
        </w:rPr>
        <w:t xml:space="preserve"> Assets</w:t>
      </w:r>
    </w:p>
    <w:p w:rsidR="00FB3503" w:rsidRPr="006430F4" w:rsidRDefault="00FB3503" w:rsidP="00FB3503">
      <w:pPr>
        <w:ind w:left="720"/>
        <w:jc w:val="both"/>
        <w:rPr>
          <w:sz w:val="22"/>
        </w:rPr>
      </w:pPr>
    </w:p>
    <w:p w:rsidR="00FB3503" w:rsidRPr="006430F4" w:rsidRDefault="00FB3503" w:rsidP="00FB3503">
      <w:pPr>
        <w:ind w:left="1440"/>
        <w:jc w:val="both"/>
        <w:rPr>
          <w:sz w:val="22"/>
        </w:rPr>
      </w:pPr>
      <w:proofErr w:type="spellStart"/>
      <w:r w:rsidRPr="006430F4">
        <w:rPr>
          <w:sz w:val="22"/>
        </w:rPr>
        <w:t>Non current</w:t>
      </w:r>
      <w:proofErr w:type="spellEnd"/>
      <w:r w:rsidRPr="006430F4">
        <w:rPr>
          <w:sz w:val="22"/>
        </w:rPr>
        <w:t xml:space="preserve"> assets are included in the Balance Sheet at the estimated current value of the asset.  They comprise:</w:t>
      </w:r>
    </w:p>
    <w:p w:rsidR="00FB3503" w:rsidRPr="006430F4" w:rsidRDefault="00FB3503" w:rsidP="00FB3503">
      <w:pPr>
        <w:ind w:left="1440"/>
        <w:jc w:val="both"/>
        <w:rPr>
          <w:sz w:val="22"/>
        </w:rPr>
      </w:pPr>
    </w:p>
    <w:p w:rsidR="00FB3503" w:rsidRPr="006430F4" w:rsidRDefault="00FB3503" w:rsidP="00882E25">
      <w:pPr>
        <w:pStyle w:val="BodyTextIndent"/>
        <w:numPr>
          <w:ilvl w:val="0"/>
          <w:numId w:val="21"/>
        </w:numPr>
        <w:jc w:val="both"/>
        <w:rPr>
          <w:i/>
        </w:rPr>
      </w:pPr>
      <w:r w:rsidRPr="006430F4">
        <w:rPr>
          <w:sz w:val="22"/>
          <w:szCs w:val="22"/>
        </w:rPr>
        <w:t>Property, plant &amp; equipment - These are assets that have a physical substance which are used continuously to provide services or for administrative purposes.</w:t>
      </w:r>
    </w:p>
    <w:p w:rsidR="00FB3503" w:rsidRPr="006430F4" w:rsidRDefault="00FB3503" w:rsidP="00882E25">
      <w:pPr>
        <w:pStyle w:val="BodyTextIndent"/>
        <w:numPr>
          <w:ilvl w:val="0"/>
          <w:numId w:val="10"/>
        </w:numPr>
        <w:ind w:left="2160"/>
        <w:jc w:val="both"/>
        <w:rPr>
          <w:sz w:val="22"/>
          <w:szCs w:val="22"/>
        </w:rPr>
      </w:pPr>
      <w:r w:rsidRPr="006430F4">
        <w:rPr>
          <w:sz w:val="22"/>
        </w:rPr>
        <w:t xml:space="preserve">Intangible assets – Assets that do not </w:t>
      </w:r>
      <w:r w:rsidRPr="006430F4">
        <w:rPr>
          <w:sz w:val="22"/>
          <w:szCs w:val="22"/>
        </w:rPr>
        <w:t xml:space="preserve">have a physical substance but can be separately identified and controlled by the Authority (for example, software licenses). Spending on these assets is </w:t>
      </w:r>
      <w:proofErr w:type="spellStart"/>
      <w:r w:rsidRPr="006430F4">
        <w:rPr>
          <w:sz w:val="22"/>
          <w:szCs w:val="22"/>
        </w:rPr>
        <w:t>capitalised</w:t>
      </w:r>
      <w:proofErr w:type="spellEnd"/>
      <w:r w:rsidRPr="006430F4">
        <w:rPr>
          <w:sz w:val="22"/>
          <w:szCs w:val="22"/>
        </w:rPr>
        <w:t xml:space="preserve"> if the asset will bring benefit to the Authority for more than one financial year.</w:t>
      </w:r>
    </w:p>
    <w:p w:rsidR="00FB3503" w:rsidRPr="006430F4" w:rsidRDefault="00FB3503" w:rsidP="00FB3503">
      <w:pPr>
        <w:ind w:left="720"/>
        <w:jc w:val="both"/>
        <w:rPr>
          <w:sz w:val="22"/>
        </w:rPr>
      </w:pPr>
    </w:p>
    <w:p w:rsidR="00FB3503" w:rsidRPr="006430F4" w:rsidRDefault="00FB3503" w:rsidP="00FB3503">
      <w:pPr>
        <w:ind w:left="2160" w:hanging="720"/>
        <w:jc w:val="both"/>
        <w:rPr>
          <w:sz w:val="22"/>
          <w:u w:val="single"/>
        </w:rPr>
      </w:pPr>
      <w:proofErr w:type="spellStart"/>
      <w:r w:rsidRPr="006430F4">
        <w:rPr>
          <w:sz w:val="22"/>
        </w:rPr>
        <w:t>i</w:t>
      </w:r>
      <w:proofErr w:type="spellEnd"/>
      <w:r w:rsidRPr="006430F4">
        <w:rPr>
          <w:sz w:val="22"/>
        </w:rPr>
        <w:t>)</w:t>
      </w:r>
      <w:r w:rsidRPr="006430F4">
        <w:rPr>
          <w:sz w:val="22"/>
        </w:rPr>
        <w:tab/>
      </w:r>
      <w:r w:rsidRPr="006430F4">
        <w:rPr>
          <w:sz w:val="22"/>
          <w:u w:val="single"/>
        </w:rPr>
        <w:t>Recognition</w:t>
      </w:r>
    </w:p>
    <w:p w:rsidR="00FB3503" w:rsidRPr="006430F4" w:rsidRDefault="00FB3503" w:rsidP="00FB3503">
      <w:pPr>
        <w:pStyle w:val="BodyTextIndent3"/>
        <w:spacing w:after="0"/>
        <w:ind w:left="720"/>
        <w:jc w:val="both"/>
        <w:rPr>
          <w:sz w:val="22"/>
        </w:rPr>
      </w:pPr>
    </w:p>
    <w:p w:rsidR="00FB3503" w:rsidRPr="006430F4" w:rsidRDefault="00FB3503" w:rsidP="00FB3503">
      <w:pPr>
        <w:pStyle w:val="BodyTextIndent3"/>
        <w:spacing w:after="0"/>
        <w:ind w:left="2160"/>
        <w:jc w:val="both"/>
        <w:rPr>
          <w:strike/>
          <w:sz w:val="22"/>
        </w:rPr>
      </w:pPr>
      <w:r w:rsidRPr="006430F4">
        <w:rPr>
          <w:sz w:val="22"/>
        </w:rPr>
        <w:t xml:space="preserve">All capital expenditure over the value of £10,000 on the acquisition or enhancement of </w:t>
      </w:r>
      <w:proofErr w:type="spellStart"/>
      <w:r w:rsidRPr="006430F4">
        <w:rPr>
          <w:sz w:val="22"/>
        </w:rPr>
        <w:t>non current</w:t>
      </w:r>
      <w:proofErr w:type="spellEnd"/>
      <w:r w:rsidRPr="006430F4">
        <w:rPr>
          <w:sz w:val="22"/>
        </w:rPr>
        <w:t xml:space="preserve"> assets is capitalised in the accounts on an accruals basis, in accordance with the relevant statute, with the exception of fleet vehicles, which are capitalised providing the cost is over £5,000 and the asset life is over 5 years.</w:t>
      </w:r>
    </w:p>
    <w:p w:rsidR="00FB3503" w:rsidRPr="006430F4" w:rsidRDefault="00FB3503" w:rsidP="00FB3503">
      <w:pPr>
        <w:pStyle w:val="BodyTextIndent3"/>
        <w:spacing w:after="0"/>
        <w:ind w:left="720"/>
        <w:jc w:val="both"/>
        <w:rPr>
          <w:sz w:val="22"/>
        </w:rPr>
      </w:pPr>
    </w:p>
    <w:p w:rsidR="00FB3503" w:rsidRPr="006430F4" w:rsidRDefault="00FB3503" w:rsidP="00FB3503">
      <w:pPr>
        <w:ind w:left="2160" w:hanging="720"/>
        <w:jc w:val="both"/>
        <w:rPr>
          <w:sz w:val="22"/>
          <w:u w:val="single"/>
        </w:rPr>
      </w:pPr>
      <w:r w:rsidRPr="006430F4">
        <w:rPr>
          <w:sz w:val="22"/>
        </w:rPr>
        <w:t>ii)</w:t>
      </w:r>
      <w:r w:rsidRPr="006430F4">
        <w:rPr>
          <w:sz w:val="22"/>
        </w:rPr>
        <w:tab/>
      </w:r>
      <w:r w:rsidRPr="006430F4">
        <w:rPr>
          <w:sz w:val="22"/>
          <w:u w:val="single"/>
        </w:rPr>
        <w:t>Measurement</w:t>
      </w:r>
    </w:p>
    <w:p w:rsidR="00FB3503" w:rsidRPr="006430F4" w:rsidRDefault="00FB3503" w:rsidP="00FB3503">
      <w:pPr>
        <w:pStyle w:val="BodyTextIndent3"/>
        <w:spacing w:after="0"/>
        <w:ind w:left="720"/>
        <w:jc w:val="both"/>
        <w:rPr>
          <w:sz w:val="22"/>
        </w:rPr>
      </w:pPr>
    </w:p>
    <w:p w:rsidR="00FB3503" w:rsidRPr="006430F4" w:rsidRDefault="00FB3503" w:rsidP="00FB3503">
      <w:pPr>
        <w:pStyle w:val="BodyTextIndent3"/>
        <w:spacing w:after="0"/>
        <w:ind w:left="2160"/>
        <w:jc w:val="both"/>
        <w:rPr>
          <w:sz w:val="22"/>
        </w:rPr>
      </w:pPr>
      <w:r w:rsidRPr="006430F4">
        <w:rPr>
          <w:sz w:val="22"/>
        </w:rPr>
        <w:t xml:space="preserve">Land and buildings are revalued on a rolling five year basis by a suitably qualified surveyor. </w:t>
      </w:r>
      <w:proofErr w:type="gramStart"/>
      <w:r w:rsidRPr="006430F4">
        <w:rPr>
          <w:sz w:val="22"/>
        </w:rPr>
        <w:t>As at 31 March 201</w:t>
      </w:r>
      <w:r>
        <w:rPr>
          <w:sz w:val="22"/>
        </w:rPr>
        <w:t>8</w:t>
      </w:r>
      <w:r w:rsidRPr="006430F4">
        <w:rPr>
          <w:sz w:val="22"/>
        </w:rPr>
        <w:t xml:space="preserve">, </w:t>
      </w:r>
      <w:proofErr w:type="spellStart"/>
      <w:r w:rsidRPr="006430F4">
        <w:rPr>
          <w:sz w:val="22"/>
        </w:rPr>
        <w:t>Amcat</w:t>
      </w:r>
      <w:proofErr w:type="spellEnd"/>
      <w:r w:rsidRPr="006430F4">
        <w:rPr>
          <w:sz w:val="22"/>
        </w:rPr>
        <w:t xml:space="preserve"> Limited, an external organisation, using </w:t>
      </w:r>
      <w:r w:rsidRPr="006430F4">
        <w:rPr>
          <w:sz w:val="22"/>
        </w:rPr>
        <w:lastRenderedPageBreak/>
        <w:t>surveyors qualified by the Royal Institution of Chartered Surveyors, carried out revaluations on the identified properties.</w:t>
      </w:r>
      <w:proofErr w:type="gramEnd"/>
      <w:r w:rsidRPr="006430F4">
        <w:rPr>
          <w:sz w:val="22"/>
        </w:rPr>
        <w:t xml:space="preserve"> All valuations are on the basis of depreciated replacement cost, with the exception of one property used as offices, valued at Existing Use Value</w:t>
      </w:r>
      <w:r>
        <w:rPr>
          <w:sz w:val="22"/>
        </w:rPr>
        <w:t>.</w:t>
      </w:r>
      <w:r w:rsidRPr="006430F4">
        <w:rPr>
          <w:sz w:val="22"/>
        </w:rPr>
        <w:t xml:space="preserve"> </w:t>
      </w:r>
    </w:p>
    <w:p w:rsidR="00FB3503" w:rsidRPr="006430F4" w:rsidRDefault="00FB3503" w:rsidP="00FB3503">
      <w:pPr>
        <w:pStyle w:val="BodyTextIndent3"/>
        <w:spacing w:after="0"/>
        <w:ind w:left="2160"/>
        <w:jc w:val="both"/>
        <w:rPr>
          <w:sz w:val="22"/>
        </w:rPr>
      </w:pPr>
    </w:p>
    <w:p w:rsidR="00FB3503" w:rsidRPr="006430F4" w:rsidRDefault="00FB3503" w:rsidP="00FB3503">
      <w:pPr>
        <w:pStyle w:val="BodyTextIndent3"/>
        <w:spacing w:after="0"/>
        <w:ind w:left="2160"/>
        <w:jc w:val="both"/>
        <w:rPr>
          <w:sz w:val="22"/>
        </w:rPr>
      </w:pPr>
      <w:r w:rsidRPr="006430F4">
        <w:rPr>
          <w:sz w:val="22"/>
        </w:rPr>
        <w:t xml:space="preserve">All other </w:t>
      </w:r>
      <w:proofErr w:type="spellStart"/>
      <w:r w:rsidRPr="006430F4">
        <w:rPr>
          <w:sz w:val="22"/>
        </w:rPr>
        <w:t>Non current</w:t>
      </w:r>
      <w:proofErr w:type="spellEnd"/>
      <w:r w:rsidRPr="006430F4">
        <w:rPr>
          <w:sz w:val="22"/>
        </w:rPr>
        <w:t xml:space="preserve"> assets are valued at historic cost.</w:t>
      </w:r>
    </w:p>
    <w:p w:rsidR="00FB3503" w:rsidRPr="006430F4" w:rsidRDefault="00FB3503" w:rsidP="00FB3503">
      <w:pPr>
        <w:pStyle w:val="BodyTextIndent3"/>
        <w:spacing w:after="0"/>
        <w:ind w:left="720"/>
        <w:jc w:val="both"/>
        <w:rPr>
          <w:sz w:val="22"/>
        </w:rPr>
      </w:pPr>
    </w:p>
    <w:p w:rsidR="00FB3503" w:rsidRPr="006430F4" w:rsidRDefault="00FB3503" w:rsidP="00FB3503">
      <w:pPr>
        <w:pStyle w:val="BodyTextIndent3"/>
        <w:spacing w:after="0"/>
        <w:ind w:left="2160"/>
        <w:jc w:val="both"/>
        <w:rPr>
          <w:sz w:val="22"/>
        </w:rPr>
      </w:pPr>
      <w:r w:rsidRPr="006430F4">
        <w:rPr>
          <w:sz w:val="22"/>
        </w:rPr>
        <w:t>The Revaluation Reserve contains revaluation gains recognised since 1 April 2007, the date of its formal implementation. The Revaluation Reserve was created with effect from 31 March 2007 with a zero opening balance.  Gains arising before 1 April 2007 have been consolidated into the Capital Adjustment Account.</w:t>
      </w:r>
    </w:p>
    <w:p w:rsidR="00FB3503" w:rsidRPr="006430F4" w:rsidRDefault="00FB3503" w:rsidP="00FB3503">
      <w:pPr>
        <w:pStyle w:val="BodyTextIndent3"/>
        <w:spacing w:after="0"/>
        <w:ind w:left="2160"/>
        <w:jc w:val="both"/>
        <w:rPr>
          <w:sz w:val="22"/>
        </w:rPr>
      </w:pPr>
    </w:p>
    <w:p w:rsidR="00FB3503" w:rsidRPr="006430F4" w:rsidRDefault="00FB3503" w:rsidP="00FB3503">
      <w:pPr>
        <w:pStyle w:val="BodyTextIndent3"/>
        <w:spacing w:after="0"/>
        <w:jc w:val="both"/>
        <w:rPr>
          <w:sz w:val="22"/>
        </w:rPr>
      </w:pPr>
      <w:r w:rsidRPr="006430F4">
        <w:rPr>
          <w:sz w:val="22"/>
        </w:rPr>
        <w:t>iii)</w:t>
      </w:r>
      <w:r w:rsidRPr="006430F4">
        <w:rPr>
          <w:sz w:val="22"/>
        </w:rPr>
        <w:tab/>
      </w:r>
      <w:r w:rsidRPr="006430F4">
        <w:rPr>
          <w:sz w:val="22"/>
          <w:u w:val="single"/>
        </w:rPr>
        <w:t>Impairment</w:t>
      </w:r>
    </w:p>
    <w:p w:rsidR="00FB3503" w:rsidRPr="006430F4" w:rsidRDefault="00FB3503" w:rsidP="00FB3503">
      <w:pPr>
        <w:pStyle w:val="BodyTextIndent3"/>
        <w:spacing w:after="0"/>
        <w:ind w:left="720"/>
        <w:jc w:val="both"/>
        <w:rPr>
          <w:sz w:val="22"/>
        </w:rPr>
      </w:pPr>
    </w:p>
    <w:p w:rsidR="00FB3503" w:rsidRPr="006430F4" w:rsidRDefault="00FB3503" w:rsidP="00FB3503">
      <w:pPr>
        <w:pStyle w:val="BodyTextIndent3"/>
        <w:spacing w:after="0"/>
        <w:ind w:left="2160"/>
        <w:jc w:val="both"/>
        <w:rPr>
          <w:sz w:val="22"/>
        </w:rPr>
      </w:pPr>
      <w:r w:rsidRPr="006430F4">
        <w:rPr>
          <w:sz w:val="22"/>
        </w:rPr>
        <w:t xml:space="preserve">The Combined Fire Authority's </w:t>
      </w:r>
      <w:proofErr w:type="spellStart"/>
      <w:r w:rsidRPr="006430F4">
        <w:rPr>
          <w:sz w:val="22"/>
        </w:rPr>
        <w:t>non current</w:t>
      </w:r>
      <w:proofErr w:type="spellEnd"/>
      <w:r w:rsidRPr="006430F4">
        <w:rPr>
          <w:sz w:val="22"/>
        </w:rPr>
        <w:t xml:space="preserve"> assets are considered for impairment at the end of each year by appropriately qualified Property Consultants.</w:t>
      </w:r>
    </w:p>
    <w:p w:rsidR="00FB3503" w:rsidRPr="006430F4" w:rsidRDefault="00FB3503" w:rsidP="00FB3503">
      <w:pPr>
        <w:pStyle w:val="BodyTextIndent3"/>
        <w:spacing w:after="0"/>
        <w:ind w:left="2160"/>
        <w:jc w:val="both"/>
        <w:rPr>
          <w:sz w:val="22"/>
        </w:rPr>
      </w:pPr>
    </w:p>
    <w:p w:rsidR="00FB3503" w:rsidRPr="006430F4" w:rsidRDefault="00FB3503" w:rsidP="00882E25">
      <w:pPr>
        <w:numPr>
          <w:ilvl w:val="0"/>
          <w:numId w:val="22"/>
        </w:numPr>
        <w:jc w:val="both"/>
        <w:rPr>
          <w:sz w:val="22"/>
          <w:u w:val="single"/>
        </w:rPr>
      </w:pPr>
      <w:r w:rsidRPr="006430F4">
        <w:rPr>
          <w:sz w:val="22"/>
          <w:u w:val="single"/>
        </w:rPr>
        <w:t>Disposals</w:t>
      </w:r>
    </w:p>
    <w:p w:rsidR="00FB3503" w:rsidRPr="006430F4" w:rsidRDefault="00FB3503" w:rsidP="00FB3503">
      <w:pPr>
        <w:ind w:left="720"/>
        <w:jc w:val="both"/>
        <w:rPr>
          <w:sz w:val="22"/>
          <w:u w:val="single"/>
        </w:rPr>
      </w:pPr>
    </w:p>
    <w:p w:rsidR="00FB3503" w:rsidRPr="006430F4" w:rsidRDefault="00FB3503" w:rsidP="00FB3503">
      <w:pPr>
        <w:pStyle w:val="BodyTextIndent3"/>
        <w:spacing w:after="0"/>
        <w:ind w:left="2160"/>
        <w:jc w:val="both"/>
        <w:rPr>
          <w:sz w:val="22"/>
        </w:rPr>
      </w:pPr>
      <w:r w:rsidRPr="006430F4">
        <w:rPr>
          <w:sz w:val="22"/>
        </w:rPr>
        <w:t>When an asset is disposed of the value of asset in the balance sheet is written off to the income and expenditure account as part of the gain or loss on disposal.  Receipts from disposals are also credited to this, resulting in the netting off of receipts against the carrying value of the asset.</w:t>
      </w:r>
    </w:p>
    <w:p w:rsidR="00FB3503" w:rsidRPr="006430F4" w:rsidRDefault="00FB3503" w:rsidP="00FB3503">
      <w:pPr>
        <w:pStyle w:val="BodyTextIndent3"/>
        <w:spacing w:after="0"/>
        <w:ind w:left="2160"/>
        <w:jc w:val="both"/>
        <w:rPr>
          <w:sz w:val="22"/>
        </w:rPr>
      </w:pPr>
    </w:p>
    <w:p w:rsidR="00FB3503" w:rsidRPr="006430F4" w:rsidRDefault="00FB3503" w:rsidP="00882E25">
      <w:pPr>
        <w:numPr>
          <w:ilvl w:val="0"/>
          <w:numId w:val="22"/>
        </w:numPr>
        <w:jc w:val="both"/>
        <w:rPr>
          <w:sz w:val="22"/>
          <w:u w:val="single"/>
        </w:rPr>
      </w:pPr>
      <w:r w:rsidRPr="006430F4">
        <w:rPr>
          <w:sz w:val="22"/>
          <w:u w:val="single"/>
        </w:rPr>
        <w:t>Depreciation</w:t>
      </w:r>
    </w:p>
    <w:p w:rsidR="00FB3503" w:rsidRPr="006430F4" w:rsidRDefault="00FB3503" w:rsidP="00FB3503">
      <w:pPr>
        <w:ind w:left="720"/>
        <w:jc w:val="both"/>
        <w:rPr>
          <w:sz w:val="22"/>
          <w:u w:val="single"/>
        </w:rPr>
      </w:pPr>
    </w:p>
    <w:p w:rsidR="00FB3503" w:rsidRPr="006430F4" w:rsidRDefault="00FB3503" w:rsidP="00FB3503">
      <w:pPr>
        <w:pStyle w:val="BodyTextIndent3"/>
        <w:spacing w:after="0"/>
        <w:ind w:left="2160"/>
        <w:jc w:val="both"/>
        <w:rPr>
          <w:sz w:val="22"/>
        </w:rPr>
      </w:pPr>
      <w:r w:rsidRPr="006430F4">
        <w:rPr>
          <w:sz w:val="22"/>
        </w:rPr>
        <w:t>Depreciation is charged on those assets which have a finite useful life, in the year after acquisition:</w:t>
      </w:r>
    </w:p>
    <w:p w:rsidR="00FB3503" w:rsidRPr="006430F4" w:rsidRDefault="00FB3503" w:rsidP="00FB3503">
      <w:pPr>
        <w:pStyle w:val="BodyTextIndent3"/>
        <w:spacing w:after="0"/>
        <w:jc w:val="both"/>
        <w:rPr>
          <w:sz w:val="22"/>
        </w:rPr>
      </w:pPr>
    </w:p>
    <w:p w:rsidR="00FB3503" w:rsidRPr="006430F4" w:rsidRDefault="00FB3503" w:rsidP="00882E25">
      <w:pPr>
        <w:pStyle w:val="BodyTextIndent3"/>
        <w:numPr>
          <w:ilvl w:val="0"/>
          <w:numId w:val="9"/>
        </w:numPr>
        <w:tabs>
          <w:tab w:val="clear" w:pos="1800"/>
          <w:tab w:val="num" w:pos="2847"/>
        </w:tabs>
        <w:spacing w:after="0"/>
        <w:ind w:left="2847" w:hanging="709"/>
        <w:jc w:val="both"/>
        <w:rPr>
          <w:sz w:val="22"/>
        </w:rPr>
      </w:pPr>
      <w:r w:rsidRPr="006430F4">
        <w:rPr>
          <w:sz w:val="22"/>
        </w:rPr>
        <w:t>Intangible assets are assessed over their estimated useful life, 5 years.</w:t>
      </w:r>
    </w:p>
    <w:p w:rsidR="00FB3503" w:rsidRPr="006430F4" w:rsidRDefault="00FB3503" w:rsidP="00882E25">
      <w:pPr>
        <w:pStyle w:val="BodyTextIndent3"/>
        <w:numPr>
          <w:ilvl w:val="0"/>
          <w:numId w:val="7"/>
        </w:numPr>
        <w:tabs>
          <w:tab w:val="clear" w:pos="720"/>
          <w:tab w:val="num" w:pos="2880"/>
        </w:tabs>
        <w:spacing w:after="0"/>
        <w:ind w:left="2880"/>
        <w:jc w:val="both"/>
        <w:rPr>
          <w:sz w:val="22"/>
        </w:rPr>
      </w:pPr>
      <w:r w:rsidRPr="006430F4">
        <w:rPr>
          <w:sz w:val="22"/>
        </w:rPr>
        <w:t>Land is assessed as having an infinite life, and therefore is not depreciated.</w:t>
      </w:r>
    </w:p>
    <w:p w:rsidR="00FB3503" w:rsidRPr="006430F4" w:rsidRDefault="00FB3503" w:rsidP="00882E25">
      <w:pPr>
        <w:pStyle w:val="BodyTextIndent3"/>
        <w:numPr>
          <w:ilvl w:val="0"/>
          <w:numId w:val="7"/>
        </w:numPr>
        <w:tabs>
          <w:tab w:val="clear" w:pos="720"/>
          <w:tab w:val="num" w:pos="2880"/>
        </w:tabs>
        <w:spacing w:after="0"/>
        <w:ind w:left="2880"/>
        <w:jc w:val="both"/>
        <w:rPr>
          <w:sz w:val="22"/>
        </w:rPr>
      </w:pPr>
      <w:r w:rsidRPr="006430F4">
        <w:rPr>
          <w:sz w:val="22"/>
        </w:rPr>
        <w:t>Building assets are assessed for an appropriate property life by property professionals, in 10-year bands up to a maximum of 50 years.</w:t>
      </w:r>
    </w:p>
    <w:p w:rsidR="00FB3503" w:rsidRPr="006430F4" w:rsidRDefault="00FB3503" w:rsidP="00882E25">
      <w:pPr>
        <w:pStyle w:val="BodyTextIndent3"/>
        <w:numPr>
          <w:ilvl w:val="0"/>
          <w:numId w:val="8"/>
        </w:numPr>
        <w:tabs>
          <w:tab w:val="clear" w:pos="720"/>
          <w:tab w:val="num" w:pos="2880"/>
        </w:tabs>
        <w:spacing w:after="0"/>
        <w:ind w:left="2880"/>
        <w:jc w:val="both"/>
        <w:rPr>
          <w:sz w:val="22"/>
        </w:rPr>
      </w:pPr>
      <w:r w:rsidRPr="006430F4">
        <w:rPr>
          <w:sz w:val="22"/>
        </w:rPr>
        <w:t>Equipment is depreciated over their estimated useful life, ranging from 5 to 20 years.</w:t>
      </w:r>
    </w:p>
    <w:p w:rsidR="00FB3503" w:rsidRPr="006430F4" w:rsidRDefault="00FB3503" w:rsidP="00882E25">
      <w:pPr>
        <w:pStyle w:val="BodyTextIndent3"/>
        <w:numPr>
          <w:ilvl w:val="0"/>
          <w:numId w:val="8"/>
        </w:numPr>
        <w:tabs>
          <w:tab w:val="clear" w:pos="720"/>
          <w:tab w:val="num" w:pos="2880"/>
        </w:tabs>
        <w:spacing w:after="0"/>
        <w:ind w:left="2880"/>
        <w:jc w:val="both"/>
        <w:rPr>
          <w:sz w:val="22"/>
        </w:rPr>
      </w:pPr>
      <w:r w:rsidRPr="006430F4">
        <w:rPr>
          <w:sz w:val="22"/>
        </w:rPr>
        <w:t xml:space="preserve">Vehicles are depreciated over their estimated useful life, ranging from 5 to 15 years.  </w:t>
      </w:r>
    </w:p>
    <w:p w:rsidR="00FB3503" w:rsidRPr="006430F4" w:rsidRDefault="00FB3503" w:rsidP="00FB3503">
      <w:pPr>
        <w:pStyle w:val="BodyTextIndent3"/>
        <w:spacing w:after="0"/>
        <w:ind w:left="720"/>
        <w:jc w:val="both"/>
        <w:rPr>
          <w:sz w:val="22"/>
        </w:rPr>
      </w:pPr>
    </w:p>
    <w:p w:rsidR="00FB3503" w:rsidRPr="006430F4" w:rsidRDefault="00FB3503" w:rsidP="00FB3503">
      <w:pPr>
        <w:pStyle w:val="BodyTextIndent3"/>
        <w:spacing w:after="0"/>
        <w:ind w:left="2880"/>
        <w:jc w:val="both"/>
        <w:rPr>
          <w:sz w:val="22"/>
        </w:rPr>
      </w:pPr>
      <w:r w:rsidRPr="006430F4">
        <w:rPr>
          <w:sz w:val="22"/>
        </w:rPr>
        <w:t xml:space="preserve">The charges are based on the opening net book value of assets at the start of the financial year and the estimated useful life of the asset, and are calculated in such a way as to give an equal charge to the revenue account in each of the years the asset is used. </w:t>
      </w:r>
    </w:p>
    <w:p w:rsidR="00FB3503" w:rsidRPr="006430F4" w:rsidRDefault="00FB3503" w:rsidP="00FB3503">
      <w:pPr>
        <w:pStyle w:val="BodyTextIndent3"/>
        <w:spacing w:after="0"/>
        <w:ind w:left="2880"/>
        <w:jc w:val="both"/>
        <w:rPr>
          <w:sz w:val="22"/>
        </w:rPr>
      </w:pPr>
    </w:p>
    <w:p w:rsidR="00FB3503" w:rsidRPr="006430F4" w:rsidRDefault="00FB3503" w:rsidP="00FB3503">
      <w:pPr>
        <w:pStyle w:val="BodyTextIndent3"/>
        <w:spacing w:after="0"/>
        <w:jc w:val="both"/>
        <w:rPr>
          <w:sz w:val="22"/>
        </w:rPr>
      </w:pPr>
      <w:proofErr w:type="gramStart"/>
      <w:r w:rsidRPr="006430F4">
        <w:rPr>
          <w:sz w:val="22"/>
        </w:rPr>
        <w:t>vi)</w:t>
      </w:r>
      <w:r w:rsidRPr="006430F4">
        <w:rPr>
          <w:sz w:val="22"/>
        </w:rPr>
        <w:tab/>
      </w:r>
      <w:r w:rsidRPr="006430F4">
        <w:rPr>
          <w:sz w:val="22"/>
          <w:u w:val="single"/>
        </w:rPr>
        <w:t>Componentisation</w:t>
      </w:r>
      <w:proofErr w:type="gramEnd"/>
    </w:p>
    <w:p w:rsidR="00FB3503" w:rsidRPr="006430F4" w:rsidRDefault="00FB3503" w:rsidP="00FB3503">
      <w:pPr>
        <w:pStyle w:val="BodyTextIndent3"/>
        <w:spacing w:after="0"/>
        <w:jc w:val="both"/>
        <w:rPr>
          <w:sz w:val="22"/>
          <w:u w:val="single"/>
        </w:rPr>
      </w:pPr>
    </w:p>
    <w:p w:rsidR="00FB3503" w:rsidRPr="006430F4" w:rsidRDefault="00FB3503" w:rsidP="00FB3503">
      <w:pPr>
        <w:pStyle w:val="BodyTextIndent3"/>
        <w:spacing w:after="0"/>
        <w:ind w:left="2160"/>
        <w:jc w:val="both"/>
        <w:rPr>
          <w:sz w:val="22"/>
        </w:rPr>
      </w:pPr>
      <w:r w:rsidRPr="006430F4">
        <w:rPr>
          <w:sz w:val="22"/>
        </w:rPr>
        <w:t>From 1 April 2010, the Authority is required to separately recognise, depreciate and de-recognise significant components of assets, where the significant component has a different useful life to the remainder of the asset.  Assets with a carrying value of less than £500,000 will not be subject to componentisation rules, and a significant component is one of over 25% of the asset carrying value.  Components will only be recognised on assets valued after 1 April 2010.</w:t>
      </w:r>
    </w:p>
    <w:p w:rsidR="00FB3503" w:rsidRPr="006430F4" w:rsidRDefault="00FB3503" w:rsidP="00FB3503">
      <w:pPr>
        <w:pStyle w:val="BodyTextIndent3"/>
        <w:spacing w:after="0"/>
        <w:ind w:left="2160"/>
        <w:jc w:val="both"/>
        <w:rPr>
          <w:sz w:val="22"/>
        </w:rPr>
      </w:pPr>
    </w:p>
    <w:p w:rsidR="00FB3503" w:rsidRPr="006430F4" w:rsidRDefault="00FB3503" w:rsidP="00FB3503">
      <w:pPr>
        <w:pStyle w:val="BodyTextIndent3"/>
        <w:spacing w:after="0"/>
        <w:jc w:val="both"/>
        <w:rPr>
          <w:sz w:val="22"/>
        </w:rPr>
      </w:pPr>
      <w:r w:rsidRPr="006430F4">
        <w:rPr>
          <w:sz w:val="22"/>
        </w:rPr>
        <w:t>vii)</w:t>
      </w:r>
      <w:r w:rsidRPr="006430F4">
        <w:rPr>
          <w:sz w:val="22"/>
        </w:rPr>
        <w:tab/>
      </w:r>
      <w:proofErr w:type="spellStart"/>
      <w:r w:rsidRPr="006430F4">
        <w:rPr>
          <w:sz w:val="22"/>
          <w:u w:val="single"/>
        </w:rPr>
        <w:t>Derecognition</w:t>
      </w:r>
      <w:proofErr w:type="spellEnd"/>
    </w:p>
    <w:p w:rsidR="00FB3503" w:rsidRPr="006430F4" w:rsidRDefault="00FB3503" w:rsidP="00FB3503">
      <w:pPr>
        <w:pStyle w:val="BodyTextIndent3"/>
        <w:spacing w:after="0"/>
        <w:jc w:val="both"/>
        <w:rPr>
          <w:sz w:val="22"/>
        </w:rPr>
      </w:pPr>
    </w:p>
    <w:p w:rsidR="00FB3503" w:rsidRPr="006430F4" w:rsidRDefault="00FB3503" w:rsidP="00FB3503">
      <w:pPr>
        <w:pStyle w:val="BodyTextIndent3"/>
        <w:spacing w:after="0"/>
        <w:ind w:left="2160"/>
        <w:jc w:val="both"/>
        <w:rPr>
          <w:sz w:val="22"/>
        </w:rPr>
      </w:pPr>
      <w:r w:rsidRPr="006430F4">
        <w:rPr>
          <w:sz w:val="22"/>
        </w:rPr>
        <w:t xml:space="preserve">Assets will be derecognised when no further economic benefits are expected from the asset’s use or disposal – </w:t>
      </w:r>
      <w:proofErr w:type="spellStart"/>
      <w:r w:rsidRPr="006430F4">
        <w:rPr>
          <w:sz w:val="22"/>
        </w:rPr>
        <w:t>ie</w:t>
      </w:r>
      <w:proofErr w:type="spellEnd"/>
      <w:r w:rsidRPr="006430F4">
        <w:rPr>
          <w:sz w:val="22"/>
        </w:rPr>
        <w:t xml:space="preserve"> when the economic benefits inherent in the asset have been used up. </w:t>
      </w:r>
    </w:p>
    <w:p w:rsidR="00FB3503" w:rsidRPr="006430F4" w:rsidRDefault="00FB3503" w:rsidP="00FB3503">
      <w:pPr>
        <w:pStyle w:val="BodyTextIndent3"/>
        <w:spacing w:after="0"/>
        <w:ind w:left="2160"/>
        <w:jc w:val="both"/>
        <w:rPr>
          <w:sz w:val="22"/>
        </w:rPr>
      </w:pPr>
    </w:p>
    <w:p w:rsidR="00FB3503" w:rsidRPr="006430F4" w:rsidRDefault="00FB3503" w:rsidP="00FB3503">
      <w:pPr>
        <w:pStyle w:val="BodyTextIndent3"/>
        <w:spacing w:after="0"/>
        <w:ind w:left="2160" w:hanging="742"/>
        <w:jc w:val="both"/>
        <w:rPr>
          <w:sz w:val="22"/>
          <w:u w:val="single"/>
        </w:rPr>
      </w:pPr>
      <w:r w:rsidRPr="006430F4">
        <w:rPr>
          <w:sz w:val="22"/>
        </w:rPr>
        <w:t>viii)</w:t>
      </w:r>
      <w:r w:rsidRPr="006430F4">
        <w:rPr>
          <w:sz w:val="22"/>
        </w:rPr>
        <w:tab/>
      </w:r>
      <w:proofErr w:type="spellStart"/>
      <w:r w:rsidRPr="006430F4">
        <w:rPr>
          <w:sz w:val="22"/>
          <w:u w:val="single"/>
        </w:rPr>
        <w:t>Non Current</w:t>
      </w:r>
      <w:proofErr w:type="spellEnd"/>
      <w:r w:rsidRPr="006430F4">
        <w:rPr>
          <w:sz w:val="22"/>
          <w:u w:val="single"/>
        </w:rPr>
        <w:t xml:space="preserve"> Assets Held for Sale</w:t>
      </w:r>
    </w:p>
    <w:p w:rsidR="00FB3503" w:rsidRPr="006430F4" w:rsidRDefault="00FB3503" w:rsidP="00FB3503">
      <w:pPr>
        <w:pStyle w:val="BodyTextIndent3"/>
        <w:spacing w:after="0"/>
        <w:ind w:left="2160" w:hanging="742"/>
        <w:jc w:val="both"/>
        <w:rPr>
          <w:sz w:val="22"/>
        </w:rPr>
      </w:pPr>
    </w:p>
    <w:p w:rsidR="00FB3503" w:rsidRPr="006430F4" w:rsidRDefault="00FB3503" w:rsidP="00FB3503">
      <w:pPr>
        <w:pStyle w:val="BodyTextIndent3"/>
        <w:spacing w:after="0"/>
        <w:ind w:left="2160" w:hanging="33"/>
        <w:jc w:val="both"/>
        <w:rPr>
          <w:sz w:val="22"/>
        </w:rPr>
      </w:pPr>
      <w:r w:rsidRPr="006430F4">
        <w:rPr>
          <w:sz w:val="22"/>
        </w:rPr>
        <w:t>When it becomes probable that the carrying value of an asset will be recovered principally from the sale of the asset rather than its continuing use, it is reclassified as an Asset Held for Sale.  Depreciation is not charged on Assets Held for Sale.</w:t>
      </w:r>
    </w:p>
    <w:p w:rsidR="00FB3503" w:rsidRPr="006430F4" w:rsidRDefault="00FB3503" w:rsidP="00FB3503">
      <w:pPr>
        <w:pStyle w:val="BodyTextIndent3"/>
        <w:spacing w:after="0"/>
        <w:ind w:left="720"/>
        <w:jc w:val="both"/>
        <w:rPr>
          <w:sz w:val="22"/>
        </w:rPr>
      </w:pPr>
    </w:p>
    <w:p w:rsidR="00FB3503" w:rsidRPr="006430F4" w:rsidRDefault="00FB3503" w:rsidP="00FB3503">
      <w:pPr>
        <w:ind w:left="720"/>
        <w:jc w:val="both"/>
        <w:rPr>
          <w:sz w:val="22"/>
        </w:rPr>
      </w:pPr>
      <w:proofErr w:type="gramStart"/>
      <w:r>
        <w:rPr>
          <w:b/>
          <w:sz w:val="22"/>
        </w:rPr>
        <w:t>j</w:t>
      </w:r>
      <w:proofErr w:type="gramEnd"/>
      <w:r>
        <w:rPr>
          <w:b/>
          <w:sz w:val="22"/>
        </w:rPr>
        <w:tab/>
      </w:r>
      <w:r w:rsidRPr="006430F4">
        <w:rPr>
          <w:b/>
          <w:sz w:val="22"/>
        </w:rPr>
        <w:t>Private Finance Initiative (PFI) and similar contracts</w:t>
      </w:r>
    </w:p>
    <w:p w:rsidR="00FB3503" w:rsidRPr="006430F4" w:rsidRDefault="00FB3503" w:rsidP="00FB3503">
      <w:pPr>
        <w:pStyle w:val="BodyTextIndent"/>
        <w:ind w:left="1440"/>
        <w:jc w:val="both"/>
        <w:rPr>
          <w:sz w:val="22"/>
          <w:u w:val="single"/>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t>Current status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The Authority has two existing PFI arrangements:</w:t>
      </w:r>
    </w:p>
    <w:p w:rsidR="00FB3503" w:rsidRPr="006430F4" w:rsidRDefault="00FB3503" w:rsidP="00882E25">
      <w:pPr>
        <w:pStyle w:val="BodyTextIndent"/>
        <w:numPr>
          <w:ilvl w:val="0"/>
          <w:numId w:val="23"/>
        </w:numPr>
        <w:jc w:val="both"/>
        <w:rPr>
          <w:sz w:val="22"/>
          <w:lang w:val="en-GB"/>
        </w:rPr>
      </w:pPr>
      <w:r w:rsidRPr="006430F4">
        <w:rPr>
          <w:sz w:val="22"/>
          <w:lang w:val="en-GB"/>
        </w:rPr>
        <w:t xml:space="preserve">With PFF Lancashire for Hyndburn and Morecambe fire stations, which is a continuing commitment for 30 years from May 2003; and </w:t>
      </w:r>
    </w:p>
    <w:p w:rsidR="00FB3503" w:rsidRPr="006430F4" w:rsidRDefault="00FB3503" w:rsidP="00882E25">
      <w:pPr>
        <w:pStyle w:val="BodyTextIndent"/>
        <w:numPr>
          <w:ilvl w:val="0"/>
          <w:numId w:val="23"/>
        </w:numPr>
        <w:jc w:val="both"/>
        <w:rPr>
          <w:sz w:val="22"/>
          <w:lang w:val="en-GB"/>
        </w:rPr>
      </w:pPr>
      <w:r w:rsidRPr="006430F4">
        <w:rPr>
          <w:sz w:val="22"/>
          <w:lang w:val="en-GB"/>
        </w:rPr>
        <w:t xml:space="preserve">With Balfour Beatty Fire and Rescue NW Limited to replace four fire stations in Lancashire as part of a wider scheme to replace 16 in total in conjunction with Merseyside Fire and Rescue Authority and Cumbria County Council.  The contract will run for 25 years from the date of the final station being handed over during 2013/14.  </w:t>
      </w:r>
    </w:p>
    <w:p w:rsidR="00FB3503" w:rsidRPr="006430F4" w:rsidRDefault="00FB3503" w:rsidP="00FB3503">
      <w:pPr>
        <w:pStyle w:val="BodyTextIndent"/>
        <w:ind w:left="1136"/>
        <w:jc w:val="both"/>
        <w:rPr>
          <w:sz w:val="22"/>
          <w:lang w:val="en-GB"/>
        </w:rPr>
      </w:pPr>
    </w:p>
    <w:p w:rsidR="00FB3503" w:rsidRPr="006430F4" w:rsidRDefault="00FB3503" w:rsidP="00FB3503">
      <w:pPr>
        <w:pStyle w:val="BodyTextIndent"/>
        <w:ind w:left="1496"/>
        <w:jc w:val="both"/>
        <w:rPr>
          <w:sz w:val="22"/>
          <w:lang w:val="en-GB"/>
        </w:rPr>
      </w:pPr>
      <w:r w:rsidRPr="006430F4">
        <w:rPr>
          <w:sz w:val="22"/>
          <w:lang w:val="en-GB"/>
        </w:rPr>
        <w:t>Revenue transactions relating to the above schemes are explained in Note 1</w:t>
      </w:r>
      <w:r>
        <w:rPr>
          <w:sz w:val="22"/>
          <w:lang w:val="en-GB"/>
        </w:rPr>
        <w:t>4</w:t>
      </w:r>
      <w:r w:rsidRPr="006430F4">
        <w:rPr>
          <w:sz w:val="22"/>
          <w:lang w:val="en-GB"/>
        </w:rPr>
        <w:t xml:space="preserve">.  </w:t>
      </w:r>
    </w:p>
    <w:p w:rsidR="00FB3503" w:rsidRPr="006430F4" w:rsidRDefault="00FB3503" w:rsidP="00FB3503">
      <w:pPr>
        <w:pStyle w:val="BodyTextIndent"/>
        <w:ind w:left="1496"/>
        <w:jc w:val="both"/>
        <w:rPr>
          <w:sz w:val="22"/>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t>Accounting for PFI</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PFI contracts are agreements to receive services, where responsibility for making available the </w:t>
      </w:r>
      <w:proofErr w:type="spellStart"/>
      <w:r w:rsidRPr="006430F4">
        <w:rPr>
          <w:sz w:val="22"/>
          <w:lang w:val="en-GB"/>
        </w:rPr>
        <w:t>non current</w:t>
      </w:r>
      <w:proofErr w:type="spellEnd"/>
      <w:r w:rsidRPr="006430F4">
        <w:rPr>
          <w:sz w:val="22"/>
          <w:lang w:val="en-GB"/>
        </w:rPr>
        <w:t xml:space="preserve"> assets to provide services passes to the PFI contractor.  The PFI scheme is accounted for on a consistent basis to IFRIC 12.</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t>Recognition of assets and liabilities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Fire stations provided under PFI contracts are recognised as </w:t>
      </w:r>
      <w:proofErr w:type="spellStart"/>
      <w:r w:rsidRPr="006430F4">
        <w:rPr>
          <w:sz w:val="22"/>
          <w:lang w:val="en-GB"/>
        </w:rPr>
        <w:t>non current</w:t>
      </w:r>
      <w:proofErr w:type="spellEnd"/>
      <w:r w:rsidRPr="006430F4">
        <w:rPr>
          <w:sz w:val="22"/>
          <w:lang w:val="en-GB"/>
        </w:rPr>
        <w:t xml:space="preserve"> assets of the Authority.  A related liability is also recognised.  The asset and liability are recognised when the asset is made available for use.  The related liability is initially measured at the value of the related asset and subsequently calculated using the same actuarial method used for finance leases.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Once on the balance sheet the PFI assets will be treated in the same way as all other </w:t>
      </w:r>
      <w:proofErr w:type="spellStart"/>
      <w:r w:rsidRPr="006430F4">
        <w:rPr>
          <w:sz w:val="22"/>
          <w:lang w:val="en-GB"/>
        </w:rPr>
        <w:t>non current</w:t>
      </w:r>
      <w:proofErr w:type="spellEnd"/>
      <w:r w:rsidRPr="006430F4">
        <w:rPr>
          <w:sz w:val="22"/>
          <w:lang w:val="en-GB"/>
        </w:rPr>
        <w:t xml:space="preserve"> assets of the same type including depreciation, impairment and revaluation.</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t>Minimum Revenue Provision (MRP)</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Assets acquired under a PFI that are recognised on the balance sheet are subject to MRP in the same way as assets acquired using other forms of borrowing.  The amounts of MRP are calculated in accordance with the appropriate regulations and statutory guidance.  MRP is equal to that element of the unitary charge which is applied to repay the outstanding liability.</w:t>
      </w:r>
    </w:p>
    <w:p w:rsidR="00FB3503" w:rsidRPr="006430F4" w:rsidRDefault="00FB3503" w:rsidP="00FB3503">
      <w:pPr>
        <w:pStyle w:val="BodyTextIndent"/>
        <w:ind w:left="1440"/>
        <w:jc w:val="both"/>
        <w:rPr>
          <w:sz w:val="22"/>
          <w:u w:val="single"/>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t>Unitary Payment</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The unitary payment is a monthly charge payable to the PFI contractor in return for the services provided.  This payment is analysed into elements for the fair value of services, capital and revenue lifecycle (planned maintenance), contingent lease rentals, the repayment of the outstanding liability and interest payable on the outstanding liability.  The fair value of the services and the revenue lifecycle element are charged to the revenue account.  The capital lifecycle element is charged to the </w:t>
      </w:r>
      <w:proofErr w:type="spellStart"/>
      <w:r w:rsidRPr="006430F4">
        <w:rPr>
          <w:sz w:val="22"/>
          <w:lang w:val="en-GB"/>
        </w:rPr>
        <w:t>non current</w:t>
      </w:r>
      <w:proofErr w:type="spellEnd"/>
      <w:r w:rsidRPr="006430F4">
        <w:rPr>
          <w:sz w:val="22"/>
          <w:lang w:val="en-GB"/>
        </w:rPr>
        <w:t xml:space="preserve"> assets and funded by a revenue contribution.  The contingent lease rentals and interest payable are recorded in the “interest payable and similar charges” account outside the net cost of services but within net operating expenditure in the income and expenditure account.</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u w:val="single"/>
          <w:lang w:val="en-GB"/>
        </w:rPr>
      </w:pPr>
      <w:r w:rsidRPr="006430F4">
        <w:rPr>
          <w:sz w:val="22"/>
          <w:u w:val="single"/>
          <w:lang w:val="en-GB"/>
        </w:rPr>
        <w:lastRenderedPageBreak/>
        <w:t>Deductions from the Unitary Payment</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The PFI contracts provide for deductions from the unitary payment in the case of </w:t>
      </w:r>
      <w:proofErr w:type="spellStart"/>
      <w:r w:rsidRPr="006430F4">
        <w:rPr>
          <w:sz w:val="22"/>
          <w:lang w:val="en-GB"/>
        </w:rPr>
        <w:t>sub standard</w:t>
      </w:r>
      <w:proofErr w:type="spellEnd"/>
      <w:r w:rsidRPr="006430F4">
        <w:rPr>
          <w:sz w:val="22"/>
          <w:lang w:val="en-GB"/>
        </w:rPr>
        <w:t xml:space="preserve"> performance or when the facilities are unavailable.  Deductions for </w:t>
      </w:r>
      <w:proofErr w:type="spellStart"/>
      <w:r w:rsidRPr="006430F4">
        <w:rPr>
          <w:sz w:val="22"/>
          <w:lang w:val="en-GB"/>
        </w:rPr>
        <w:t>sub standard</w:t>
      </w:r>
      <w:proofErr w:type="spellEnd"/>
      <w:r w:rsidRPr="006430F4">
        <w:rPr>
          <w:sz w:val="22"/>
          <w:lang w:val="en-GB"/>
        </w:rPr>
        <w:t xml:space="preserve"> performance are accounted for as a reduction in the amount paid for the affected services.  Deductions arising from the unavailability of the property are apportioned pro rata to the proportions of the service and property elements of the unitary payment:</w:t>
      </w:r>
    </w:p>
    <w:p w:rsidR="00FB3503" w:rsidRPr="006430F4" w:rsidRDefault="00FB3503" w:rsidP="00882E25">
      <w:pPr>
        <w:pStyle w:val="BodyTextIndent"/>
        <w:numPr>
          <w:ilvl w:val="0"/>
          <w:numId w:val="9"/>
        </w:numPr>
        <w:tabs>
          <w:tab w:val="clear" w:pos="1800"/>
          <w:tab w:val="num" w:pos="2520"/>
        </w:tabs>
        <w:ind w:left="2520"/>
        <w:jc w:val="both"/>
        <w:rPr>
          <w:sz w:val="22"/>
          <w:lang w:val="en-GB"/>
        </w:rPr>
      </w:pPr>
      <w:r w:rsidRPr="006430F4">
        <w:rPr>
          <w:sz w:val="22"/>
          <w:lang w:val="en-GB"/>
        </w:rPr>
        <w:t xml:space="preserve">A reduction for part or all of the property being unavailable for use – this will first be accounted for as an abatement of the contingent lease rentals, then finance costs if contingent rents are insufficient; and </w:t>
      </w:r>
    </w:p>
    <w:p w:rsidR="00FB3503" w:rsidRPr="006430F4" w:rsidRDefault="00FB3503" w:rsidP="00882E25">
      <w:pPr>
        <w:pStyle w:val="BodyTextIndent"/>
        <w:numPr>
          <w:ilvl w:val="0"/>
          <w:numId w:val="9"/>
        </w:numPr>
        <w:tabs>
          <w:tab w:val="clear" w:pos="1800"/>
          <w:tab w:val="num" w:pos="2520"/>
        </w:tabs>
        <w:ind w:left="2520"/>
        <w:jc w:val="both"/>
        <w:rPr>
          <w:sz w:val="22"/>
          <w:lang w:val="en-GB"/>
        </w:rPr>
      </w:pPr>
      <w:r w:rsidRPr="006430F4">
        <w:rPr>
          <w:sz w:val="22"/>
          <w:lang w:val="en-GB"/>
        </w:rPr>
        <w:t>A reduction in the price paid for services whilst services are not being provided accounted for as a reduction in the amount paid for the affected services.</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Deductions of either type are accounted for when the Authority’s entitlement has been established and it is probable that the Authority will be able to make the deduction.</w:t>
      </w:r>
    </w:p>
    <w:p w:rsidR="00FB3503" w:rsidRPr="006430F4" w:rsidRDefault="00FB3503" w:rsidP="00FB3503">
      <w:pPr>
        <w:pStyle w:val="BodyTextIndent"/>
        <w:ind w:left="1440"/>
        <w:jc w:val="both"/>
        <w:rPr>
          <w:sz w:val="22"/>
          <w:lang w:val="en-GB"/>
        </w:rPr>
      </w:pPr>
    </w:p>
    <w:p w:rsidR="00FB3503" w:rsidRPr="006430F4" w:rsidRDefault="00FB3503" w:rsidP="00FB3503">
      <w:pPr>
        <w:ind w:firstLine="720"/>
        <w:rPr>
          <w:b/>
          <w:sz w:val="22"/>
        </w:rPr>
      </w:pPr>
      <w:proofErr w:type="gramStart"/>
      <w:r>
        <w:rPr>
          <w:b/>
          <w:sz w:val="22"/>
        </w:rPr>
        <w:t>k</w:t>
      </w:r>
      <w:proofErr w:type="gramEnd"/>
      <w:r w:rsidRPr="006430F4">
        <w:rPr>
          <w:b/>
          <w:sz w:val="22"/>
        </w:rPr>
        <w:tab/>
        <w:t>PFI Equalisation Reserve</w:t>
      </w:r>
    </w:p>
    <w:p w:rsidR="00FB3503" w:rsidRPr="006430F4" w:rsidRDefault="00FB3503" w:rsidP="00FB3503">
      <w:pPr>
        <w:ind w:left="720"/>
        <w:jc w:val="both"/>
        <w:rPr>
          <w:sz w:val="22"/>
        </w:rPr>
      </w:pPr>
    </w:p>
    <w:p w:rsidR="00FB3503" w:rsidRPr="006430F4" w:rsidRDefault="00FB3503" w:rsidP="00FB3503">
      <w:pPr>
        <w:pStyle w:val="BodyTextIndent"/>
        <w:ind w:left="1440"/>
        <w:jc w:val="both"/>
        <w:rPr>
          <w:sz w:val="22"/>
          <w:lang w:val="en-GB"/>
        </w:rPr>
      </w:pPr>
      <w:r w:rsidRPr="006430F4">
        <w:rPr>
          <w:sz w:val="22"/>
          <w:lang w:val="en-GB"/>
        </w:rPr>
        <w:t>The Authority holds two PFI equalisation reserves for the purpose of smoothing out, within the revenue account, the annual net cost to the Authority of payments under PFI contracts:</w:t>
      </w:r>
    </w:p>
    <w:p w:rsidR="00FB3503" w:rsidRPr="006430F4" w:rsidRDefault="00FB3503" w:rsidP="00FB3503">
      <w:pPr>
        <w:pStyle w:val="BodyTextIndent"/>
        <w:ind w:left="1440"/>
        <w:jc w:val="both"/>
        <w:rPr>
          <w:sz w:val="22"/>
          <w:lang w:val="en-GB"/>
        </w:rPr>
      </w:pPr>
    </w:p>
    <w:p w:rsidR="00FB3503" w:rsidRPr="006430F4" w:rsidRDefault="00FB3503" w:rsidP="00882E25">
      <w:pPr>
        <w:pStyle w:val="BodyTextIndent"/>
        <w:numPr>
          <w:ilvl w:val="0"/>
          <w:numId w:val="24"/>
        </w:numPr>
        <w:jc w:val="both"/>
        <w:rPr>
          <w:sz w:val="22"/>
          <w:lang w:val="en-GB"/>
        </w:rPr>
      </w:pPr>
      <w:r w:rsidRPr="006430F4">
        <w:rPr>
          <w:sz w:val="22"/>
          <w:lang w:val="en-GB"/>
        </w:rPr>
        <w:t xml:space="preserve">In </w:t>
      </w:r>
      <w:r w:rsidRPr="006430F4">
        <w:rPr>
          <w:caps/>
          <w:sz w:val="22"/>
        </w:rPr>
        <w:t xml:space="preserve">2003/04 </w:t>
      </w:r>
      <w:r w:rsidRPr="006430F4">
        <w:rPr>
          <w:sz w:val="22"/>
          <w:lang w:val="en-GB"/>
        </w:rPr>
        <w:t xml:space="preserve">the Authority established a PFI equalisation reserve for the PFI contract with PFF Lancashire </w:t>
      </w:r>
      <w:r w:rsidRPr="006430F4">
        <w:rPr>
          <w:rFonts w:cs="Arial"/>
          <w:sz w:val="22"/>
          <w:szCs w:val="22"/>
          <w:lang w:eastAsia="en-GB"/>
        </w:rPr>
        <w:t>Limited</w:t>
      </w:r>
      <w:r w:rsidRPr="006430F4">
        <w:rPr>
          <w:sz w:val="22"/>
          <w:lang w:val="en-GB"/>
        </w:rPr>
        <w:t xml:space="preserve">.  The contract relates to the provision and maintenance by PFF Lancashire Limited of two fire stations at Morecambe and Hyndburn; and </w:t>
      </w:r>
    </w:p>
    <w:p w:rsidR="00FB3503" w:rsidRPr="006430F4" w:rsidRDefault="00FB3503" w:rsidP="00882E25">
      <w:pPr>
        <w:pStyle w:val="BodyTextIndent"/>
        <w:numPr>
          <w:ilvl w:val="0"/>
          <w:numId w:val="24"/>
        </w:numPr>
        <w:jc w:val="both"/>
        <w:rPr>
          <w:sz w:val="22"/>
          <w:lang w:val="en-GB"/>
        </w:rPr>
      </w:pPr>
      <w:r w:rsidRPr="006430F4">
        <w:rPr>
          <w:sz w:val="22"/>
          <w:lang w:val="en-GB"/>
        </w:rPr>
        <w:t>In 2011/12 the Authority created a new PFI equalisation reserve in relation to the Authority’s share of the PFI contract with Balfour Beatty Fire and Rescue NW Limited.   The contract relates to the provision and maintenance of Blackburn, Burnley, Chorley, and Fleetwood fire stations.</w:t>
      </w:r>
    </w:p>
    <w:p w:rsidR="00FB3503" w:rsidRPr="006430F4" w:rsidRDefault="00FB3503" w:rsidP="00FB3503">
      <w:pPr>
        <w:pStyle w:val="BodyTextIndent"/>
        <w:ind w:left="108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 xml:space="preserve">An annual revenue contribution in lieu of interest will be made to the reserve.  The reserve balance will be reviewed each year at which time the amount of any revenue contribution to or from the reserve will be determined.  </w:t>
      </w:r>
    </w:p>
    <w:p w:rsidR="00FB3503" w:rsidRPr="006430F4" w:rsidRDefault="00FB3503" w:rsidP="00FB3503">
      <w:pPr>
        <w:pStyle w:val="BodyTextIndent"/>
        <w:ind w:left="1440"/>
        <w:jc w:val="both"/>
        <w:rPr>
          <w:sz w:val="22"/>
          <w:lang w:val="en-GB"/>
        </w:rPr>
      </w:pPr>
    </w:p>
    <w:p w:rsidR="00FB3503" w:rsidRPr="006430F4" w:rsidRDefault="00FB3503" w:rsidP="00FB3503">
      <w:pPr>
        <w:ind w:left="720"/>
        <w:jc w:val="both"/>
        <w:rPr>
          <w:sz w:val="22"/>
        </w:rPr>
      </w:pPr>
      <w:proofErr w:type="gramStart"/>
      <w:r>
        <w:rPr>
          <w:b/>
          <w:sz w:val="22"/>
        </w:rPr>
        <w:t>l</w:t>
      </w:r>
      <w:proofErr w:type="gramEnd"/>
      <w:r w:rsidRPr="006430F4">
        <w:rPr>
          <w:b/>
          <w:sz w:val="22"/>
        </w:rPr>
        <w:tab/>
        <w:t>Provisions</w:t>
      </w:r>
    </w:p>
    <w:p w:rsidR="00FB3503" w:rsidRPr="006430F4" w:rsidRDefault="00FB3503" w:rsidP="00FB3503">
      <w:pPr>
        <w:ind w:left="720"/>
        <w:jc w:val="both"/>
        <w:rPr>
          <w:sz w:val="22"/>
        </w:rPr>
      </w:pPr>
    </w:p>
    <w:p w:rsidR="00FB3503" w:rsidRPr="006430F4" w:rsidRDefault="00FB3503" w:rsidP="00FB3503">
      <w:pPr>
        <w:pStyle w:val="BodyTextIndent"/>
        <w:ind w:left="1440"/>
        <w:jc w:val="both"/>
        <w:rPr>
          <w:sz w:val="22"/>
          <w:lang w:val="en-GB"/>
        </w:rPr>
      </w:pPr>
      <w:r w:rsidRPr="006430F4">
        <w:rPr>
          <w:sz w:val="22"/>
          <w:lang w:val="en-GB"/>
        </w:rPr>
        <w:t>The Authority has the power to establish provisions for any liabilities of uncertain timing or amount that have been incurred.  Details of the Authority’s provisions are given in note 13 to the Balance Sheet.</w:t>
      </w:r>
    </w:p>
    <w:p w:rsidR="00FB3503" w:rsidRPr="006430F4" w:rsidRDefault="00FB3503" w:rsidP="00FB3503">
      <w:pPr>
        <w:pStyle w:val="BodyTextIndent"/>
        <w:ind w:left="1440"/>
        <w:jc w:val="both"/>
        <w:rPr>
          <w:sz w:val="22"/>
        </w:rPr>
      </w:pPr>
    </w:p>
    <w:p w:rsidR="00FB3503" w:rsidRPr="006430F4" w:rsidRDefault="00FB3503" w:rsidP="00FB3503">
      <w:pPr>
        <w:keepLines/>
        <w:widowControl w:val="0"/>
        <w:ind w:left="720"/>
        <w:jc w:val="both"/>
        <w:rPr>
          <w:b/>
          <w:sz w:val="22"/>
        </w:rPr>
      </w:pPr>
      <w:proofErr w:type="gramStart"/>
      <w:r>
        <w:rPr>
          <w:b/>
          <w:sz w:val="22"/>
          <w:szCs w:val="22"/>
        </w:rPr>
        <w:t>m</w:t>
      </w:r>
      <w:proofErr w:type="gramEnd"/>
      <w:r w:rsidRPr="006430F4">
        <w:rPr>
          <w:b/>
        </w:rPr>
        <w:tab/>
      </w:r>
      <w:r w:rsidRPr="006430F4">
        <w:rPr>
          <w:b/>
          <w:sz w:val="22"/>
        </w:rPr>
        <w:t>Reserves</w:t>
      </w:r>
    </w:p>
    <w:p w:rsidR="00FB3503" w:rsidRPr="006430F4" w:rsidRDefault="00FB3503" w:rsidP="00FB3503">
      <w:pPr>
        <w:ind w:left="720"/>
        <w:jc w:val="both"/>
        <w:rPr>
          <w:sz w:val="22"/>
        </w:rPr>
      </w:pPr>
    </w:p>
    <w:p w:rsidR="00FB3503" w:rsidRPr="006430F4" w:rsidRDefault="00FB3503" w:rsidP="00FB3503">
      <w:pPr>
        <w:pStyle w:val="BodyTextIndent"/>
        <w:ind w:left="1440"/>
        <w:jc w:val="both"/>
        <w:rPr>
          <w:sz w:val="22"/>
          <w:lang w:val="en-GB"/>
        </w:rPr>
      </w:pPr>
      <w:r w:rsidRPr="006430F4">
        <w:rPr>
          <w:sz w:val="22"/>
          <w:lang w:val="en-GB"/>
        </w:rPr>
        <w:t>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against the net cost of services in that year in the Comprehensive Income and Expenditure Statement.  The reserve is then appropriated back into the General Fund Balance in the Movement in Reserves Statement so that there is no net charge against council tax for the expenditure.</w:t>
      </w:r>
    </w:p>
    <w:p w:rsidR="00FB3503" w:rsidRPr="006430F4" w:rsidRDefault="00FB3503" w:rsidP="00FB3503">
      <w:pPr>
        <w:pStyle w:val="BodyTextIndent"/>
        <w:ind w:left="1440"/>
        <w:jc w:val="both"/>
        <w:rPr>
          <w:sz w:val="22"/>
          <w:lang w:val="en-GB"/>
        </w:rPr>
      </w:pPr>
    </w:p>
    <w:p w:rsidR="00FB3503" w:rsidRPr="006430F4" w:rsidRDefault="00FB3503" w:rsidP="00FB3503">
      <w:pPr>
        <w:pStyle w:val="BodyTextIndent"/>
        <w:ind w:left="1440"/>
        <w:jc w:val="both"/>
        <w:rPr>
          <w:sz w:val="22"/>
          <w:lang w:val="en-GB"/>
        </w:rPr>
      </w:pPr>
      <w:r w:rsidRPr="006430F4">
        <w:rPr>
          <w:sz w:val="22"/>
          <w:lang w:val="en-GB"/>
        </w:rPr>
        <w:t>Certain reserves are kept to manage the accounting processes for non-current assets, financial instruments, retirements and employee benefits and do not represent usable resources for the Authority.</w:t>
      </w:r>
    </w:p>
    <w:p w:rsidR="00FB3503" w:rsidRPr="006430F4" w:rsidRDefault="00FB3503" w:rsidP="00FB3503">
      <w:pPr>
        <w:pStyle w:val="BodyTextIndent"/>
        <w:ind w:left="1440"/>
        <w:jc w:val="both"/>
        <w:rPr>
          <w:sz w:val="22"/>
          <w:lang w:val="en-GB"/>
        </w:rPr>
      </w:pPr>
    </w:p>
    <w:p w:rsidR="00FB3503" w:rsidRPr="006430F4" w:rsidRDefault="00FB3503" w:rsidP="00FB3503">
      <w:pPr>
        <w:ind w:left="720"/>
        <w:jc w:val="both"/>
        <w:rPr>
          <w:b/>
          <w:sz w:val="22"/>
        </w:rPr>
      </w:pPr>
      <w:proofErr w:type="gramStart"/>
      <w:r>
        <w:rPr>
          <w:b/>
          <w:sz w:val="22"/>
        </w:rPr>
        <w:t>n</w:t>
      </w:r>
      <w:proofErr w:type="gramEnd"/>
      <w:r w:rsidRPr="006430F4">
        <w:rPr>
          <w:b/>
          <w:sz w:val="22"/>
        </w:rPr>
        <w:tab/>
        <w:t>Contingent liabilities</w:t>
      </w:r>
    </w:p>
    <w:p w:rsidR="00FB3503" w:rsidRPr="006430F4" w:rsidRDefault="00FB3503" w:rsidP="00FB3503">
      <w:pPr>
        <w:pStyle w:val="BodyTextIndent"/>
        <w:ind w:left="1440"/>
        <w:jc w:val="both"/>
        <w:rPr>
          <w:b/>
          <w:sz w:val="22"/>
        </w:rPr>
      </w:pPr>
    </w:p>
    <w:p w:rsidR="00FB3503" w:rsidRPr="006430F4" w:rsidRDefault="00FB3503" w:rsidP="00FB3503">
      <w:pPr>
        <w:pStyle w:val="BodyTextIndent"/>
        <w:ind w:left="1440"/>
        <w:jc w:val="both"/>
        <w:rPr>
          <w:sz w:val="22"/>
        </w:rPr>
      </w:pPr>
      <w:r w:rsidRPr="006430F4">
        <w:rPr>
          <w:sz w:val="22"/>
        </w:rPr>
        <w:t xml:space="preserve">A contingent liability arises where an event has taken place that gives the Authority a possible obligation whose existence will only be confirmed by the occurrence or otherwise of uncertain </w:t>
      </w:r>
      <w:r w:rsidRPr="006430F4">
        <w:rPr>
          <w:sz w:val="22"/>
        </w:rPr>
        <w:lastRenderedPageBreak/>
        <w:t xml:space="preserve">future events not wholly within the control of the Authority.  Contingent liabilities are not </w:t>
      </w:r>
      <w:proofErr w:type="spellStart"/>
      <w:r w:rsidRPr="006430F4">
        <w:rPr>
          <w:sz w:val="22"/>
        </w:rPr>
        <w:t>recognised</w:t>
      </w:r>
      <w:proofErr w:type="spellEnd"/>
      <w:r w:rsidRPr="006430F4">
        <w:rPr>
          <w:sz w:val="22"/>
        </w:rPr>
        <w:t xml:space="preserve"> in the Balance Sheet, but disclosed in a note to the accounts. </w:t>
      </w:r>
    </w:p>
    <w:p w:rsidR="007528AB" w:rsidRPr="007528AB" w:rsidRDefault="007528AB" w:rsidP="00D90216">
      <w:pPr>
        <w:rPr>
          <w:sz w:val="22"/>
        </w:rPr>
      </w:pPr>
    </w:p>
    <w:p w:rsidR="007528AB" w:rsidRPr="007528AB" w:rsidRDefault="007528AB" w:rsidP="007528AB">
      <w:pPr>
        <w:ind w:left="720"/>
        <w:rPr>
          <w:b/>
          <w:sz w:val="22"/>
        </w:rPr>
      </w:pPr>
      <w:r w:rsidRPr="007528AB">
        <w:rPr>
          <w:b/>
          <w:sz w:val="22"/>
        </w:rPr>
        <w:t>O</w:t>
      </w:r>
      <w:r w:rsidRPr="007528AB">
        <w:rPr>
          <w:b/>
          <w:sz w:val="22"/>
        </w:rPr>
        <w:tab/>
        <w:t>Going Concern</w:t>
      </w:r>
    </w:p>
    <w:p w:rsidR="007528AB" w:rsidRPr="007528AB" w:rsidRDefault="007528AB" w:rsidP="007528AB">
      <w:pPr>
        <w:ind w:left="720"/>
        <w:rPr>
          <w:sz w:val="22"/>
        </w:rPr>
      </w:pPr>
    </w:p>
    <w:p w:rsidR="007528AB" w:rsidRPr="00190D40" w:rsidRDefault="007528AB" w:rsidP="007528AB">
      <w:pPr>
        <w:pStyle w:val="BodyTextIndent"/>
        <w:ind w:left="1440"/>
        <w:rPr>
          <w:sz w:val="22"/>
        </w:rPr>
        <w:sectPr w:rsidR="007528AB" w:rsidRPr="00190D40" w:rsidSect="008B498C">
          <w:pgSz w:w="11907" w:h="16840" w:code="9"/>
          <w:pgMar w:top="454" w:right="567" w:bottom="397" w:left="567" w:header="720" w:footer="720" w:gutter="0"/>
          <w:cols w:space="720"/>
          <w:docGrid w:linePitch="326"/>
        </w:sectPr>
      </w:pPr>
      <w:r w:rsidRPr="007528AB">
        <w:rPr>
          <w:sz w:val="22"/>
        </w:rPr>
        <w:t>These accounts are prepared on a going concern basis</w:t>
      </w:r>
      <w:r>
        <w:rPr>
          <w:sz w:val="22"/>
        </w:rPr>
        <w:t>, on the assumption that the Authority’s functions will continue in operational existence for the foreseeable future.  Please see the future financial plans section in the foreword for more detail.</w:t>
      </w:r>
    </w:p>
    <w:p w:rsidR="0042104F" w:rsidRPr="00261A8E" w:rsidRDefault="0042104F" w:rsidP="00095B3F">
      <w:pPr>
        <w:rPr>
          <w:sz w:val="22"/>
        </w:rPr>
      </w:pPr>
    </w:p>
    <w:p w:rsidR="00D90216" w:rsidRPr="00A60775" w:rsidRDefault="00D90216" w:rsidP="0029602A">
      <w:pPr>
        <w:jc w:val="center"/>
        <w:rPr>
          <w:b/>
          <w:sz w:val="22"/>
          <w:highlight w:val="cyan"/>
        </w:rPr>
      </w:pPr>
      <w:r w:rsidRPr="00C91A87">
        <w:rPr>
          <w:b/>
          <w:sz w:val="22"/>
        </w:rPr>
        <w:t>FIRE</w:t>
      </w:r>
      <w:r w:rsidR="00EE35BA">
        <w:rPr>
          <w:b/>
          <w:sz w:val="22"/>
        </w:rPr>
        <w:t xml:space="preserve"> </w:t>
      </w:r>
      <w:r w:rsidRPr="00C91A87">
        <w:rPr>
          <w:b/>
          <w:sz w:val="22"/>
        </w:rPr>
        <w:t>FIGHTERS PENSION FUND ACCOUNT AND NET ASSETS STATEMENT</w:t>
      </w:r>
    </w:p>
    <w:p w:rsidR="00D90216" w:rsidRPr="00A60775" w:rsidRDefault="00D90216" w:rsidP="00D90216">
      <w:pPr>
        <w:rPr>
          <w:sz w:val="22"/>
          <w:highlight w:val="cyan"/>
        </w:rPr>
      </w:pPr>
    </w:p>
    <w:tbl>
      <w:tblPr>
        <w:tblW w:w="8931" w:type="dxa"/>
        <w:tblInd w:w="172" w:type="dxa"/>
        <w:tblLayout w:type="fixed"/>
        <w:tblCellMar>
          <w:left w:w="30" w:type="dxa"/>
          <w:right w:w="30" w:type="dxa"/>
        </w:tblCellMar>
        <w:tblLook w:val="0000" w:firstRow="0" w:lastRow="0" w:firstColumn="0" w:lastColumn="0" w:noHBand="0" w:noVBand="0"/>
      </w:tblPr>
      <w:tblGrid>
        <w:gridCol w:w="5670"/>
        <w:gridCol w:w="1418"/>
        <w:gridCol w:w="284"/>
        <w:gridCol w:w="1559"/>
      </w:tblGrid>
      <w:tr w:rsidR="000E3304" w:rsidRPr="00934F50" w:rsidTr="000E3304">
        <w:trPr>
          <w:trHeight w:val="247"/>
        </w:trPr>
        <w:tc>
          <w:tcPr>
            <w:tcW w:w="5670" w:type="dxa"/>
          </w:tcPr>
          <w:p w:rsidR="000E3304" w:rsidRPr="00F55B1C" w:rsidRDefault="000E3304" w:rsidP="00CD62E6">
            <w:pPr>
              <w:ind w:left="396" w:hanging="284"/>
              <w:rPr>
                <w:b/>
                <w:snapToGrid w:val="0"/>
                <w:sz w:val="22"/>
              </w:rPr>
            </w:pPr>
            <w:r w:rsidRPr="00F55B1C">
              <w:rPr>
                <w:b/>
                <w:snapToGrid w:val="0"/>
                <w:sz w:val="22"/>
              </w:rPr>
              <w:t>Fund Account</w:t>
            </w:r>
          </w:p>
        </w:tc>
        <w:tc>
          <w:tcPr>
            <w:tcW w:w="1418" w:type="dxa"/>
          </w:tcPr>
          <w:p w:rsidR="000E3304" w:rsidRPr="00F55B1C" w:rsidRDefault="000E3304" w:rsidP="0096743B">
            <w:pPr>
              <w:jc w:val="center"/>
              <w:rPr>
                <w:snapToGrid w:val="0"/>
                <w:sz w:val="22"/>
              </w:rPr>
            </w:pPr>
            <w:r w:rsidRPr="00F55B1C">
              <w:rPr>
                <w:snapToGrid w:val="0"/>
                <w:sz w:val="22"/>
              </w:rPr>
              <w:t>201</w:t>
            </w:r>
            <w:r w:rsidR="0096743B">
              <w:rPr>
                <w:snapToGrid w:val="0"/>
                <w:sz w:val="22"/>
              </w:rPr>
              <w:t>7</w:t>
            </w:r>
            <w:r w:rsidRPr="00F55B1C">
              <w:rPr>
                <w:snapToGrid w:val="0"/>
                <w:sz w:val="22"/>
              </w:rPr>
              <w:t>/1</w:t>
            </w:r>
            <w:r w:rsidR="0096743B">
              <w:rPr>
                <w:snapToGrid w:val="0"/>
                <w:sz w:val="22"/>
              </w:rPr>
              <w:t>8</w:t>
            </w:r>
          </w:p>
        </w:tc>
        <w:tc>
          <w:tcPr>
            <w:tcW w:w="284" w:type="dxa"/>
          </w:tcPr>
          <w:p w:rsidR="000E3304" w:rsidRPr="00F55B1C" w:rsidRDefault="000E3304" w:rsidP="001A273E">
            <w:pPr>
              <w:jc w:val="center"/>
              <w:rPr>
                <w:sz w:val="22"/>
                <w:szCs w:val="22"/>
              </w:rPr>
            </w:pPr>
          </w:p>
        </w:tc>
        <w:tc>
          <w:tcPr>
            <w:tcW w:w="1559" w:type="dxa"/>
          </w:tcPr>
          <w:p w:rsidR="000E3304" w:rsidRPr="00F55B1C" w:rsidRDefault="000E3304" w:rsidP="0096743B">
            <w:pPr>
              <w:jc w:val="center"/>
              <w:rPr>
                <w:snapToGrid w:val="0"/>
                <w:sz w:val="22"/>
              </w:rPr>
            </w:pPr>
            <w:r w:rsidRPr="00F55B1C">
              <w:rPr>
                <w:snapToGrid w:val="0"/>
                <w:sz w:val="22"/>
              </w:rPr>
              <w:t>201</w:t>
            </w:r>
            <w:r w:rsidR="0096743B">
              <w:rPr>
                <w:snapToGrid w:val="0"/>
                <w:sz w:val="22"/>
              </w:rPr>
              <w:t>6</w:t>
            </w:r>
            <w:r w:rsidRPr="00F55B1C">
              <w:rPr>
                <w:snapToGrid w:val="0"/>
                <w:sz w:val="22"/>
              </w:rPr>
              <w:t>/1</w:t>
            </w:r>
            <w:r w:rsidR="0096743B">
              <w:rPr>
                <w:snapToGrid w:val="0"/>
                <w:sz w:val="22"/>
              </w:rPr>
              <w:t>7</w:t>
            </w:r>
          </w:p>
        </w:tc>
      </w:tr>
      <w:tr w:rsidR="000E3304" w:rsidRPr="00934F50" w:rsidTr="000E3304">
        <w:trPr>
          <w:trHeight w:val="247"/>
        </w:trPr>
        <w:tc>
          <w:tcPr>
            <w:tcW w:w="5670" w:type="dxa"/>
          </w:tcPr>
          <w:p w:rsidR="000E3304" w:rsidRPr="00F55B1C" w:rsidRDefault="000E3304" w:rsidP="00CD62E6">
            <w:pPr>
              <w:ind w:left="396" w:hanging="284"/>
              <w:jc w:val="right"/>
              <w:rPr>
                <w:b/>
                <w:snapToGrid w:val="0"/>
                <w:sz w:val="22"/>
              </w:rPr>
            </w:pPr>
          </w:p>
        </w:tc>
        <w:tc>
          <w:tcPr>
            <w:tcW w:w="1418" w:type="dxa"/>
          </w:tcPr>
          <w:p w:rsidR="000E3304" w:rsidRPr="00F55B1C" w:rsidRDefault="000E3304" w:rsidP="00CD62E6">
            <w:pPr>
              <w:jc w:val="center"/>
              <w:rPr>
                <w:snapToGrid w:val="0"/>
                <w:sz w:val="22"/>
              </w:rPr>
            </w:pPr>
            <w:r w:rsidRPr="00F55B1C">
              <w:rPr>
                <w:snapToGrid w:val="0"/>
                <w:sz w:val="22"/>
              </w:rPr>
              <w:t>Total</w:t>
            </w:r>
          </w:p>
        </w:tc>
        <w:tc>
          <w:tcPr>
            <w:tcW w:w="284" w:type="dxa"/>
          </w:tcPr>
          <w:p w:rsidR="000E3304" w:rsidRPr="00F55B1C" w:rsidRDefault="000E3304" w:rsidP="00CD62E6">
            <w:pPr>
              <w:jc w:val="center"/>
              <w:rPr>
                <w:snapToGrid w:val="0"/>
                <w:sz w:val="22"/>
              </w:rPr>
            </w:pPr>
          </w:p>
        </w:tc>
        <w:tc>
          <w:tcPr>
            <w:tcW w:w="1559" w:type="dxa"/>
          </w:tcPr>
          <w:p w:rsidR="000E3304" w:rsidRPr="00F55B1C" w:rsidRDefault="000E3304" w:rsidP="00153A2A">
            <w:pPr>
              <w:jc w:val="center"/>
              <w:rPr>
                <w:snapToGrid w:val="0"/>
                <w:sz w:val="22"/>
              </w:rPr>
            </w:pPr>
            <w:r w:rsidRPr="00F55B1C">
              <w:rPr>
                <w:snapToGrid w:val="0"/>
                <w:sz w:val="22"/>
              </w:rPr>
              <w:t>Total</w:t>
            </w:r>
          </w:p>
        </w:tc>
      </w:tr>
      <w:tr w:rsidR="000E3304" w:rsidRPr="00934F50" w:rsidTr="000E3304">
        <w:trPr>
          <w:trHeight w:val="247"/>
        </w:trPr>
        <w:tc>
          <w:tcPr>
            <w:tcW w:w="5670" w:type="dxa"/>
          </w:tcPr>
          <w:p w:rsidR="000E3304" w:rsidRPr="00F55B1C" w:rsidRDefault="000E3304" w:rsidP="00CD62E6">
            <w:pPr>
              <w:ind w:left="396" w:hanging="284"/>
              <w:rPr>
                <w:b/>
                <w:snapToGrid w:val="0"/>
                <w:sz w:val="22"/>
              </w:rPr>
            </w:pPr>
          </w:p>
        </w:tc>
        <w:tc>
          <w:tcPr>
            <w:tcW w:w="1418" w:type="dxa"/>
          </w:tcPr>
          <w:p w:rsidR="000E3304" w:rsidRPr="00F55B1C" w:rsidRDefault="000E3304" w:rsidP="00CD62E6">
            <w:pPr>
              <w:jc w:val="center"/>
              <w:rPr>
                <w:snapToGrid w:val="0"/>
                <w:sz w:val="22"/>
              </w:rPr>
            </w:pPr>
            <w:r w:rsidRPr="00F55B1C">
              <w:rPr>
                <w:snapToGrid w:val="0"/>
                <w:sz w:val="22"/>
              </w:rPr>
              <w:t>£000</w:t>
            </w:r>
          </w:p>
        </w:tc>
        <w:tc>
          <w:tcPr>
            <w:tcW w:w="284" w:type="dxa"/>
          </w:tcPr>
          <w:p w:rsidR="000E3304" w:rsidRPr="00F55B1C" w:rsidRDefault="000E3304" w:rsidP="00CD62E6">
            <w:pPr>
              <w:jc w:val="center"/>
              <w:rPr>
                <w:snapToGrid w:val="0"/>
                <w:sz w:val="22"/>
              </w:rPr>
            </w:pPr>
          </w:p>
        </w:tc>
        <w:tc>
          <w:tcPr>
            <w:tcW w:w="1559" w:type="dxa"/>
          </w:tcPr>
          <w:p w:rsidR="000E3304" w:rsidRPr="00F55B1C" w:rsidRDefault="000E3304" w:rsidP="00153A2A">
            <w:pPr>
              <w:jc w:val="center"/>
              <w:rPr>
                <w:snapToGrid w:val="0"/>
                <w:sz w:val="22"/>
              </w:rPr>
            </w:pPr>
            <w:r w:rsidRPr="00F55B1C">
              <w:rPr>
                <w:snapToGrid w:val="0"/>
                <w:sz w:val="22"/>
              </w:rPr>
              <w:t>£000</w:t>
            </w:r>
          </w:p>
        </w:tc>
      </w:tr>
      <w:tr w:rsidR="000E3304" w:rsidRPr="00934F50" w:rsidTr="000E3304">
        <w:trPr>
          <w:trHeight w:val="247"/>
        </w:trPr>
        <w:tc>
          <w:tcPr>
            <w:tcW w:w="5670" w:type="dxa"/>
          </w:tcPr>
          <w:p w:rsidR="000E3304" w:rsidRPr="00F55B1C" w:rsidRDefault="000E3304" w:rsidP="00CD62E6">
            <w:pPr>
              <w:ind w:left="396" w:hanging="284"/>
              <w:rPr>
                <w:b/>
                <w:snapToGrid w:val="0"/>
                <w:sz w:val="22"/>
              </w:rPr>
            </w:pPr>
            <w:r w:rsidRPr="00F55B1C">
              <w:rPr>
                <w:b/>
                <w:snapToGrid w:val="0"/>
                <w:sz w:val="22"/>
              </w:rPr>
              <w:t>Income to the fund</w:t>
            </w:r>
          </w:p>
        </w:tc>
        <w:tc>
          <w:tcPr>
            <w:tcW w:w="1418" w:type="dxa"/>
          </w:tcPr>
          <w:p w:rsidR="000E3304" w:rsidRPr="00F55B1C" w:rsidRDefault="000E3304" w:rsidP="00CD62E6">
            <w:pPr>
              <w:tabs>
                <w:tab w:val="decimal" w:pos="962"/>
              </w:tabs>
              <w:rPr>
                <w:snapToGrid w:val="0"/>
                <w:sz w:val="22"/>
              </w:rPr>
            </w:pPr>
          </w:p>
        </w:tc>
        <w:tc>
          <w:tcPr>
            <w:tcW w:w="284" w:type="dxa"/>
          </w:tcPr>
          <w:p w:rsidR="000E3304" w:rsidRPr="00F55B1C" w:rsidRDefault="000E3304" w:rsidP="00CD62E6">
            <w:pPr>
              <w:tabs>
                <w:tab w:val="decimal" w:pos="962"/>
              </w:tabs>
              <w:rPr>
                <w:snapToGrid w:val="0"/>
                <w:sz w:val="22"/>
              </w:rPr>
            </w:pPr>
          </w:p>
        </w:tc>
        <w:tc>
          <w:tcPr>
            <w:tcW w:w="1559" w:type="dxa"/>
          </w:tcPr>
          <w:p w:rsidR="000E3304" w:rsidRPr="00F55B1C" w:rsidRDefault="000E3304" w:rsidP="00153A2A">
            <w:pPr>
              <w:tabs>
                <w:tab w:val="decimal" w:pos="962"/>
              </w:tabs>
              <w:rPr>
                <w:snapToGrid w:val="0"/>
                <w:sz w:val="22"/>
              </w:rPr>
            </w:pPr>
          </w:p>
        </w:tc>
      </w:tr>
      <w:tr w:rsidR="000E3304" w:rsidRPr="00934F50" w:rsidTr="000E3304">
        <w:trPr>
          <w:trHeight w:val="247"/>
        </w:trPr>
        <w:tc>
          <w:tcPr>
            <w:tcW w:w="5670" w:type="dxa"/>
          </w:tcPr>
          <w:p w:rsidR="000E3304" w:rsidRPr="00F55B1C" w:rsidRDefault="000E3304" w:rsidP="00CD62E6">
            <w:pPr>
              <w:ind w:left="396" w:hanging="284"/>
              <w:rPr>
                <w:b/>
                <w:snapToGrid w:val="0"/>
                <w:sz w:val="22"/>
              </w:rPr>
            </w:pPr>
            <w:r w:rsidRPr="00F55B1C">
              <w:rPr>
                <w:b/>
                <w:snapToGrid w:val="0"/>
                <w:sz w:val="22"/>
              </w:rPr>
              <w:t>Contributions receivable:</w:t>
            </w:r>
          </w:p>
        </w:tc>
        <w:tc>
          <w:tcPr>
            <w:tcW w:w="1418" w:type="dxa"/>
          </w:tcPr>
          <w:p w:rsidR="000E3304" w:rsidRPr="00F55B1C" w:rsidRDefault="000E3304" w:rsidP="00CD62E6">
            <w:pPr>
              <w:tabs>
                <w:tab w:val="decimal" w:pos="962"/>
              </w:tabs>
              <w:rPr>
                <w:snapToGrid w:val="0"/>
                <w:sz w:val="22"/>
              </w:rPr>
            </w:pPr>
          </w:p>
        </w:tc>
        <w:tc>
          <w:tcPr>
            <w:tcW w:w="284" w:type="dxa"/>
          </w:tcPr>
          <w:p w:rsidR="000E3304" w:rsidRPr="00F55B1C" w:rsidRDefault="000E3304" w:rsidP="00CD62E6">
            <w:pPr>
              <w:tabs>
                <w:tab w:val="decimal" w:pos="962"/>
              </w:tabs>
              <w:rPr>
                <w:snapToGrid w:val="0"/>
                <w:sz w:val="22"/>
              </w:rPr>
            </w:pPr>
          </w:p>
        </w:tc>
        <w:tc>
          <w:tcPr>
            <w:tcW w:w="1559" w:type="dxa"/>
          </w:tcPr>
          <w:p w:rsidR="000E3304" w:rsidRPr="00F55B1C" w:rsidRDefault="000E3304" w:rsidP="00153A2A">
            <w:pPr>
              <w:tabs>
                <w:tab w:val="decimal" w:pos="962"/>
              </w:tabs>
              <w:rPr>
                <w:snapToGrid w:val="0"/>
                <w:sz w:val="22"/>
              </w:rPr>
            </w:pPr>
          </w:p>
        </w:tc>
      </w:tr>
      <w:tr w:rsidR="000E3304" w:rsidRPr="00934F50" w:rsidTr="000E3304">
        <w:trPr>
          <w:trHeight w:val="247"/>
        </w:trPr>
        <w:tc>
          <w:tcPr>
            <w:tcW w:w="5670" w:type="dxa"/>
          </w:tcPr>
          <w:p w:rsidR="000E3304" w:rsidRPr="00F55B1C" w:rsidRDefault="000E3304" w:rsidP="00882E25">
            <w:pPr>
              <w:pStyle w:val="ListParagraph"/>
              <w:numPr>
                <w:ilvl w:val="0"/>
                <w:numId w:val="35"/>
              </w:numPr>
              <w:rPr>
                <w:snapToGrid w:val="0"/>
                <w:sz w:val="22"/>
              </w:rPr>
            </w:pPr>
            <w:r w:rsidRPr="00F55B1C">
              <w:rPr>
                <w:snapToGrid w:val="0"/>
                <w:sz w:val="22"/>
              </w:rPr>
              <w:t>From employer</w:t>
            </w:r>
          </w:p>
        </w:tc>
        <w:tc>
          <w:tcPr>
            <w:tcW w:w="1418" w:type="dxa"/>
          </w:tcPr>
          <w:p w:rsidR="000E3304" w:rsidRPr="00F55B1C" w:rsidRDefault="000E3304" w:rsidP="00CD62E6">
            <w:pPr>
              <w:tabs>
                <w:tab w:val="decimal" w:pos="962"/>
              </w:tabs>
              <w:rPr>
                <w:snapToGrid w:val="0"/>
                <w:sz w:val="22"/>
              </w:rPr>
            </w:pPr>
          </w:p>
        </w:tc>
        <w:tc>
          <w:tcPr>
            <w:tcW w:w="284" w:type="dxa"/>
          </w:tcPr>
          <w:p w:rsidR="000E3304" w:rsidRPr="00F55B1C" w:rsidRDefault="000E3304" w:rsidP="00CD62E6">
            <w:pPr>
              <w:tabs>
                <w:tab w:val="decimal" w:pos="962"/>
              </w:tabs>
              <w:rPr>
                <w:snapToGrid w:val="0"/>
                <w:sz w:val="22"/>
              </w:rPr>
            </w:pPr>
          </w:p>
        </w:tc>
        <w:tc>
          <w:tcPr>
            <w:tcW w:w="1559" w:type="dxa"/>
          </w:tcPr>
          <w:p w:rsidR="000E3304" w:rsidRPr="00F55B1C" w:rsidRDefault="000E3304" w:rsidP="00153A2A">
            <w:pPr>
              <w:tabs>
                <w:tab w:val="decimal" w:pos="962"/>
              </w:tabs>
              <w:rPr>
                <w:snapToGrid w:val="0"/>
                <w:sz w:val="22"/>
              </w:rPr>
            </w:pPr>
          </w:p>
        </w:tc>
      </w:tr>
      <w:tr w:rsidR="0096743B" w:rsidRPr="00934F50" w:rsidTr="000E3304">
        <w:trPr>
          <w:trHeight w:val="325"/>
        </w:trPr>
        <w:tc>
          <w:tcPr>
            <w:tcW w:w="5670" w:type="dxa"/>
          </w:tcPr>
          <w:p w:rsidR="0096743B" w:rsidRPr="00F55B1C" w:rsidRDefault="0096743B" w:rsidP="00882E25">
            <w:pPr>
              <w:pStyle w:val="ListParagraph"/>
              <w:numPr>
                <w:ilvl w:val="0"/>
                <w:numId w:val="34"/>
              </w:numPr>
              <w:rPr>
                <w:snapToGrid w:val="0"/>
                <w:sz w:val="22"/>
              </w:rPr>
            </w:pPr>
            <w:r w:rsidRPr="00F55B1C">
              <w:rPr>
                <w:snapToGrid w:val="0"/>
                <w:sz w:val="22"/>
              </w:rPr>
              <w:t>contributions in relation to pensionable pay</w:t>
            </w:r>
          </w:p>
        </w:tc>
        <w:tc>
          <w:tcPr>
            <w:tcW w:w="1418" w:type="dxa"/>
          </w:tcPr>
          <w:p w:rsidR="0096743B" w:rsidRPr="00F55B1C" w:rsidRDefault="004535FC" w:rsidP="003919D9">
            <w:pPr>
              <w:tabs>
                <w:tab w:val="decimal" w:pos="1104"/>
              </w:tabs>
              <w:spacing w:after="240"/>
              <w:ind w:left="111"/>
              <w:rPr>
                <w:sz w:val="22"/>
              </w:rPr>
            </w:pPr>
            <w:r>
              <w:rPr>
                <w:sz w:val="22"/>
              </w:rPr>
              <w:t>(3,692)</w:t>
            </w:r>
          </w:p>
        </w:tc>
        <w:tc>
          <w:tcPr>
            <w:tcW w:w="284" w:type="dxa"/>
          </w:tcPr>
          <w:p w:rsidR="0096743B" w:rsidRPr="00F55B1C" w:rsidRDefault="0096743B" w:rsidP="00923876">
            <w:pPr>
              <w:tabs>
                <w:tab w:val="decimal" w:pos="821"/>
              </w:tabs>
              <w:spacing w:after="240"/>
              <w:ind w:left="111"/>
              <w:rPr>
                <w:sz w:val="22"/>
              </w:rPr>
            </w:pPr>
          </w:p>
        </w:tc>
        <w:tc>
          <w:tcPr>
            <w:tcW w:w="1559" w:type="dxa"/>
          </w:tcPr>
          <w:p w:rsidR="0096743B" w:rsidRPr="00F55B1C" w:rsidRDefault="0096743B" w:rsidP="0096743B">
            <w:pPr>
              <w:tabs>
                <w:tab w:val="decimal" w:pos="1104"/>
              </w:tabs>
              <w:spacing w:after="240"/>
              <w:ind w:left="111"/>
              <w:rPr>
                <w:sz w:val="22"/>
              </w:rPr>
            </w:pPr>
            <w:r>
              <w:rPr>
                <w:sz w:val="22"/>
              </w:rPr>
              <w:t>(3,790)</w:t>
            </w:r>
          </w:p>
        </w:tc>
      </w:tr>
      <w:tr w:rsidR="0096743B" w:rsidRPr="00934F50" w:rsidTr="000E3304">
        <w:trPr>
          <w:trHeight w:val="247"/>
        </w:trPr>
        <w:tc>
          <w:tcPr>
            <w:tcW w:w="5670" w:type="dxa"/>
          </w:tcPr>
          <w:p w:rsidR="0096743B" w:rsidRPr="00F55B1C" w:rsidRDefault="0096743B" w:rsidP="00882E25">
            <w:pPr>
              <w:pStyle w:val="ListParagraph"/>
              <w:numPr>
                <w:ilvl w:val="0"/>
                <w:numId w:val="33"/>
              </w:numPr>
              <w:rPr>
                <w:snapToGrid w:val="0"/>
                <w:sz w:val="22"/>
              </w:rPr>
            </w:pPr>
            <w:r w:rsidRPr="00F55B1C">
              <w:rPr>
                <w:snapToGrid w:val="0"/>
                <w:sz w:val="22"/>
              </w:rPr>
              <w:t>other contributions</w:t>
            </w:r>
          </w:p>
        </w:tc>
        <w:tc>
          <w:tcPr>
            <w:tcW w:w="1418" w:type="dxa"/>
          </w:tcPr>
          <w:p w:rsidR="0096743B" w:rsidRPr="00F55B1C" w:rsidRDefault="004535FC" w:rsidP="003919D9">
            <w:pPr>
              <w:tabs>
                <w:tab w:val="decimal" w:pos="1104"/>
              </w:tabs>
              <w:spacing w:after="240"/>
              <w:rPr>
                <w:sz w:val="22"/>
              </w:rPr>
            </w:pPr>
            <w:r>
              <w:rPr>
                <w:sz w:val="22"/>
              </w:rPr>
              <w:t>(179)</w:t>
            </w:r>
          </w:p>
        </w:tc>
        <w:tc>
          <w:tcPr>
            <w:tcW w:w="284" w:type="dxa"/>
          </w:tcPr>
          <w:p w:rsidR="0096743B" w:rsidRPr="00F55B1C" w:rsidRDefault="0096743B" w:rsidP="00923876">
            <w:pPr>
              <w:tabs>
                <w:tab w:val="decimal" w:pos="821"/>
              </w:tabs>
              <w:spacing w:after="240"/>
              <w:rPr>
                <w:sz w:val="22"/>
              </w:rPr>
            </w:pPr>
          </w:p>
        </w:tc>
        <w:tc>
          <w:tcPr>
            <w:tcW w:w="1559" w:type="dxa"/>
          </w:tcPr>
          <w:p w:rsidR="0096743B" w:rsidRPr="00F55B1C" w:rsidRDefault="0096743B" w:rsidP="0096743B">
            <w:pPr>
              <w:tabs>
                <w:tab w:val="decimal" w:pos="1104"/>
              </w:tabs>
              <w:spacing w:after="240"/>
              <w:rPr>
                <w:sz w:val="22"/>
              </w:rPr>
            </w:pPr>
            <w:r>
              <w:rPr>
                <w:sz w:val="22"/>
              </w:rPr>
              <w:t>(247)</w:t>
            </w:r>
          </w:p>
        </w:tc>
      </w:tr>
      <w:tr w:rsidR="0096743B" w:rsidRPr="00934F50" w:rsidTr="000E3304">
        <w:trPr>
          <w:trHeight w:val="339"/>
        </w:trPr>
        <w:tc>
          <w:tcPr>
            <w:tcW w:w="5670" w:type="dxa"/>
          </w:tcPr>
          <w:p w:rsidR="0096743B" w:rsidRPr="00F55B1C" w:rsidRDefault="0096743B" w:rsidP="00882E25">
            <w:pPr>
              <w:pStyle w:val="ListParagraph"/>
              <w:numPr>
                <w:ilvl w:val="0"/>
                <w:numId w:val="32"/>
              </w:numPr>
              <w:rPr>
                <w:snapToGrid w:val="0"/>
                <w:sz w:val="22"/>
              </w:rPr>
            </w:pPr>
            <w:r w:rsidRPr="00F55B1C">
              <w:rPr>
                <w:snapToGrid w:val="0"/>
                <w:sz w:val="22"/>
              </w:rPr>
              <w:t>Members contributions</w:t>
            </w:r>
          </w:p>
        </w:tc>
        <w:tc>
          <w:tcPr>
            <w:tcW w:w="1418" w:type="dxa"/>
          </w:tcPr>
          <w:p w:rsidR="0096743B" w:rsidRPr="00F55B1C" w:rsidRDefault="004535FC" w:rsidP="003919D9">
            <w:pPr>
              <w:tabs>
                <w:tab w:val="decimal" w:pos="1104"/>
              </w:tabs>
              <w:spacing w:after="240"/>
              <w:rPr>
                <w:sz w:val="22"/>
              </w:rPr>
            </w:pPr>
            <w:r>
              <w:rPr>
                <w:sz w:val="22"/>
              </w:rPr>
              <w:t>(2,923)</w:t>
            </w:r>
          </w:p>
        </w:tc>
        <w:tc>
          <w:tcPr>
            <w:tcW w:w="284" w:type="dxa"/>
          </w:tcPr>
          <w:p w:rsidR="0096743B" w:rsidRPr="00F55B1C" w:rsidRDefault="0096743B" w:rsidP="00923876">
            <w:pPr>
              <w:tabs>
                <w:tab w:val="decimal" w:pos="821"/>
              </w:tabs>
              <w:spacing w:after="240"/>
              <w:rPr>
                <w:sz w:val="22"/>
              </w:rPr>
            </w:pPr>
          </w:p>
        </w:tc>
        <w:tc>
          <w:tcPr>
            <w:tcW w:w="1559" w:type="dxa"/>
          </w:tcPr>
          <w:p w:rsidR="0096743B" w:rsidRPr="00F55B1C" w:rsidRDefault="0096743B" w:rsidP="0096743B">
            <w:pPr>
              <w:tabs>
                <w:tab w:val="decimal" w:pos="1104"/>
              </w:tabs>
              <w:spacing w:after="240"/>
              <w:rPr>
                <w:sz w:val="22"/>
              </w:rPr>
            </w:pPr>
            <w:r>
              <w:rPr>
                <w:sz w:val="22"/>
              </w:rPr>
              <w:t>(2,946)</w:t>
            </w: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Transfers in:</w:t>
            </w:r>
          </w:p>
        </w:tc>
        <w:tc>
          <w:tcPr>
            <w:tcW w:w="1418" w:type="dxa"/>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 w:val="decimal" w:pos="962"/>
              </w:tabs>
              <w:rPr>
                <w:snapToGrid w:val="0"/>
                <w:sz w:val="22"/>
              </w:rPr>
            </w:pPr>
          </w:p>
        </w:tc>
        <w:tc>
          <w:tcPr>
            <w:tcW w:w="1559" w:type="dxa"/>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882E25">
            <w:pPr>
              <w:pStyle w:val="ListParagraph"/>
              <w:numPr>
                <w:ilvl w:val="0"/>
                <w:numId w:val="31"/>
              </w:numPr>
              <w:rPr>
                <w:snapToGrid w:val="0"/>
                <w:sz w:val="22"/>
              </w:rPr>
            </w:pPr>
            <w:r w:rsidRPr="00F55B1C">
              <w:rPr>
                <w:snapToGrid w:val="0"/>
                <w:sz w:val="22"/>
              </w:rPr>
              <w:t>Individual transfers from other schemes</w:t>
            </w:r>
          </w:p>
        </w:tc>
        <w:tc>
          <w:tcPr>
            <w:tcW w:w="1418" w:type="dxa"/>
          </w:tcPr>
          <w:p w:rsidR="0096743B" w:rsidRPr="00F55B1C" w:rsidRDefault="004535FC" w:rsidP="003919D9">
            <w:pPr>
              <w:tabs>
                <w:tab w:val="decimal" w:pos="1104"/>
              </w:tabs>
              <w:rPr>
                <w:snapToGrid w:val="0"/>
                <w:sz w:val="22"/>
              </w:rPr>
            </w:pPr>
            <w:r>
              <w:rPr>
                <w:snapToGrid w:val="0"/>
                <w:sz w:val="22"/>
              </w:rPr>
              <w:t>(52)</w:t>
            </w:r>
          </w:p>
        </w:tc>
        <w:tc>
          <w:tcPr>
            <w:tcW w:w="284" w:type="dxa"/>
          </w:tcPr>
          <w:p w:rsidR="0096743B" w:rsidRPr="00F55B1C" w:rsidRDefault="0096743B" w:rsidP="00CD62E6">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(44)</w:t>
            </w:r>
          </w:p>
        </w:tc>
      </w:tr>
      <w:tr w:rsidR="0096743B" w:rsidRPr="00934F50" w:rsidTr="000E3304">
        <w:trPr>
          <w:trHeight w:val="247"/>
        </w:trPr>
        <w:tc>
          <w:tcPr>
            <w:tcW w:w="5670" w:type="dxa"/>
          </w:tcPr>
          <w:p w:rsidR="0096743B" w:rsidRPr="00F55B1C" w:rsidRDefault="0096743B" w:rsidP="00CD62E6">
            <w:pPr>
              <w:ind w:left="396" w:hanging="284"/>
              <w:jc w:val="right"/>
              <w:rPr>
                <w:snapToGrid w:val="0"/>
                <w:sz w:val="22"/>
              </w:rPr>
            </w:pPr>
          </w:p>
        </w:tc>
        <w:tc>
          <w:tcPr>
            <w:tcW w:w="1418" w:type="dxa"/>
            <w:tcBorders>
              <w:bottom w:val="single" w:sz="4" w:space="0" w:color="auto"/>
            </w:tcBorders>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 w:val="decimal" w:pos="962"/>
              </w:tabs>
              <w:rPr>
                <w:snapToGrid w:val="0"/>
                <w:sz w:val="22"/>
              </w:rPr>
            </w:pPr>
          </w:p>
        </w:tc>
        <w:tc>
          <w:tcPr>
            <w:tcW w:w="1559" w:type="dxa"/>
            <w:tcBorders>
              <w:bottom w:val="single" w:sz="4" w:space="0" w:color="auto"/>
            </w:tcBorders>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Total Income to the Fund</w:t>
            </w:r>
          </w:p>
        </w:tc>
        <w:tc>
          <w:tcPr>
            <w:tcW w:w="1418" w:type="dxa"/>
            <w:tcBorders>
              <w:top w:val="single" w:sz="4" w:space="0" w:color="auto"/>
            </w:tcBorders>
          </w:tcPr>
          <w:p w:rsidR="0096743B" w:rsidRPr="00F55B1C" w:rsidRDefault="004535FC" w:rsidP="003919D9">
            <w:pPr>
              <w:tabs>
                <w:tab w:val="decimal" w:pos="1104"/>
              </w:tabs>
              <w:rPr>
                <w:b/>
                <w:snapToGrid w:val="0"/>
                <w:sz w:val="22"/>
              </w:rPr>
            </w:pPr>
            <w:r>
              <w:rPr>
                <w:b/>
                <w:snapToGrid w:val="0"/>
                <w:sz w:val="22"/>
              </w:rPr>
              <w:t>(6,846)</w:t>
            </w:r>
          </w:p>
        </w:tc>
        <w:tc>
          <w:tcPr>
            <w:tcW w:w="284" w:type="dxa"/>
          </w:tcPr>
          <w:p w:rsidR="0096743B" w:rsidRPr="00F55B1C" w:rsidRDefault="0096743B" w:rsidP="00923876">
            <w:pPr>
              <w:tabs>
                <w:tab w:val="decimal" w:pos="821"/>
              </w:tabs>
              <w:rPr>
                <w:b/>
                <w:snapToGrid w:val="0"/>
                <w:sz w:val="22"/>
              </w:rPr>
            </w:pPr>
          </w:p>
        </w:tc>
        <w:tc>
          <w:tcPr>
            <w:tcW w:w="1559" w:type="dxa"/>
            <w:tcBorders>
              <w:top w:val="single" w:sz="4" w:space="0" w:color="auto"/>
            </w:tcBorders>
          </w:tcPr>
          <w:p w:rsidR="0096743B" w:rsidRPr="00F55B1C" w:rsidRDefault="0096743B" w:rsidP="0096743B">
            <w:pPr>
              <w:tabs>
                <w:tab w:val="decimal" w:pos="1104"/>
              </w:tabs>
              <w:rPr>
                <w:b/>
                <w:snapToGrid w:val="0"/>
                <w:sz w:val="22"/>
              </w:rPr>
            </w:pPr>
            <w:r>
              <w:rPr>
                <w:b/>
                <w:snapToGrid w:val="0"/>
                <w:sz w:val="22"/>
              </w:rPr>
              <w:t>(7,027)</w:t>
            </w:r>
          </w:p>
        </w:tc>
      </w:tr>
      <w:tr w:rsidR="0096743B" w:rsidRPr="00934F50" w:rsidTr="000E3304">
        <w:trPr>
          <w:trHeight w:val="247"/>
        </w:trPr>
        <w:tc>
          <w:tcPr>
            <w:tcW w:w="5670" w:type="dxa"/>
          </w:tcPr>
          <w:p w:rsidR="0096743B" w:rsidRPr="00F55B1C" w:rsidRDefault="0096743B" w:rsidP="00CD62E6">
            <w:pPr>
              <w:ind w:left="396" w:hanging="284"/>
              <w:jc w:val="right"/>
              <w:rPr>
                <w:snapToGrid w:val="0"/>
                <w:sz w:val="22"/>
              </w:rPr>
            </w:pPr>
          </w:p>
        </w:tc>
        <w:tc>
          <w:tcPr>
            <w:tcW w:w="1418" w:type="dxa"/>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 w:val="decimal" w:pos="962"/>
              </w:tabs>
              <w:rPr>
                <w:snapToGrid w:val="0"/>
                <w:sz w:val="22"/>
              </w:rPr>
            </w:pPr>
          </w:p>
        </w:tc>
        <w:tc>
          <w:tcPr>
            <w:tcW w:w="1559" w:type="dxa"/>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Spending by the fund</w:t>
            </w:r>
          </w:p>
        </w:tc>
        <w:tc>
          <w:tcPr>
            <w:tcW w:w="1418" w:type="dxa"/>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 w:val="decimal" w:pos="962"/>
              </w:tabs>
              <w:rPr>
                <w:snapToGrid w:val="0"/>
                <w:sz w:val="22"/>
              </w:rPr>
            </w:pPr>
          </w:p>
        </w:tc>
        <w:tc>
          <w:tcPr>
            <w:tcW w:w="1559" w:type="dxa"/>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Benefits payable:</w:t>
            </w:r>
          </w:p>
        </w:tc>
        <w:tc>
          <w:tcPr>
            <w:tcW w:w="1418" w:type="dxa"/>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 w:val="decimal" w:pos="962"/>
              </w:tabs>
              <w:rPr>
                <w:snapToGrid w:val="0"/>
                <w:sz w:val="22"/>
              </w:rPr>
            </w:pPr>
          </w:p>
        </w:tc>
        <w:tc>
          <w:tcPr>
            <w:tcW w:w="1559" w:type="dxa"/>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882E25">
            <w:pPr>
              <w:pStyle w:val="ListParagraph"/>
              <w:numPr>
                <w:ilvl w:val="0"/>
                <w:numId w:val="30"/>
              </w:numPr>
              <w:rPr>
                <w:snapToGrid w:val="0"/>
                <w:sz w:val="22"/>
              </w:rPr>
            </w:pPr>
            <w:r w:rsidRPr="00F55B1C">
              <w:rPr>
                <w:snapToGrid w:val="0"/>
                <w:sz w:val="22"/>
              </w:rPr>
              <w:t>Pension payments</w:t>
            </w:r>
          </w:p>
        </w:tc>
        <w:tc>
          <w:tcPr>
            <w:tcW w:w="1418" w:type="dxa"/>
          </w:tcPr>
          <w:p w:rsidR="0096743B" w:rsidRPr="00F55B1C" w:rsidRDefault="004535FC" w:rsidP="003919D9">
            <w:pPr>
              <w:tabs>
                <w:tab w:val="decimal" w:pos="1104"/>
              </w:tabs>
              <w:rPr>
                <w:snapToGrid w:val="0"/>
                <w:sz w:val="22"/>
              </w:rPr>
            </w:pPr>
            <w:r>
              <w:rPr>
                <w:snapToGrid w:val="0"/>
                <w:sz w:val="22"/>
              </w:rPr>
              <w:t>18,446</w:t>
            </w:r>
          </w:p>
        </w:tc>
        <w:tc>
          <w:tcPr>
            <w:tcW w:w="284" w:type="dxa"/>
          </w:tcPr>
          <w:p w:rsidR="0096743B" w:rsidRPr="00F55B1C" w:rsidRDefault="0096743B" w:rsidP="00923876">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17,915</w:t>
            </w:r>
          </w:p>
        </w:tc>
      </w:tr>
      <w:tr w:rsidR="0096743B" w:rsidRPr="00934F50" w:rsidTr="000E3304">
        <w:trPr>
          <w:trHeight w:val="247"/>
        </w:trPr>
        <w:tc>
          <w:tcPr>
            <w:tcW w:w="5670" w:type="dxa"/>
          </w:tcPr>
          <w:p w:rsidR="0096743B" w:rsidRPr="00F55B1C" w:rsidRDefault="0096743B" w:rsidP="00882E25">
            <w:pPr>
              <w:pStyle w:val="ListParagraph"/>
              <w:numPr>
                <w:ilvl w:val="0"/>
                <w:numId w:val="30"/>
              </w:numPr>
              <w:rPr>
                <w:snapToGrid w:val="0"/>
                <w:sz w:val="22"/>
              </w:rPr>
            </w:pPr>
            <w:r w:rsidRPr="00F55B1C">
              <w:rPr>
                <w:snapToGrid w:val="0"/>
                <w:sz w:val="22"/>
              </w:rPr>
              <w:t>Commutations of pensions and lump-sum retirement benefits</w:t>
            </w:r>
          </w:p>
        </w:tc>
        <w:tc>
          <w:tcPr>
            <w:tcW w:w="1418" w:type="dxa"/>
          </w:tcPr>
          <w:p w:rsidR="0096743B" w:rsidRPr="00F55B1C" w:rsidRDefault="004535FC" w:rsidP="003919D9">
            <w:pPr>
              <w:tabs>
                <w:tab w:val="decimal" w:pos="1104"/>
              </w:tabs>
              <w:rPr>
                <w:snapToGrid w:val="0"/>
                <w:sz w:val="22"/>
              </w:rPr>
            </w:pPr>
            <w:r>
              <w:rPr>
                <w:snapToGrid w:val="0"/>
                <w:sz w:val="22"/>
              </w:rPr>
              <w:t>3,593</w:t>
            </w:r>
          </w:p>
        </w:tc>
        <w:tc>
          <w:tcPr>
            <w:tcW w:w="284" w:type="dxa"/>
          </w:tcPr>
          <w:p w:rsidR="0096743B" w:rsidRPr="00F55B1C" w:rsidRDefault="0096743B" w:rsidP="002356CB">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4,937</w:t>
            </w: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Transfers out:</w:t>
            </w:r>
          </w:p>
        </w:tc>
        <w:tc>
          <w:tcPr>
            <w:tcW w:w="1418" w:type="dxa"/>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p>
        </w:tc>
      </w:tr>
      <w:tr w:rsidR="0096743B" w:rsidRPr="00934F50" w:rsidTr="003919D9">
        <w:trPr>
          <w:trHeight w:val="381"/>
        </w:trPr>
        <w:tc>
          <w:tcPr>
            <w:tcW w:w="5670" w:type="dxa"/>
          </w:tcPr>
          <w:p w:rsidR="0096743B" w:rsidRPr="00F55B1C" w:rsidRDefault="0096743B" w:rsidP="00882E25">
            <w:pPr>
              <w:pStyle w:val="ListParagraph"/>
              <w:numPr>
                <w:ilvl w:val="0"/>
                <w:numId w:val="29"/>
              </w:numPr>
              <w:rPr>
                <w:snapToGrid w:val="0"/>
                <w:sz w:val="22"/>
              </w:rPr>
            </w:pPr>
            <w:r w:rsidRPr="00F55B1C">
              <w:rPr>
                <w:snapToGrid w:val="0"/>
                <w:sz w:val="22"/>
              </w:rPr>
              <w:t>Individual transfers out to other schemes</w:t>
            </w:r>
          </w:p>
        </w:tc>
        <w:tc>
          <w:tcPr>
            <w:tcW w:w="1418" w:type="dxa"/>
          </w:tcPr>
          <w:p w:rsidR="0096743B" w:rsidRPr="00F55B1C" w:rsidRDefault="004535FC" w:rsidP="003919D9">
            <w:pPr>
              <w:tabs>
                <w:tab w:val="decimal" w:pos="1104"/>
              </w:tabs>
              <w:rPr>
                <w:snapToGrid w:val="0"/>
                <w:sz w:val="22"/>
              </w:rPr>
            </w:pPr>
            <w:r>
              <w:rPr>
                <w:snapToGrid w:val="0"/>
                <w:sz w:val="22"/>
              </w:rPr>
              <w:t>-</w:t>
            </w:r>
          </w:p>
        </w:tc>
        <w:tc>
          <w:tcPr>
            <w:tcW w:w="284" w:type="dxa"/>
          </w:tcPr>
          <w:p w:rsidR="0096743B" w:rsidRPr="00F55B1C" w:rsidRDefault="0096743B" w:rsidP="00CD62E6">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w:t>
            </w:r>
          </w:p>
        </w:tc>
      </w:tr>
      <w:tr w:rsidR="0096743B" w:rsidRPr="00934F50" w:rsidTr="000E3304">
        <w:trPr>
          <w:trHeight w:val="247"/>
        </w:trPr>
        <w:tc>
          <w:tcPr>
            <w:tcW w:w="5670" w:type="dxa"/>
          </w:tcPr>
          <w:p w:rsidR="0096743B" w:rsidRPr="00F55B1C" w:rsidRDefault="0096743B" w:rsidP="00882E25">
            <w:pPr>
              <w:pStyle w:val="ListParagraph"/>
              <w:numPr>
                <w:ilvl w:val="0"/>
                <w:numId w:val="29"/>
              </w:numPr>
              <w:rPr>
                <w:snapToGrid w:val="0"/>
                <w:sz w:val="22"/>
              </w:rPr>
            </w:pPr>
            <w:r w:rsidRPr="00F55B1C">
              <w:rPr>
                <w:snapToGrid w:val="0"/>
                <w:sz w:val="22"/>
              </w:rPr>
              <w:t>Refunds of contributions</w:t>
            </w:r>
          </w:p>
        </w:tc>
        <w:tc>
          <w:tcPr>
            <w:tcW w:w="1418" w:type="dxa"/>
          </w:tcPr>
          <w:p w:rsidR="0096743B" w:rsidRPr="00F55B1C" w:rsidRDefault="004535FC" w:rsidP="003919D9">
            <w:pPr>
              <w:tabs>
                <w:tab w:val="decimal" w:pos="1104"/>
              </w:tabs>
              <w:rPr>
                <w:snapToGrid w:val="0"/>
                <w:sz w:val="22"/>
              </w:rPr>
            </w:pPr>
            <w:r>
              <w:rPr>
                <w:snapToGrid w:val="0"/>
                <w:sz w:val="22"/>
              </w:rPr>
              <w:t>2</w:t>
            </w:r>
          </w:p>
        </w:tc>
        <w:tc>
          <w:tcPr>
            <w:tcW w:w="284" w:type="dxa"/>
          </w:tcPr>
          <w:p w:rsidR="0096743B" w:rsidRPr="00F55B1C" w:rsidRDefault="0096743B" w:rsidP="00CD62E6">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447</w:t>
            </w:r>
          </w:p>
        </w:tc>
      </w:tr>
      <w:tr w:rsidR="0096743B" w:rsidRPr="00934F50" w:rsidTr="000E3304">
        <w:trPr>
          <w:trHeight w:val="247"/>
        </w:trPr>
        <w:tc>
          <w:tcPr>
            <w:tcW w:w="5670" w:type="dxa"/>
          </w:tcPr>
          <w:p w:rsidR="0096743B" w:rsidRPr="00F55B1C" w:rsidRDefault="0096743B" w:rsidP="00CD62E6">
            <w:pPr>
              <w:ind w:left="396" w:hanging="284"/>
              <w:jc w:val="right"/>
              <w:rPr>
                <w:snapToGrid w:val="0"/>
                <w:sz w:val="22"/>
              </w:rPr>
            </w:pPr>
          </w:p>
        </w:tc>
        <w:tc>
          <w:tcPr>
            <w:tcW w:w="1418" w:type="dxa"/>
            <w:tcBorders>
              <w:bottom w:val="single" w:sz="4" w:space="0" w:color="auto"/>
            </w:tcBorders>
          </w:tcPr>
          <w:p w:rsidR="0096743B" w:rsidRPr="00F55B1C" w:rsidRDefault="0096743B" w:rsidP="003919D9">
            <w:pPr>
              <w:tabs>
                <w:tab w:val="decimal" w:pos="1104"/>
              </w:tabs>
              <w:rPr>
                <w:snapToGrid w:val="0"/>
                <w:sz w:val="22"/>
              </w:rPr>
            </w:pPr>
          </w:p>
        </w:tc>
        <w:tc>
          <w:tcPr>
            <w:tcW w:w="284" w:type="dxa"/>
          </w:tcPr>
          <w:p w:rsidR="0096743B" w:rsidRPr="00F55B1C" w:rsidRDefault="0096743B" w:rsidP="00CD62E6">
            <w:pPr>
              <w:tabs>
                <w:tab w:val="decimal" w:pos="821"/>
              </w:tabs>
              <w:rPr>
                <w:snapToGrid w:val="0"/>
                <w:sz w:val="22"/>
              </w:rPr>
            </w:pPr>
          </w:p>
        </w:tc>
        <w:tc>
          <w:tcPr>
            <w:tcW w:w="1559" w:type="dxa"/>
            <w:tcBorders>
              <w:bottom w:val="single" w:sz="4" w:space="0" w:color="auto"/>
            </w:tcBorders>
          </w:tcPr>
          <w:p w:rsidR="0096743B" w:rsidRPr="00F55B1C" w:rsidRDefault="0096743B" w:rsidP="0096743B">
            <w:pPr>
              <w:tabs>
                <w:tab w:val="decimal" w:pos="1104"/>
              </w:tabs>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Total Spending by the fund</w:t>
            </w:r>
          </w:p>
        </w:tc>
        <w:tc>
          <w:tcPr>
            <w:tcW w:w="1418" w:type="dxa"/>
            <w:tcBorders>
              <w:top w:val="single" w:sz="4" w:space="0" w:color="auto"/>
            </w:tcBorders>
          </w:tcPr>
          <w:p w:rsidR="0096743B" w:rsidRPr="00F55B1C" w:rsidRDefault="004535FC" w:rsidP="003919D9">
            <w:pPr>
              <w:tabs>
                <w:tab w:val="decimal" w:pos="1104"/>
              </w:tabs>
              <w:rPr>
                <w:b/>
                <w:snapToGrid w:val="0"/>
                <w:sz w:val="22"/>
              </w:rPr>
            </w:pPr>
            <w:r>
              <w:rPr>
                <w:b/>
                <w:snapToGrid w:val="0"/>
                <w:sz w:val="22"/>
              </w:rPr>
              <w:t>22,041</w:t>
            </w:r>
          </w:p>
        </w:tc>
        <w:tc>
          <w:tcPr>
            <w:tcW w:w="284" w:type="dxa"/>
          </w:tcPr>
          <w:p w:rsidR="0096743B" w:rsidRPr="00F55B1C" w:rsidRDefault="0096743B" w:rsidP="00752431">
            <w:pPr>
              <w:tabs>
                <w:tab w:val="decimal" w:pos="821"/>
              </w:tabs>
              <w:rPr>
                <w:b/>
                <w:snapToGrid w:val="0"/>
                <w:sz w:val="22"/>
              </w:rPr>
            </w:pPr>
          </w:p>
        </w:tc>
        <w:tc>
          <w:tcPr>
            <w:tcW w:w="1559" w:type="dxa"/>
            <w:tcBorders>
              <w:top w:val="single" w:sz="4" w:space="0" w:color="auto"/>
            </w:tcBorders>
          </w:tcPr>
          <w:p w:rsidR="0096743B" w:rsidRPr="00F55B1C" w:rsidRDefault="0096743B" w:rsidP="0096743B">
            <w:pPr>
              <w:tabs>
                <w:tab w:val="decimal" w:pos="1104"/>
              </w:tabs>
              <w:rPr>
                <w:b/>
                <w:snapToGrid w:val="0"/>
                <w:sz w:val="22"/>
              </w:rPr>
            </w:pPr>
            <w:r>
              <w:rPr>
                <w:b/>
                <w:snapToGrid w:val="0"/>
                <w:sz w:val="22"/>
              </w:rPr>
              <w:t>23,299</w:t>
            </w:r>
          </w:p>
        </w:tc>
      </w:tr>
      <w:tr w:rsidR="0096743B" w:rsidRPr="00934F50" w:rsidTr="000E3304">
        <w:trPr>
          <w:trHeight w:val="247"/>
        </w:trPr>
        <w:tc>
          <w:tcPr>
            <w:tcW w:w="5670" w:type="dxa"/>
          </w:tcPr>
          <w:p w:rsidR="0096743B" w:rsidRPr="00F55B1C" w:rsidRDefault="0096743B" w:rsidP="00CD62E6">
            <w:pPr>
              <w:ind w:left="396" w:hanging="284"/>
              <w:jc w:val="right"/>
              <w:rPr>
                <w:snapToGrid w:val="0"/>
                <w:sz w:val="22"/>
              </w:rPr>
            </w:pPr>
          </w:p>
        </w:tc>
        <w:tc>
          <w:tcPr>
            <w:tcW w:w="1418" w:type="dxa"/>
          </w:tcPr>
          <w:p w:rsidR="0096743B" w:rsidRPr="00F55B1C" w:rsidRDefault="0096743B" w:rsidP="003919D9">
            <w:pPr>
              <w:tabs>
                <w:tab w:val="decimal" w:pos="1104"/>
              </w:tabs>
              <w:rPr>
                <w:b/>
                <w:snapToGrid w:val="0"/>
                <w:sz w:val="22"/>
              </w:rPr>
            </w:pPr>
          </w:p>
        </w:tc>
        <w:tc>
          <w:tcPr>
            <w:tcW w:w="284" w:type="dxa"/>
          </w:tcPr>
          <w:p w:rsidR="0096743B" w:rsidRPr="00F55B1C" w:rsidRDefault="0096743B" w:rsidP="00CD62E6">
            <w:pPr>
              <w:tabs>
                <w:tab w:val="decimal" w:pos="821"/>
              </w:tabs>
              <w:rPr>
                <w:b/>
                <w:snapToGrid w:val="0"/>
                <w:sz w:val="22"/>
              </w:rPr>
            </w:pPr>
          </w:p>
        </w:tc>
        <w:tc>
          <w:tcPr>
            <w:tcW w:w="1559" w:type="dxa"/>
          </w:tcPr>
          <w:p w:rsidR="0096743B" w:rsidRPr="00F55B1C" w:rsidRDefault="0096743B" w:rsidP="0096743B">
            <w:pPr>
              <w:tabs>
                <w:tab w:val="decimal" w:pos="1104"/>
              </w:tabs>
              <w:rPr>
                <w:b/>
                <w:snapToGrid w:val="0"/>
                <w:sz w:val="22"/>
              </w:rPr>
            </w:pPr>
          </w:p>
        </w:tc>
      </w:tr>
      <w:tr w:rsidR="0096743B" w:rsidRPr="00934F50" w:rsidTr="000E3304">
        <w:trPr>
          <w:trHeight w:val="494"/>
        </w:trPr>
        <w:tc>
          <w:tcPr>
            <w:tcW w:w="5670" w:type="dxa"/>
          </w:tcPr>
          <w:p w:rsidR="0096743B" w:rsidRPr="00F55B1C" w:rsidRDefault="0096743B" w:rsidP="00CD62E6">
            <w:pPr>
              <w:ind w:left="396" w:hanging="284"/>
              <w:rPr>
                <w:b/>
                <w:snapToGrid w:val="0"/>
                <w:sz w:val="22"/>
              </w:rPr>
            </w:pPr>
            <w:r w:rsidRPr="00F55B1C">
              <w:rPr>
                <w:b/>
                <w:snapToGrid w:val="0"/>
                <w:sz w:val="22"/>
              </w:rPr>
              <w:t>Net amount receivable for the year before top up grant receivable from central government</w:t>
            </w:r>
          </w:p>
        </w:tc>
        <w:tc>
          <w:tcPr>
            <w:tcW w:w="1418" w:type="dxa"/>
          </w:tcPr>
          <w:p w:rsidR="0096743B" w:rsidRPr="00F55B1C" w:rsidRDefault="004535FC" w:rsidP="003919D9">
            <w:pPr>
              <w:tabs>
                <w:tab w:val="decimal" w:pos="1104"/>
              </w:tabs>
              <w:rPr>
                <w:b/>
                <w:snapToGrid w:val="0"/>
                <w:sz w:val="22"/>
              </w:rPr>
            </w:pPr>
            <w:r>
              <w:rPr>
                <w:b/>
                <w:snapToGrid w:val="0"/>
                <w:sz w:val="22"/>
              </w:rPr>
              <w:t>15,195</w:t>
            </w:r>
          </w:p>
        </w:tc>
        <w:tc>
          <w:tcPr>
            <w:tcW w:w="284" w:type="dxa"/>
          </w:tcPr>
          <w:p w:rsidR="0096743B" w:rsidRPr="00F55B1C" w:rsidRDefault="0096743B" w:rsidP="00752431">
            <w:pPr>
              <w:tabs>
                <w:tab w:val="decimal" w:pos="821"/>
              </w:tabs>
              <w:rPr>
                <w:b/>
                <w:snapToGrid w:val="0"/>
                <w:sz w:val="22"/>
              </w:rPr>
            </w:pPr>
          </w:p>
        </w:tc>
        <w:tc>
          <w:tcPr>
            <w:tcW w:w="1559" w:type="dxa"/>
          </w:tcPr>
          <w:p w:rsidR="0096743B" w:rsidRPr="00F55B1C" w:rsidRDefault="0096743B" w:rsidP="0096743B">
            <w:pPr>
              <w:tabs>
                <w:tab w:val="decimal" w:pos="1104"/>
              </w:tabs>
              <w:rPr>
                <w:b/>
                <w:snapToGrid w:val="0"/>
                <w:sz w:val="22"/>
              </w:rPr>
            </w:pPr>
            <w:r>
              <w:rPr>
                <w:b/>
                <w:snapToGrid w:val="0"/>
                <w:sz w:val="22"/>
              </w:rPr>
              <w:t>16,272</w:t>
            </w:r>
          </w:p>
        </w:tc>
      </w:tr>
      <w:tr w:rsidR="000E3304" w:rsidRPr="00934F50" w:rsidTr="000E3304">
        <w:trPr>
          <w:trHeight w:val="247"/>
        </w:trPr>
        <w:tc>
          <w:tcPr>
            <w:tcW w:w="5670" w:type="dxa"/>
          </w:tcPr>
          <w:p w:rsidR="000E3304" w:rsidRPr="00F55B1C" w:rsidRDefault="000E3304" w:rsidP="00CD62E6">
            <w:pPr>
              <w:ind w:left="396" w:hanging="284"/>
              <w:jc w:val="right"/>
              <w:rPr>
                <w:snapToGrid w:val="0"/>
                <w:sz w:val="22"/>
              </w:rPr>
            </w:pPr>
          </w:p>
        </w:tc>
        <w:tc>
          <w:tcPr>
            <w:tcW w:w="1418" w:type="dxa"/>
          </w:tcPr>
          <w:p w:rsidR="000E3304" w:rsidRPr="00F55B1C" w:rsidRDefault="000E3304" w:rsidP="003919D9">
            <w:pPr>
              <w:tabs>
                <w:tab w:val="decimal" w:pos="1104"/>
              </w:tabs>
              <w:rPr>
                <w:snapToGrid w:val="0"/>
                <w:sz w:val="22"/>
              </w:rPr>
            </w:pPr>
          </w:p>
        </w:tc>
        <w:tc>
          <w:tcPr>
            <w:tcW w:w="284" w:type="dxa"/>
          </w:tcPr>
          <w:p w:rsidR="000E3304" w:rsidRPr="00F55B1C" w:rsidRDefault="000E3304" w:rsidP="00CD62E6">
            <w:pPr>
              <w:tabs>
                <w:tab w:val="decimal" w:pos="821"/>
                <w:tab w:val="decimal" w:pos="962"/>
              </w:tabs>
              <w:rPr>
                <w:snapToGrid w:val="0"/>
                <w:sz w:val="22"/>
              </w:rPr>
            </w:pPr>
          </w:p>
        </w:tc>
        <w:tc>
          <w:tcPr>
            <w:tcW w:w="1559" w:type="dxa"/>
          </w:tcPr>
          <w:p w:rsidR="000E3304" w:rsidRPr="00F55B1C" w:rsidRDefault="000E3304" w:rsidP="000E3304">
            <w:pPr>
              <w:tabs>
                <w:tab w:val="decimal" w:pos="962"/>
                <w:tab w:val="decimal" w:pos="1103"/>
              </w:tabs>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snapToGrid w:val="0"/>
                <w:sz w:val="22"/>
              </w:rPr>
            </w:pPr>
            <w:r w:rsidRPr="00F55B1C">
              <w:rPr>
                <w:snapToGrid w:val="0"/>
                <w:sz w:val="22"/>
              </w:rPr>
              <w:t>Top up grant receivable from central government</w:t>
            </w:r>
          </w:p>
        </w:tc>
        <w:tc>
          <w:tcPr>
            <w:tcW w:w="1418" w:type="dxa"/>
          </w:tcPr>
          <w:p w:rsidR="0096743B" w:rsidRPr="00F55B1C" w:rsidRDefault="004535FC" w:rsidP="003919D9">
            <w:pPr>
              <w:tabs>
                <w:tab w:val="decimal" w:pos="1104"/>
              </w:tabs>
              <w:rPr>
                <w:snapToGrid w:val="0"/>
                <w:sz w:val="22"/>
              </w:rPr>
            </w:pPr>
            <w:r>
              <w:rPr>
                <w:snapToGrid w:val="0"/>
                <w:sz w:val="22"/>
              </w:rPr>
              <w:t>(15,195)</w:t>
            </w:r>
          </w:p>
        </w:tc>
        <w:tc>
          <w:tcPr>
            <w:tcW w:w="284" w:type="dxa"/>
          </w:tcPr>
          <w:p w:rsidR="0096743B" w:rsidRPr="00F55B1C" w:rsidRDefault="0096743B" w:rsidP="00752431">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(16,272)</w:t>
            </w:r>
          </w:p>
        </w:tc>
      </w:tr>
      <w:tr w:rsidR="000E3304" w:rsidRPr="00934F50" w:rsidTr="000E3304">
        <w:trPr>
          <w:trHeight w:val="247"/>
        </w:trPr>
        <w:tc>
          <w:tcPr>
            <w:tcW w:w="5670" w:type="dxa"/>
          </w:tcPr>
          <w:p w:rsidR="000E3304" w:rsidRPr="00F55B1C" w:rsidRDefault="000E3304" w:rsidP="00CD62E6">
            <w:pPr>
              <w:ind w:left="396" w:hanging="284"/>
              <w:jc w:val="right"/>
              <w:rPr>
                <w:snapToGrid w:val="0"/>
                <w:sz w:val="22"/>
              </w:rPr>
            </w:pPr>
          </w:p>
        </w:tc>
        <w:tc>
          <w:tcPr>
            <w:tcW w:w="1418" w:type="dxa"/>
            <w:tcBorders>
              <w:bottom w:val="single" w:sz="4" w:space="0" w:color="auto"/>
            </w:tcBorders>
          </w:tcPr>
          <w:p w:rsidR="000E3304" w:rsidRPr="00F55B1C" w:rsidRDefault="000E3304" w:rsidP="003919D9">
            <w:pPr>
              <w:tabs>
                <w:tab w:val="decimal" w:pos="1104"/>
              </w:tabs>
              <w:rPr>
                <w:snapToGrid w:val="0"/>
                <w:sz w:val="22"/>
              </w:rPr>
            </w:pPr>
          </w:p>
        </w:tc>
        <w:tc>
          <w:tcPr>
            <w:tcW w:w="284" w:type="dxa"/>
          </w:tcPr>
          <w:p w:rsidR="000E3304" w:rsidRPr="00F55B1C" w:rsidRDefault="000E3304" w:rsidP="00CD62E6">
            <w:pPr>
              <w:tabs>
                <w:tab w:val="decimal" w:pos="821"/>
              </w:tabs>
              <w:rPr>
                <w:snapToGrid w:val="0"/>
                <w:sz w:val="22"/>
              </w:rPr>
            </w:pPr>
          </w:p>
        </w:tc>
        <w:tc>
          <w:tcPr>
            <w:tcW w:w="1559" w:type="dxa"/>
            <w:tcBorders>
              <w:bottom w:val="single" w:sz="4" w:space="0" w:color="auto"/>
            </w:tcBorders>
          </w:tcPr>
          <w:p w:rsidR="000E3304" w:rsidRPr="00F55B1C" w:rsidRDefault="000E3304" w:rsidP="000E3304">
            <w:pPr>
              <w:tabs>
                <w:tab w:val="decimal" w:pos="1103"/>
              </w:tabs>
              <w:rPr>
                <w:snapToGrid w:val="0"/>
                <w:sz w:val="22"/>
              </w:rPr>
            </w:pPr>
          </w:p>
        </w:tc>
      </w:tr>
      <w:tr w:rsidR="000E3304" w:rsidRPr="00934F50" w:rsidTr="000E3304">
        <w:trPr>
          <w:trHeight w:val="247"/>
        </w:trPr>
        <w:tc>
          <w:tcPr>
            <w:tcW w:w="5670" w:type="dxa"/>
          </w:tcPr>
          <w:p w:rsidR="000E3304" w:rsidRPr="00F55B1C" w:rsidRDefault="000E3304" w:rsidP="00CD62E6">
            <w:pPr>
              <w:ind w:left="396" w:hanging="284"/>
              <w:rPr>
                <w:b/>
                <w:snapToGrid w:val="0"/>
                <w:sz w:val="22"/>
              </w:rPr>
            </w:pPr>
            <w:r w:rsidRPr="00F55B1C">
              <w:rPr>
                <w:b/>
                <w:snapToGrid w:val="0"/>
                <w:sz w:val="22"/>
              </w:rPr>
              <w:t>Net amount receivable for the year</w:t>
            </w:r>
          </w:p>
        </w:tc>
        <w:tc>
          <w:tcPr>
            <w:tcW w:w="1418" w:type="dxa"/>
            <w:tcBorders>
              <w:top w:val="single" w:sz="4" w:space="0" w:color="auto"/>
              <w:bottom w:val="double" w:sz="4" w:space="0" w:color="auto"/>
            </w:tcBorders>
          </w:tcPr>
          <w:p w:rsidR="000E3304" w:rsidRPr="00F55B1C" w:rsidRDefault="000E3304" w:rsidP="003919D9">
            <w:pPr>
              <w:tabs>
                <w:tab w:val="decimal" w:pos="1104"/>
              </w:tabs>
              <w:rPr>
                <w:b/>
                <w:snapToGrid w:val="0"/>
                <w:sz w:val="22"/>
              </w:rPr>
            </w:pPr>
            <w:r w:rsidRPr="00F55B1C">
              <w:rPr>
                <w:b/>
                <w:snapToGrid w:val="0"/>
                <w:sz w:val="22"/>
              </w:rPr>
              <w:t>-</w:t>
            </w:r>
          </w:p>
        </w:tc>
        <w:tc>
          <w:tcPr>
            <w:tcW w:w="284" w:type="dxa"/>
          </w:tcPr>
          <w:p w:rsidR="000E3304" w:rsidRPr="00F55B1C" w:rsidRDefault="000E3304" w:rsidP="00CD62E6">
            <w:pPr>
              <w:tabs>
                <w:tab w:val="decimal" w:pos="821"/>
              </w:tabs>
              <w:rPr>
                <w:b/>
                <w:snapToGrid w:val="0"/>
                <w:sz w:val="22"/>
              </w:rPr>
            </w:pPr>
          </w:p>
        </w:tc>
        <w:tc>
          <w:tcPr>
            <w:tcW w:w="1559" w:type="dxa"/>
            <w:tcBorders>
              <w:top w:val="single" w:sz="4" w:space="0" w:color="auto"/>
              <w:bottom w:val="double" w:sz="4" w:space="0" w:color="auto"/>
            </w:tcBorders>
          </w:tcPr>
          <w:p w:rsidR="000E3304" w:rsidRPr="00F55B1C" w:rsidRDefault="000E3304" w:rsidP="000E3304">
            <w:pPr>
              <w:tabs>
                <w:tab w:val="decimal" w:pos="1103"/>
              </w:tabs>
              <w:rPr>
                <w:b/>
                <w:snapToGrid w:val="0"/>
                <w:sz w:val="22"/>
              </w:rPr>
            </w:pPr>
            <w:r w:rsidRPr="00F55B1C">
              <w:rPr>
                <w:b/>
                <w:snapToGrid w:val="0"/>
                <w:sz w:val="22"/>
              </w:rPr>
              <w:t>-</w:t>
            </w:r>
          </w:p>
        </w:tc>
      </w:tr>
      <w:tr w:rsidR="000E3304" w:rsidRPr="00934F50" w:rsidTr="000E3304">
        <w:trPr>
          <w:trHeight w:val="247"/>
        </w:trPr>
        <w:tc>
          <w:tcPr>
            <w:tcW w:w="5670" w:type="dxa"/>
          </w:tcPr>
          <w:p w:rsidR="000E3304" w:rsidRPr="00F55B1C" w:rsidRDefault="000E3304" w:rsidP="00CD62E6">
            <w:pPr>
              <w:ind w:left="396" w:hanging="284"/>
              <w:jc w:val="right"/>
              <w:rPr>
                <w:snapToGrid w:val="0"/>
                <w:sz w:val="22"/>
              </w:rPr>
            </w:pPr>
          </w:p>
        </w:tc>
        <w:tc>
          <w:tcPr>
            <w:tcW w:w="1418" w:type="dxa"/>
            <w:tcBorders>
              <w:top w:val="double" w:sz="4" w:space="0" w:color="auto"/>
            </w:tcBorders>
          </w:tcPr>
          <w:p w:rsidR="000E3304" w:rsidRPr="00F55B1C" w:rsidRDefault="000E3304" w:rsidP="00CD62E6">
            <w:pPr>
              <w:tabs>
                <w:tab w:val="decimal" w:pos="821"/>
              </w:tabs>
              <w:jc w:val="right"/>
              <w:rPr>
                <w:snapToGrid w:val="0"/>
                <w:sz w:val="22"/>
              </w:rPr>
            </w:pPr>
          </w:p>
        </w:tc>
        <w:tc>
          <w:tcPr>
            <w:tcW w:w="284" w:type="dxa"/>
          </w:tcPr>
          <w:p w:rsidR="000E3304" w:rsidRPr="00F55B1C" w:rsidRDefault="000E3304" w:rsidP="00CD62E6">
            <w:pPr>
              <w:tabs>
                <w:tab w:val="decimal" w:pos="821"/>
              </w:tabs>
              <w:jc w:val="right"/>
              <w:rPr>
                <w:snapToGrid w:val="0"/>
                <w:sz w:val="22"/>
              </w:rPr>
            </w:pPr>
          </w:p>
        </w:tc>
        <w:tc>
          <w:tcPr>
            <w:tcW w:w="1559" w:type="dxa"/>
            <w:tcBorders>
              <w:top w:val="double" w:sz="4" w:space="0" w:color="auto"/>
            </w:tcBorders>
          </w:tcPr>
          <w:p w:rsidR="000E3304" w:rsidRPr="00F55B1C" w:rsidRDefault="000E3304" w:rsidP="00CD62E6">
            <w:pPr>
              <w:tabs>
                <w:tab w:val="decimal" w:pos="821"/>
              </w:tabs>
              <w:jc w:val="right"/>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b/>
                <w:snapToGrid w:val="0"/>
                <w:sz w:val="22"/>
              </w:rPr>
            </w:pPr>
            <w:r w:rsidRPr="00F55B1C">
              <w:rPr>
                <w:b/>
                <w:snapToGrid w:val="0"/>
                <w:sz w:val="22"/>
              </w:rPr>
              <w:t>Net Assets Statement</w:t>
            </w:r>
          </w:p>
        </w:tc>
        <w:tc>
          <w:tcPr>
            <w:tcW w:w="1418" w:type="dxa"/>
          </w:tcPr>
          <w:p w:rsidR="0096743B" w:rsidRPr="00F55B1C" w:rsidRDefault="0096743B" w:rsidP="0096743B">
            <w:pPr>
              <w:jc w:val="center"/>
              <w:rPr>
                <w:snapToGrid w:val="0"/>
                <w:sz w:val="22"/>
              </w:rPr>
            </w:pPr>
            <w:r w:rsidRPr="00F55B1C">
              <w:rPr>
                <w:snapToGrid w:val="0"/>
                <w:sz w:val="22"/>
              </w:rPr>
              <w:t>201</w:t>
            </w:r>
            <w:r>
              <w:rPr>
                <w:snapToGrid w:val="0"/>
                <w:sz w:val="22"/>
              </w:rPr>
              <w:t>7</w:t>
            </w:r>
            <w:r w:rsidRPr="00F55B1C">
              <w:rPr>
                <w:snapToGrid w:val="0"/>
                <w:sz w:val="22"/>
              </w:rPr>
              <w:t>/1</w:t>
            </w:r>
            <w:r>
              <w:rPr>
                <w:snapToGrid w:val="0"/>
                <w:sz w:val="22"/>
              </w:rPr>
              <w:t>8</w:t>
            </w:r>
          </w:p>
        </w:tc>
        <w:tc>
          <w:tcPr>
            <w:tcW w:w="284" w:type="dxa"/>
          </w:tcPr>
          <w:p w:rsidR="0096743B" w:rsidRPr="00F55B1C" w:rsidRDefault="0096743B" w:rsidP="0096743B">
            <w:pPr>
              <w:jc w:val="center"/>
              <w:rPr>
                <w:sz w:val="22"/>
                <w:szCs w:val="22"/>
              </w:rPr>
            </w:pPr>
          </w:p>
        </w:tc>
        <w:tc>
          <w:tcPr>
            <w:tcW w:w="1559" w:type="dxa"/>
          </w:tcPr>
          <w:p w:rsidR="0096743B" w:rsidRPr="00F55B1C" w:rsidRDefault="0096743B" w:rsidP="0096743B">
            <w:pPr>
              <w:jc w:val="center"/>
              <w:rPr>
                <w:snapToGrid w:val="0"/>
                <w:sz w:val="22"/>
              </w:rPr>
            </w:pPr>
            <w:r w:rsidRPr="00F55B1C">
              <w:rPr>
                <w:snapToGrid w:val="0"/>
                <w:sz w:val="22"/>
              </w:rPr>
              <w:t>201</w:t>
            </w:r>
            <w:r>
              <w:rPr>
                <w:snapToGrid w:val="0"/>
                <w:sz w:val="22"/>
              </w:rPr>
              <w:t>6</w:t>
            </w:r>
            <w:r w:rsidRPr="00F55B1C">
              <w:rPr>
                <w:snapToGrid w:val="0"/>
                <w:sz w:val="22"/>
              </w:rPr>
              <w:t>/1</w:t>
            </w:r>
            <w:r>
              <w:rPr>
                <w:snapToGrid w:val="0"/>
                <w:sz w:val="22"/>
              </w:rPr>
              <w:t>7</w:t>
            </w:r>
          </w:p>
        </w:tc>
      </w:tr>
      <w:tr w:rsidR="000E3304" w:rsidRPr="00934F50" w:rsidTr="000E3304">
        <w:trPr>
          <w:trHeight w:val="247"/>
        </w:trPr>
        <w:tc>
          <w:tcPr>
            <w:tcW w:w="5670" w:type="dxa"/>
          </w:tcPr>
          <w:p w:rsidR="000E3304" w:rsidRPr="00F55B1C" w:rsidRDefault="000E3304" w:rsidP="00CD62E6">
            <w:pPr>
              <w:ind w:left="396" w:hanging="284"/>
              <w:jc w:val="right"/>
              <w:rPr>
                <w:b/>
                <w:snapToGrid w:val="0"/>
                <w:sz w:val="22"/>
              </w:rPr>
            </w:pPr>
          </w:p>
        </w:tc>
        <w:tc>
          <w:tcPr>
            <w:tcW w:w="1418" w:type="dxa"/>
          </w:tcPr>
          <w:p w:rsidR="000E3304" w:rsidRPr="00F55B1C" w:rsidRDefault="000E3304" w:rsidP="00836EC0">
            <w:pPr>
              <w:jc w:val="center"/>
              <w:rPr>
                <w:snapToGrid w:val="0"/>
                <w:sz w:val="22"/>
              </w:rPr>
            </w:pPr>
            <w:r w:rsidRPr="00F55B1C">
              <w:rPr>
                <w:snapToGrid w:val="0"/>
                <w:sz w:val="22"/>
              </w:rPr>
              <w:t>£000</w:t>
            </w:r>
          </w:p>
        </w:tc>
        <w:tc>
          <w:tcPr>
            <w:tcW w:w="284" w:type="dxa"/>
          </w:tcPr>
          <w:p w:rsidR="000E3304" w:rsidRPr="00F55B1C" w:rsidRDefault="000E3304" w:rsidP="00836EC0">
            <w:pPr>
              <w:jc w:val="center"/>
              <w:rPr>
                <w:snapToGrid w:val="0"/>
                <w:sz w:val="22"/>
              </w:rPr>
            </w:pPr>
          </w:p>
        </w:tc>
        <w:tc>
          <w:tcPr>
            <w:tcW w:w="1559" w:type="dxa"/>
          </w:tcPr>
          <w:p w:rsidR="000E3304" w:rsidRPr="00F55B1C" w:rsidRDefault="000E3304" w:rsidP="00153A2A">
            <w:pPr>
              <w:jc w:val="center"/>
              <w:rPr>
                <w:snapToGrid w:val="0"/>
                <w:sz w:val="22"/>
              </w:rPr>
            </w:pPr>
            <w:r w:rsidRPr="00F55B1C">
              <w:rPr>
                <w:snapToGrid w:val="0"/>
                <w:sz w:val="22"/>
              </w:rPr>
              <w:t>£000</w:t>
            </w:r>
          </w:p>
        </w:tc>
      </w:tr>
      <w:tr w:rsidR="000E3304" w:rsidRPr="00934F50" w:rsidTr="000E3304">
        <w:trPr>
          <w:trHeight w:val="247"/>
        </w:trPr>
        <w:tc>
          <w:tcPr>
            <w:tcW w:w="5670" w:type="dxa"/>
          </w:tcPr>
          <w:p w:rsidR="000E3304" w:rsidRPr="00F55B1C" w:rsidRDefault="000E3304" w:rsidP="00CD62E6">
            <w:pPr>
              <w:ind w:left="396" w:hanging="284"/>
              <w:rPr>
                <w:snapToGrid w:val="0"/>
                <w:sz w:val="22"/>
              </w:rPr>
            </w:pPr>
            <w:r w:rsidRPr="00F55B1C">
              <w:rPr>
                <w:snapToGrid w:val="0"/>
                <w:sz w:val="22"/>
              </w:rPr>
              <w:t>Net current assets and liabilities:</w:t>
            </w:r>
          </w:p>
        </w:tc>
        <w:tc>
          <w:tcPr>
            <w:tcW w:w="1418" w:type="dxa"/>
          </w:tcPr>
          <w:p w:rsidR="000E3304" w:rsidRPr="00F55B1C" w:rsidRDefault="000E3304" w:rsidP="00836EC0">
            <w:pPr>
              <w:tabs>
                <w:tab w:val="decimal" w:pos="821"/>
              </w:tabs>
              <w:jc w:val="right"/>
              <w:rPr>
                <w:snapToGrid w:val="0"/>
                <w:sz w:val="22"/>
              </w:rPr>
            </w:pPr>
          </w:p>
        </w:tc>
        <w:tc>
          <w:tcPr>
            <w:tcW w:w="284" w:type="dxa"/>
          </w:tcPr>
          <w:p w:rsidR="000E3304" w:rsidRPr="00F55B1C" w:rsidRDefault="000E3304" w:rsidP="00836EC0">
            <w:pPr>
              <w:tabs>
                <w:tab w:val="decimal" w:pos="821"/>
              </w:tabs>
              <w:jc w:val="right"/>
              <w:rPr>
                <w:snapToGrid w:val="0"/>
                <w:sz w:val="22"/>
              </w:rPr>
            </w:pPr>
          </w:p>
        </w:tc>
        <w:tc>
          <w:tcPr>
            <w:tcW w:w="1559" w:type="dxa"/>
          </w:tcPr>
          <w:p w:rsidR="000E3304" w:rsidRPr="00F55B1C" w:rsidRDefault="000E3304" w:rsidP="00153A2A">
            <w:pPr>
              <w:tabs>
                <w:tab w:val="decimal" w:pos="821"/>
              </w:tabs>
              <w:jc w:val="right"/>
              <w:rPr>
                <w:snapToGrid w:val="0"/>
                <w:sz w:val="22"/>
              </w:rPr>
            </w:pPr>
          </w:p>
        </w:tc>
      </w:tr>
      <w:tr w:rsidR="000E3304" w:rsidRPr="00934F50" w:rsidTr="000E3304">
        <w:trPr>
          <w:trHeight w:val="247"/>
        </w:trPr>
        <w:tc>
          <w:tcPr>
            <w:tcW w:w="5670" w:type="dxa"/>
          </w:tcPr>
          <w:p w:rsidR="000E3304" w:rsidRPr="00F55B1C" w:rsidRDefault="000E3304" w:rsidP="00CD62E6">
            <w:pPr>
              <w:ind w:left="396" w:hanging="284"/>
              <w:jc w:val="right"/>
              <w:rPr>
                <w:snapToGrid w:val="0"/>
                <w:sz w:val="22"/>
              </w:rPr>
            </w:pPr>
          </w:p>
        </w:tc>
        <w:tc>
          <w:tcPr>
            <w:tcW w:w="1418" w:type="dxa"/>
          </w:tcPr>
          <w:p w:rsidR="000E3304" w:rsidRPr="00F55B1C" w:rsidRDefault="000E3304" w:rsidP="00836EC0">
            <w:pPr>
              <w:tabs>
                <w:tab w:val="decimal" w:pos="821"/>
              </w:tabs>
              <w:jc w:val="right"/>
              <w:rPr>
                <w:snapToGrid w:val="0"/>
                <w:sz w:val="22"/>
              </w:rPr>
            </w:pPr>
          </w:p>
        </w:tc>
        <w:tc>
          <w:tcPr>
            <w:tcW w:w="284" w:type="dxa"/>
          </w:tcPr>
          <w:p w:rsidR="000E3304" w:rsidRPr="00F55B1C" w:rsidRDefault="000E3304" w:rsidP="00836EC0">
            <w:pPr>
              <w:tabs>
                <w:tab w:val="decimal" w:pos="821"/>
              </w:tabs>
              <w:jc w:val="right"/>
              <w:rPr>
                <w:snapToGrid w:val="0"/>
                <w:sz w:val="22"/>
              </w:rPr>
            </w:pPr>
          </w:p>
        </w:tc>
        <w:tc>
          <w:tcPr>
            <w:tcW w:w="1559" w:type="dxa"/>
          </w:tcPr>
          <w:p w:rsidR="000E3304" w:rsidRPr="00F55B1C" w:rsidRDefault="000E3304" w:rsidP="00153A2A">
            <w:pPr>
              <w:tabs>
                <w:tab w:val="decimal" w:pos="821"/>
              </w:tabs>
              <w:jc w:val="right"/>
              <w:rPr>
                <w:snapToGrid w:val="0"/>
                <w:sz w:val="22"/>
              </w:rPr>
            </w:pPr>
          </w:p>
        </w:tc>
      </w:tr>
      <w:tr w:rsidR="0096743B" w:rsidRPr="00934F50" w:rsidTr="000E3304">
        <w:trPr>
          <w:trHeight w:val="247"/>
        </w:trPr>
        <w:tc>
          <w:tcPr>
            <w:tcW w:w="5670" w:type="dxa"/>
          </w:tcPr>
          <w:p w:rsidR="0096743B" w:rsidRPr="00F55B1C" w:rsidRDefault="0096743B" w:rsidP="00CD62E6">
            <w:pPr>
              <w:ind w:left="396" w:hanging="284"/>
              <w:rPr>
                <w:snapToGrid w:val="0"/>
                <w:sz w:val="22"/>
              </w:rPr>
            </w:pPr>
            <w:r w:rsidRPr="00F55B1C">
              <w:rPr>
                <w:snapToGrid w:val="0"/>
                <w:sz w:val="22"/>
              </w:rPr>
              <w:t>- pensions top up grant receivable from central government</w:t>
            </w:r>
          </w:p>
        </w:tc>
        <w:tc>
          <w:tcPr>
            <w:tcW w:w="1418" w:type="dxa"/>
          </w:tcPr>
          <w:p w:rsidR="0096743B" w:rsidRPr="00F55B1C" w:rsidRDefault="00B07518" w:rsidP="003919D9">
            <w:pPr>
              <w:tabs>
                <w:tab w:val="decimal" w:pos="1104"/>
              </w:tabs>
              <w:rPr>
                <w:snapToGrid w:val="0"/>
                <w:sz w:val="22"/>
              </w:rPr>
            </w:pPr>
            <w:r>
              <w:rPr>
                <w:snapToGrid w:val="0"/>
                <w:sz w:val="22"/>
              </w:rPr>
              <w:t>(4,275)</w:t>
            </w:r>
          </w:p>
        </w:tc>
        <w:tc>
          <w:tcPr>
            <w:tcW w:w="284" w:type="dxa"/>
          </w:tcPr>
          <w:p w:rsidR="0096743B" w:rsidRPr="00F55B1C" w:rsidRDefault="0096743B" w:rsidP="00836EC0">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(4,321)</w:t>
            </w:r>
          </w:p>
        </w:tc>
      </w:tr>
      <w:tr w:rsidR="0096743B" w:rsidRPr="00934F50" w:rsidTr="000E3304">
        <w:trPr>
          <w:trHeight w:val="494"/>
        </w:trPr>
        <w:tc>
          <w:tcPr>
            <w:tcW w:w="5670" w:type="dxa"/>
          </w:tcPr>
          <w:p w:rsidR="0096743B" w:rsidRPr="00F55B1C" w:rsidRDefault="0096743B" w:rsidP="00CD62E6">
            <w:pPr>
              <w:ind w:left="396" w:hanging="284"/>
              <w:rPr>
                <w:snapToGrid w:val="0"/>
                <w:sz w:val="22"/>
              </w:rPr>
            </w:pPr>
            <w:r w:rsidRPr="00F55B1C">
              <w:rPr>
                <w:snapToGrid w:val="0"/>
                <w:sz w:val="22"/>
              </w:rPr>
              <w:t>- other current assets and liabilities (other than liabilities and other than benefits in the future)</w:t>
            </w:r>
          </w:p>
        </w:tc>
        <w:tc>
          <w:tcPr>
            <w:tcW w:w="1418" w:type="dxa"/>
          </w:tcPr>
          <w:p w:rsidR="0096743B" w:rsidRPr="00F55B1C" w:rsidRDefault="00B07518" w:rsidP="003919D9">
            <w:pPr>
              <w:tabs>
                <w:tab w:val="decimal" w:pos="1104"/>
              </w:tabs>
              <w:rPr>
                <w:snapToGrid w:val="0"/>
                <w:sz w:val="22"/>
              </w:rPr>
            </w:pPr>
            <w:r>
              <w:rPr>
                <w:snapToGrid w:val="0"/>
                <w:sz w:val="22"/>
              </w:rPr>
              <w:t>4,275</w:t>
            </w:r>
          </w:p>
        </w:tc>
        <w:tc>
          <w:tcPr>
            <w:tcW w:w="284" w:type="dxa"/>
          </w:tcPr>
          <w:p w:rsidR="0096743B" w:rsidRPr="00F55B1C" w:rsidRDefault="0096743B" w:rsidP="00836EC0">
            <w:pPr>
              <w:tabs>
                <w:tab w:val="decimal" w:pos="821"/>
              </w:tabs>
              <w:rPr>
                <w:snapToGrid w:val="0"/>
                <w:sz w:val="22"/>
              </w:rPr>
            </w:pPr>
          </w:p>
        </w:tc>
        <w:tc>
          <w:tcPr>
            <w:tcW w:w="1559" w:type="dxa"/>
          </w:tcPr>
          <w:p w:rsidR="0096743B" w:rsidRPr="00F55B1C" w:rsidRDefault="0096743B" w:rsidP="0096743B">
            <w:pPr>
              <w:tabs>
                <w:tab w:val="decimal" w:pos="1104"/>
              </w:tabs>
              <w:rPr>
                <w:snapToGrid w:val="0"/>
                <w:sz w:val="22"/>
              </w:rPr>
            </w:pPr>
            <w:r>
              <w:rPr>
                <w:snapToGrid w:val="0"/>
                <w:sz w:val="22"/>
              </w:rPr>
              <w:t>4,321</w:t>
            </w:r>
          </w:p>
        </w:tc>
      </w:tr>
      <w:tr w:rsidR="000E3304" w:rsidRPr="00934F50" w:rsidTr="000E3304">
        <w:trPr>
          <w:trHeight w:val="247"/>
        </w:trPr>
        <w:tc>
          <w:tcPr>
            <w:tcW w:w="5670" w:type="dxa"/>
          </w:tcPr>
          <w:p w:rsidR="000E3304" w:rsidRPr="00F55B1C" w:rsidRDefault="000E3304" w:rsidP="00CD62E6">
            <w:pPr>
              <w:ind w:left="396" w:hanging="284"/>
              <w:jc w:val="right"/>
              <w:rPr>
                <w:snapToGrid w:val="0"/>
                <w:sz w:val="22"/>
              </w:rPr>
            </w:pPr>
          </w:p>
        </w:tc>
        <w:tc>
          <w:tcPr>
            <w:tcW w:w="1418" w:type="dxa"/>
            <w:tcBorders>
              <w:bottom w:val="single" w:sz="4" w:space="0" w:color="auto"/>
            </w:tcBorders>
          </w:tcPr>
          <w:p w:rsidR="000E3304" w:rsidRPr="00F55B1C" w:rsidRDefault="000E3304" w:rsidP="003919D9">
            <w:pPr>
              <w:tabs>
                <w:tab w:val="decimal" w:pos="962"/>
                <w:tab w:val="decimal" w:pos="1104"/>
              </w:tabs>
              <w:rPr>
                <w:snapToGrid w:val="0"/>
                <w:sz w:val="22"/>
              </w:rPr>
            </w:pPr>
          </w:p>
        </w:tc>
        <w:tc>
          <w:tcPr>
            <w:tcW w:w="284" w:type="dxa"/>
          </w:tcPr>
          <w:p w:rsidR="000E3304" w:rsidRPr="00F55B1C" w:rsidRDefault="000E3304" w:rsidP="00836EC0">
            <w:pPr>
              <w:tabs>
                <w:tab w:val="decimal" w:pos="821"/>
                <w:tab w:val="decimal" w:pos="962"/>
              </w:tabs>
              <w:rPr>
                <w:snapToGrid w:val="0"/>
                <w:sz w:val="22"/>
              </w:rPr>
            </w:pPr>
          </w:p>
        </w:tc>
        <w:tc>
          <w:tcPr>
            <w:tcW w:w="1559" w:type="dxa"/>
            <w:tcBorders>
              <w:bottom w:val="single" w:sz="4" w:space="0" w:color="auto"/>
            </w:tcBorders>
          </w:tcPr>
          <w:p w:rsidR="000E3304" w:rsidRPr="00F55B1C" w:rsidRDefault="000E3304" w:rsidP="000E3304">
            <w:pPr>
              <w:tabs>
                <w:tab w:val="decimal" w:pos="962"/>
                <w:tab w:val="decimal" w:pos="1103"/>
              </w:tabs>
              <w:rPr>
                <w:snapToGrid w:val="0"/>
                <w:sz w:val="22"/>
              </w:rPr>
            </w:pPr>
          </w:p>
        </w:tc>
      </w:tr>
      <w:tr w:rsidR="000E3304" w:rsidRPr="00934F50" w:rsidTr="000E3304">
        <w:trPr>
          <w:trHeight w:val="247"/>
        </w:trPr>
        <w:tc>
          <w:tcPr>
            <w:tcW w:w="5670" w:type="dxa"/>
          </w:tcPr>
          <w:p w:rsidR="000E3304" w:rsidRPr="00F55B1C" w:rsidRDefault="000E3304" w:rsidP="00CD62E6">
            <w:pPr>
              <w:ind w:left="396" w:hanging="284"/>
              <w:rPr>
                <w:b/>
                <w:snapToGrid w:val="0"/>
                <w:sz w:val="22"/>
              </w:rPr>
            </w:pPr>
            <w:r w:rsidRPr="00F55B1C">
              <w:rPr>
                <w:b/>
                <w:snapToGrid w:val="0"/>
                <w:sz w:val="22"/>
              </w:rPr>
              <w:t>Net current assets at the end of the year</w:t>
            </w:r>
          </w:p>
        </w:tc>
        <w:tc>
          <w:tcPr>
            <w:tcW w:w="1418" w:type="dxa"/>
            <w:tcBorders>
              <w:top w:val="single" w:sz="4" w:space="0" w:color="auto"/>
              <w:bottom w:val="double" w:sz="4" w:space="0" w:color="auto"/>
            </w:tcBorders>
          </w:tcPr>
          <w:p w:rsidR="000E3304" w:rsidRPr="00F55B1C" w:rsidRDefault="000E3304" w:rsidP="003919D9">
            <w:pPr>
              <w:tabs>
                <w:tab w:val="decimal" w:pos="1104"/>
              </w:tabs>
              <w:rPr>
                <w:b/>
                <w:snapToGrid w:val="0"/>
                <w:sz w:val="22"/>
              </w:rPr>
            </w:pPr>
            <w:r w:rsidRPr="00F55B1C">
              <w:rPr>
                <w:b/>
                <w:snapToGrid w:val="0"/>
                <w:sz w:val="22"/>
              </w:rPr>
              <w:t>-</w:t>
            </w:r>
          </w:p>
        </w:tc>
        <w:tc>
          <w:tcPr>
            <w:tcW w:w="284" w:type="dxa"/>
          </w:tcPr>
          <w:p w:rsidR="000E3304" w:rsidRPr="00F55B1C" w:rsidRDefault="000E3304" w:rsidP="00836EC0">
            <w:pPr>
              <w:tabs>
                <w:tab w:val="decimal" w:pos="821"/>
              </w:tabs>
              <w:rPr>
                <w:b/>
                <w:snapToGrid w:val="0"/>
                <w:sz w:val="22"/>
              </w:rPr>
            </w:pPr>
          </w:p>
        </w:tc>
        <w:tc>
          <w:tcPr>
            <w:tcW w:w="1559" w:type="dxa"/>
            <w:tcBorders>
              <w:top w:val="single" w:sz="4" w:space="0" w:color="auto"/>
              <w:bottom w:val="double" w:sz="4" w:space="0" w:color="auto"/>
            </w:tcBorders>
          </w:tcPr>
          <w:p w:rsidR="000E3304" w:rsidRPr="00F55B1C" w:rsidRDefault="000E3304" w:rsidP="000E3304">
            <w:pPr>
              <w:tabs>
                <w:tab w:val="decimal" w:pos="1103"/>
              </w:tabs>
              <w:rPr>
                <w:b/>
                <w:snapToGrid w:val="0"/>
                <w:sz w:val="22"/>
              </w:rPr>
            </w:pPr>
            <w:r w:rsidRPr="00F55B1C">
              <w:rPr>
                <w:b/>
                <w:snapToGrid w:val="0"/>
                <w:sz w:val="22"/>
              </w:rPr>
              <w:t>-</w:t>
            </w:r>
          </w:p>
        </w:tc>
      </w:tr>
    </w:tbl>
    <w:p w:rsidR="00D90216" w:rsidRPr="00934F50" w:rsidRDefault="00D90216" w:rsidP="00D90216">
      <w:pPr>
        <w:rPr>
          <w:sz w:val="22"/>
          <w:highlight w:val="yellow"/>
        </w:rPr>
      </w:pPr>
    </w:p>
    <w:p w:rsidR="00D90216" w:rsidRPr="00A60775" w:rsidRDefault="00D90216" w:rsidP="00D90216">
      <w:pPr>
        <w:rPr>
          <w:sz w:val="22"/>
          <w:highlight w:val="cyan"/>
        </w:rPr>
      </w:pPr>
      <w:r w:rsidRPr="00A60775">
        <w:rPr>
          <w:sz w:val="22"/>
          <w:highlight w:val="cyan"/>
        </w:rPr>
        <w:br w:type="page"/>
      </w:r>
    </w:p>
    <w:p w:rsidR="00D90216" w:rsidRPr="00C91A87" w:rsidRDefault="00D90216" w:rsidP="00D90216">
      <w:pPr>
        <w:rPr>
          <w:b/>
          <w:sz w:val="22"/>
        </w:rPr>
      </w:pPr>
      <w:r w:rsidRPr="00C91A87">
        <w:rPr>
          <w:b/>
          <w:sz w:val="22"/>
        </w:rPr>
        <w:lastRenderedPageBreak/>
        <w:t>Firefighters Pension Fund Notes</w:t>
      </w:r>
    </w:p>
    <w:p w:rsidR="00D90216" w:rsidRPr="00A60775" w:rsidRDefault="00D90216" w:rsidP="00D90216">
      <w:pPr>
        <w:rPr>
          <w:b/>
          <w:sz w:val="22"/>
          <w:highlight w:val="cyan"/>
        </w:rPr>
      </w:pPr>
    </w:p>
    <w:p w:rsidR="00D90216" w:rsidRPr="00C91A87" w:rsidRDefault="00D90216" w:rsidP="00D90216">
      <w:pPr>
        <w:jc w:val="both"/>
        <w:rPr>
          <w:sz w:val="22"/>
        </w:rPr>
      </w:pPr>
      <w:r w:rsidRPr="00C91A87">
        <w:rPr>
          <w:sz w:val="22"/>
        </w:rPr>
        <w:t xml:space="preserve">The </w:t>
      </w:r>
      <w:r w:rsidR="009C1C8D">
        <w:rPr>
          <w:sz w:val="22"/>
        </w:rPr>
        <w:t xml:space="preserve">four </w:t>
      </w:r>
      <w:r w:rsidRPr="00C91A87">
        <w:rPr>
          <w:sz w:val="22"/>
        </w:rPr>
        <w:t xml:space="preserve">firefighters pension schemes </w:t>
      </w:r>
      <w:r w:rsidR="009C1C8D">
        <w:rPr>
          <w:sz w:val="22"/>
        </w:rPr>
        <w:t xml:space="preserve">(1992 scheme, 2006 scheme, special members of the 2006 scheme and 2015 scheme) </w:t>
      </w:r>
      <w:r w:rsidRPr="00C91A87">
        <w:rPr>
          <w:sz w:val="22"/>
        </w:rPr>
        <w:t>are unfunded defined benefits schemes, meaning that there are no investment assets built up to meet the pensions liabilities, and cash has to be generated to meet the actual pension payments as they fall due.  The Authority makes employers contributions into the schemes and the balance of</w:t>
      </w:r>
      <w:r>
        <w:rPr>
          <w:sz w:val="22"/>
        </w:rPr>
        <w:t xml:space="preserve"> funding required after pension</w:t>
      </w:r>
      <w:r w:rsidRPr="00C91A87">
        <w:rPr>
          <w:sz w:val="22"/>
        </w:rPr>
        <w:t xml:space="preserve"> payments are made is received from </w:t>
      </w:r>
      <w:r w:rsidRPr="00C91A87">
        <w:rPr>
          <w:snapToGrid w:val="0"/>
          <w:sz w:val="22"/>
        </w:rPr>
        <w:t>central government</w:t>
      </w:r>
      <w:r w:rsidRPr="00C91A87">
        <w:rPr>
          <w:sz w:val="22"/>
        </w:rPr>
        <w:t>.</w:t>
      </w:r>
    </w:p>
    <w:p w:rsidR="00D90216" w:rsidRPr="00C91A87" w:rsidRDefault="00D90216" w:rsidP="00D90216">
      <w:pPr>
        <w:jc w:val="both"/>
        <w:rPr>
          <w:sz w:val="22"/>
        </w:rPr>
      </w:pPr>
    </w:p>
    <w:p w:rsidR="00D90216" w:rsidRDefault="00D90216" w:rsidP="00D90216">
      <w:pPr>
        <w:jc w:val="both"/>
        <w:rPr>
          <w:sz w:val="22"/>
        </w:rPr>
      </w:pPr>
      <w:r w:rsidRPr="00C91A87">
        <w:rPr>
          <w:sz w:val="22"/>
        </w:rPr>
        <w:t xml:space="preserve">The above statement shows the financial position of the </w:t>
      </w:r>
      <w:r w:rsidR="00F05F09">
        <w:rPr>
          <w:sz w:val="22"/>
        </w:rPr>
        <w:t>total</w:t>
      </w:r>
      <w:r w:rsidRPr="00C91A87">
        <w:rPr>
          <w:sz w:val="22"/>
        </w:rPr>
        <w:t xml:space="preserve"> fire fighters pension fund account, showing that as at 31 March 201</w:t>
      </w:r>
      <w:r w:rsidR="0096743B">
        <w:rPr>
          <w:sz w:val="22"/>
        </w:rPr>
        <w:t>8</w:t>
      </w:r>
      <w:r w:rsidRPr="00C91A87">
        <w:rPr>
          <w:sz w:val="22"/>
        </w:rPr>
        <w:t xml:space="preserve"> the Authority is </w:t>
      </w:r>
      <w:r w:rsidRPr="00F4593A">
        <w:rPr>
          <w:sz w:val="22"/>
        </w:rPr>
        <w:t>owed £</w:t>
      </w:r>
      <w:r w:rsidR="00F4593A" w:rsidRPr="00F4593A">
        <w:rPr>
          <w:sz w:val="22"/>
        </w:rPr>
        <w:t>4,275</w:t>
      </w:r>
      <w:r w:rsidRPr="00F4593A">
        <w:rPr>
          <w:sz w:val="22"/>
        </w:rPr>
        <w:t>m</w:t>
      </w:r>
      <w:r w:rsidRPr="00F55B1C">
        <w:rPr>
          <w:sz w:val="22"/>
        </w:rPr>
        <w:t xml:space="preserve"> </w:t>
      </w:r>
      <w:r w:rsidR="00383862" w:rsidRPr="00F55B1C">
        <w:rPr>
          <w:sz w:val="22"/>
        </w:rPr>
        <w:t>(201</w:t>
      </w:r>
      <w:r w:rsidR="0096743B">
        <w:rPr>
          <w:sz w:val="22"/>
        </w:rPr>
        <w:t>6</w:t>
      </w:r>
      <w:r w:rsidR="00355430">
        <w:rPr>
          <w:sz w:val="22"/>
        </w:rPr>
        <w:t>/1</w:t>
      </w:r>
      <w:r w:rsidR="0096743B">
        <w:rPr>
          <w:sz w:val="22"/>
        </w:rPr>
        <w:t>7</w:t>
      </w:r>
      <w:r w:rsidR="00383862">
        <w:rPr>
          <w:sz w:val="22"/>
        </w:rPr>
        <w:t>: £</w:t>
      </w:r>
      <w:r w:rsidR="0096743B">
        <w:rPr>
          <w:sz w:val="22"/>
        </w:rPr>
        <w:t>4</w:t>
      </w:r>
      <w:r w:rsidR="00153A2A">
        <w:rPr>
          <w:sz w:val="22"/>
        </w:rPr>
        <w:t>.3</w:t>
      </w:r>
      <w:r w:rsidR="0096743B">
        <w:rPr>
          <w:sz w:val="22"/>
        </w:rPr>
        <w:t>21</w:t>
      </w:r>
      <w:r w:rsidR="00383862">
        <w:rPr>
          <w:sz w:val="22"/>
        </w:rPr>
        <w:t xml:space="preserve">m) </w:t>
      </w:r>
      <w:r w:rsidRPr="00C91A87">
        <w:rPr>
          <w:sz w:val="22"/>
        </w:rPr>
        <w:t xml:space="preserve">by the </w:t>
      </w:r>
      <w:r w:rsidR="00153A2A">
        <w:rPr>
          <w:sz w:val="22"/>
        </w:rPr>
        <w:t>Home Office</w:t>
      </w:r>
      <w:r w:rsidRPr="00C91A87">
        <w:rPr>
          <w:sz w:val="22"/>
        </w:rPr>
        <w:t xml:space="preserve"> in order to balance the account.</w:t>
      </w:r>
      <w:r>
        <w:rPr>
          <w:sz w:val="22"/>
        </w:rPr>
        <w:t xml:space="preserve">  The fund statements do not take account of liabilities after the period end, the Authority’s long term pension obligations can be found in the Authority’s main statements, and </w:t>
      </w:r>
      <w:r w:rsidRPr="00BC2C8A">
        <w:rPr>
          <w:sz w:val="22"/>
        </w:rPr>
        <w:t xml:space="preserve">also </w:t>
      </w:r>
      <w:r w:rsidRPr="00F4593A">
        <w:rPr>
          <w:sz w:val="22"/>
        </w:rPr>
        <w:t xml:space="preserve">note </w:t>
      </w:r>
      <w:r w:rsidR="007D318A" w:rsidRPr="00F4593A">
        <w:rPr>
          <w:sz w:val="22"/>
        </w:rPr>
        <w:t>1</w:t>
      </w:r>
      <w:r w:rsidR="0096743B" w:rsidRPr="00F4593A">
        <w:rPr>
          <w:sz w:val="22"/>
        </w:rPr>
        <w:t>5</w:t>
      </w:r>
      <w:r w:rsidRPr="0020536E">
        <w:rPr>
          <w:sz w:val="22"/>
        </w:rPr>
        <w:t xml:space="preserve"> to</w:t>
      </w:r>
      <w:r>
        <w:rPr>
          <w:sz w:val="22"/>
        </w:rPr>
        <w:t xml:space="preserve"> the accounts.  The fund was established under the Firefighters’ Pension Scheme (Amendment) (England) Order 2006.  The statement was prepared according to International Financial Reporting Standards (IFRS)</w:t>
      </w:r>
      <w:r w:rsidR="00383862">
        <w:rPr>
          <w:sz w:val="22"/>
        </w:rPr>
        <w:t>.</w:t>
      </w:r>
    </w:p>
    <w:p w:rsidR="00383862" w:rsidRPr="00A60775" w:rsidRDefault="00383862" w:rsidP="00D90216">
      <w:pPr>
        <w:jc w:val="both"/>
        <w:rPr>
          <w:sz w:val="22"/>
          <w:highlight w:val="cyan"/>
        </w:rPr>
      </w:pPr>
    </w:p>
    <w:p w:rsidR="00D90216" w:rsidRPr="00C91A87" w:rsidRDefault="00D90216" w:rsidP="00D90216">
      <w:pPr>
        <w:jc w:val="both"/>
        <w:rPr>
          <w:sz w:val="22"/>
        </w:rPr>
      </w:pPr>
      <w:r w:rsidRPr="00C91A87">
        <w:rPr>
          <w:sz w:val="22"/>
        </w:rPr>
        <w:t xml:space="preserve">The note has been prepared in line with general accounting policies set in </w:t>
      </w:r>
      <w:r w:rsidRPr="005F5C95">
        <w:rPr>
          <w:sz w:val="22"/>
        </w:rPr>
        <w:t xml:space="preserve">Note </w:t>
      </w:r>
      <w:r w:rsidR="00153A2A" w:rsidRPr="005F5C95">
        <w:rPr>
          <w:sz w:val="22"/>
        </w:rPr>
        <w:t>2</w:t>
      </w:r>
      <w:r w:rsidR="0096743B" w:rsidRPr="005F5C95">
        <w:rPr>
          <w:sz w:val="22"/>
        </w:rPr>
        <w:t>8</w:t>
      </w:r>
      <w:r w:rsidRPr="005F5C95">
        <w:rPr>
          <w:sz w:val="22"/>
        </w:rPr>
        <w:t xml:space="preserve"> – accounting policies, in particular </w:t>
      </w:r>
      <w:r w:rsidR="00DD3B97" w:rsidRPr="005F5C95">
        <w:rPr>
          <w:sz w:val="22"/>
        </w:rPr>
        <w:t xml:space="preserve">section </w:t>
      </w:r>
      <w:r w:rsidR="005F5C95" w:rsidRPr="005F5C95">
        <w:rPr>
          <w:sz w:val="22"/>
        </w:rPr>
        <w:t>e</w:t>
      </w:r>
      <w:r w:rsidRPr="005F5C95">
        <w:rPr>
          <w:sz w:val="22"/>
        </w:rPr>
        <w:t>.</w:t>
      </w:r>
    </w:p>
    <w:p w:rsidR="00D90216" w:rsidRPr="00A60775" w:rsidRDefault="00D90216" w:rsidP="00D90216">
      <w:pPr>
        <w:jc w:val="both"/>
        <w:rPr>
          <w:sz w:val="22"/>
          <w:highlight w:val="cyan"/>
        </w:rPr>
      </w:pPr>
    </w:p>
    <w:p w:rsidR="00D90216" w:rsidRPr="0020723D" w:rsidRDefault="00D90216" w:rsidP="00D90216">
      <w:pPr>
        <w:ind w:right="-52"/>
        <w:jc w:val="both"/>
        <w:rPr>
          <w:rFonts w:cs="Arial"/>
          <w:sz w:val="22"/>
          <w:szCs w:val="22"/>
          <w:lang w:eastAsia="en-GB"/>
        </w:rPr>
      </w:pPr>
      <w:r w:rsidRPr="0020723D">
        <w:rPr>
          <w:rFonts w:cs="Arial"/>
          <w:sz w:val="22"/>
          <w:szCs w:val="22"/>
          <w:u w:val="single"/>
          <w:lang w:eastAsia="en-GB"/>
        </w:rPr>
        <w:t>Contribution Rates</w:t>
      </w:r>
      <w:r w:rsidRPr="0020723D">
        <w:rPr>
          <w:rFonts w:cs="Arial"/>
          <w:sz w:val="22"/>
          <w:szCs w:val="22"/>
          <w:lang w:eastAsia="en-GB"/>
        </w:rPr>
        <w:t xml:space="preserve"> </w:t>
      </w:r>
    </w:p>
    <w:p w:rsidR="00633424" w:rsidRPr="00153A2A" w:rsidRDefault="00D90216" w:rsidP="00D90216">
      <w:pPr>
        <w:ind w:right="-52"/>
        <w:jc w:val="both"/>
        <w:rPr>
          <w:rFonts w:cs="Arial"/>
          <w:sz w:val="22"/>
          <w:szCs w:val="22"/>
          <w:lang w:eastAsia="en-GB"/>
        </w:rPr>
      </w:pPr>
      <w:r w:rsidRPr="00153A2A">
        <w:rPr>
          <w:rFonts w:cs="Arial"/>
          <w:sz w:val="22"/>
          <w:szCs w:val="22"/>
          <w:lang w:eastAsia="en-GB"/>
        </w:rPr>
        <w:t xml:space="preserve">Under the firefighters pension regulations the contribution rates </w:t>
      </w:r>
      <w:r w:rsidR="00633424" w:rsidRPr="00153A2A">
        <w:rPr>
          <w:rFonts w:cs="Arial"/>
          <w:sz w:val="22"/>
          <w:szCs w:val="22"/>
          <w:lang w:eastAsia="en-GB"/>
        </w:rPr>
        <w:t>during 201</w:t>
      </w:r>
      <w:r w:rsidR="00B213CC">
        <w:rPr>
          <w:rFonts w:cs="Arial"/>
          <w:sz w:val="22"/>
          <w:szCs w:val="22"/>
          <w:lang w:eastAsia="en-GB"/>
        </w:rPr>
        <w:t>7</w:t>
      </w:r>
      <w:r w:rsidR="00633424" w:rsidRPr="00153A2A">
        <w:rPr>
          <w:rFonts w:cs="Arial"/>
          <w:sz w:val="22"/>
          <w:szCs w:val="22"/>
          <w:lang w:eastAsia="en-GB"/>
        </w:rPr>
        <w:t>/1</w:t>
      </w:r>
      <w:r w:rsidR="00B213CC">
        <w:rPr>
          <w:rFonts w:cs="Arial"/>
          <w:sz w:val="22"/>
          <w:szCs w:val="22"/>
          <w:lang w:eastAsia="en-GB"/>
        </w:rPr>
        <w:t>8</w:t>
      </w:r>
      <w:r w:rsidR="00633424" w:rsidRPr="00153A2A">
        <w:rPr>
          <w:rFonts w:cs="Arial"/>
          <w:sz w:val="22"/>
          <w:szCs w:val="22"/>
          <w:lang w:eastAsia="en-GB"/>
        </w:rPr>
        <w:t xml:space="preserve"> were as follows:</w:t>
      </w:r>
    </w:p>
    <w:p w:rsidR="00633424" w:rsidRPr="00153A2A" w:rsidRDefault="00633424" w:rsidP="00882E25">
      <w:pPr>
        <w:pStyle w:val="ListParagraph"/>
        <w:numPr>
          <w:ilvl w:val="0"/>
          <w:numId w:val="28"/>
        </w:numPr>
        <w:ind w:right="-52"/>
        <w:jc w:val="both"/>
        <w:rPr>
          <w:rFonts w:cs="Arial"/>
          <w:sz w:val="22"/>
          <w:szCs w:val="22"/>
          <w:lang w:eastAsia="en-GB"/>
        </w:rPr>
      </w:pPr>
      <w:r w:rsidRPr="00153A2A">
        <w:rPr>
          <w:rFonts w:cs="Arial"/>
          <w:sz w:val="22"/>
          <w:szCs w:val="22"/>
          <w:lang w:eastAsia="en-GB"/>
        </w:rPr>
        <w:t xml:space="preserve">for the 1992 scheme were </w:t>
      </w:r>
      <w:r w:rsidR="003D0845" w:rsidRPr="00153A2A">
        <w:rPr>
          <w:rFonts w:cs="Arial"/>
          <w:sz w:val="22"/>
          <w:szCs w:val="22"/>
          <w:lang w:eastAsia="en-GB"/>
        </w:rPr>
        <w:t>circa 35.9</w:t>
      </w:r>
      <w:r w:rsidRPr="00153A2A">
        <w:rPr>
          <w:rFonts w:cs="Arial"/>
          <w:sz w:val="22"/>
          <w:szCs w:val="22"/>
          <w:lang w:eastAsia="en-GB"/>
        </w:rPr>
        <w:t xml:space="preserve">% </w:t>
      </w:r>
      <w:r w:rsidR="00FD41CC" w:rsidRPr="00153A2A">
        <w:rPr>
          <w:rFonts w:cs="Arial"/>
          <w:sz w:val="22"/>
          <w:szCs w:val="22"/>
          <w:lang w:eastAsia="en-GB"/>
        </w:rPr>
        <w:t xml:space="preserve">on average </w:t>
      </w:r>
      <w:r w:rsidRPr="00153A2A">
        <w:rPr>
          <w:rFonts w:cs="Arial"/>
          <w:sz w:val="22"/>
          <w:szCs w:val="22"/>
          <w:lang w:eastAsia="en-GB"/>
        </w:rPr>
        <w:t>of pensionable pay (21.</w:t>
      </w:r>
      <w:r w:rsidR="003D0845" w:rsidRPr="00153A2A">
        <w:rPr>
          <w:rFonts w:cs="Arial"/>
          <w:sz w:val="22"/>
          <w:szCs w:val="22"/>
          <w:lang w:eastAsia="en-GB"/>
        </w:rPr>
        <w:t>7</w:t>
      </w:r>
      <w:r w:rsidRPr="00153A2A">
        <w:rPr>
          <w:rFonts w:cs="Arial"/>
          <w:sz w:val="22"/>
          <w:szCs w:val="22"/>
          <w:lang w:eastAsia="en-GB"/>
        </w:rPr>
        <w:t xml:space="preserve">% </w:t>
      </w:r>
      <w:r w:rsidR="003D0845" w:rsidRPr="00153A2A">
        <w:rPr>
          <w:rFonts w:cs="Arial"/>
          <w:sz w:val="22"/>
          <w:szCs w:val="22"/>
          <w:lang w:eastAsia="en-GB"/>
        </w:rPr>
        <w:t xml:space="preserve">for </w:t>
      </w:r>
      <w:r w:rsidRPr="00153A2A">
        <w:rPr>
          <w:rFonts w:cs="Arial"/>
          <w:sz w:val="22"/>
          <w:szCs w:val="22"/>
          <w:lang w:eastAsia="en-GB"/>
        </w:rPr>
        <w:t xml:space="preserve">employers and </w:t>
      </w:r>
      <w:r w:rsidR="003D0845" w:rsidRPr="00153A2A">
        <w:rPr>
          <w:rFonts w:cs="Arial"/>
          <w:sz w:val="22"/>
          <w:szCs w:val="22"/>
          <w:lang w:eastAsia="en-GB"/>
        </w:rPr>
        <w:t xml:space="preserve">between </w:t>
      </w:r>
      <w:r w:rsidRPr="00153A2A">
        <w:rPr>
          <w:rFonts w:cs="Arial"/>
          <w:sz w:val="22"/>
          <w:szCs w:val="22"/>
          <w:lang w:eastAsia="en-GB"/>
        </w:rPr>
        <w:t xml:space="preserve">11% </w:t>
      </w:r>
      <w:r w:rsidR="003D0845" w:rsidRPr="00153A2A">
        <w:rPr>
          <w:rFonts w:cs="Arial"/>
          <w:sz w:val="22"/>
          <w:szCs w:val="22"/>
          <w:lang w:eastAsia="en-GB"/>
        </w:rPr>
        <w:t xml:space="preserve">and 14.7% for </w:t>
      </w:r>
      <w:r w:rsidRPr="00153A2A">
        <w:rPr>
          <w:rFonts w:cs="Arial"/>
          <w:sz w:val="22"/>
          <w:szCs w:val="22"/>
          <w:lang w:eastAsia="en-GB"/>
        </w:rPr>
        <w:t>employees</w:t>
      </w:r>
      <w:r w:rsidR="003D0845" w:rsidRPr="00153A2A">
        <w:rPr>
          <w:rFonts w:cs="Arial"/>
          <w:sz w:val="22"/>
          <w:szCs w:val="22"/>
          <w:lang w:eastAsia="en-GB"/>
        </w:rPr>
        <w:t xml:space="preserve"> dependent on salary)</w:t>
      </w:r>
    </w:p>
    <w:p w:rsidR="00633424" w:rsidRPr="00153A2A" w:rsidRDefault="00D90216" w:rsidP="00882E25">
      <w:pPr>
        <w:pStyle w:val="ListParagraph"/>
        <w:numPr>
          <w:ilvl w:val="0"/>
          <w:numId w:val="28"/>
        </w:numPr>
        <w:ind w:right="-52"/>
        <w:jc w:val="both"/>
        <w:rPr>
          <w:rFonts w:cs="Arial"/>
          <w:sz w:val="22"/>
          <w:szCs w:val="22"/>
          <w:lang w:eastAsia="en-GB"/>
        </w:rPr>
      </w:pPr>
      <w:r w:rsidRPr="00153A2A">
        <w:rPr>
          <w:rFonts w:cs="Arial"/>
          <w:sz w:val="22"/>
          <w:szCs w:val="22"/>
          <w:lang w:eastAsia="en-GB"/>
        </w:rPr>
        <w:t xml:space="preserve">for the 2006 scheme were </w:t>
      </w:r>
      <w:r w:rsidR="003D0845" w:rsidRPr="00153A2A">
        <w:rPr>
          <w:rFonts w:cs="Arial"/>
          <w:sz w:val="22"/>
          <w:szCs w:val="22"/>
          <w:lang w:eastAsia="en-GB"/>
        </w:rPr>
        <w:t>circa 22.3</w:t>
      </w:r>
      <w:r w:rsidRPr="00153A2A">
        <w:rPr>
          <w:rFonts w:cs="Arial"/>
          <w:sz w:val="22"/>
          <w:szCs w:val="22"/>
          <w:lang w:eastAsia="en-GB"/>
        </w:rPr>
        <w:t xml:space="preserve">% </w:t>
      </w:r>
      <w:r w:rsidR="00FD41CC" w:rsidRPr="00153A2A">
        <w:rPr>
          <w:rFonts w:cs="Arial"/>
          <w:sz w:val="22"/>
          <w:szCs w:val="22"/>
          <w:lang w:eastAsia="en-GB"/>
        </w:rPr>
        <w:t xml:space="preserve">on average </w:t>
      </w:r>
      <w:r w:rsidRPr="00153A2A">
        <w:rPr>
          <w:rFonts w:cs="Arial"/>
          <w:sz w:val="22"/>
          <w:szCs w:val="22"/>
          <w:lang w:eastAsia="en-GB"/>
        </w:rPr>
        <w:t>of pensionable pay (11</w:t>
      </w:r>
      <w:r w:rsidR="003D0845" w:rsidRPr="00153A2A">
        <w:rPr>
          <w:rFonts w:cs="Arial"/>
          <w:sz w:val="22"/>
          <w:szCs w:val="22"/>
          <w:lang w:eastAsia="en-GB"/>
        </w:rPr>
        <w:t>.9</w:t>
      </w:r>
      <w:r w:rsidRPr="00153A2A">
        <w:rPr>
          <w:rFonts w:cs="Arial"/>
          <w:sz w:val="22"/>
          <w:szCs w:val="22"/>
          <w:lang w:eastAsia="en-GB"/>
        </w:rPr>
        <w:t xml:space="preserve">% </w:t>
      </w:r>
      <w:r w:rsidR="003D0845" w:rsidRPr="00153A2A">
        <w:rPr>
          <w:rFonts w:cs="Arial"/>
          <w:sz w:val="22"/>
          <w:szCs w:val="22"/>
          <w:lang w:eastAsia="en-GB"/>
        </w:rPr>
        <w:t xml:space="preserve">for </w:t>
      </w:r>
      <w:r w:rsidRPr="00153A2A">
        <w:rPr>
          <w:rFonts w:cs="Arial"/>
          <w:sz w:val="22"/>
          <w:szCs w:val="22"/>
          <w:lang w:eastAsia="en-GB"/>
        </w:rPr>
        <w:t xml:space="preserve">employers and </w:t>
      </w:r>
      <w:r w:rsidR="003D0845" w:rsidRPr="00153A2A">
        <w:rPr>
          <w:rFonts w:cs="Arial"/>
          <w:sz w:val="22"/>
          <w:szCs w:val="22"/>
          <w:lang w:eastAsia="en-GB"/>
        </w:rPr>
        <w:t>between 9.4</w:t>
      </w:r>
      <w:r w:rsidRPr="00153A2A">
        <w:rPr>
          <w:rFonts w:cs="Arial"/>
          <w:sz w:val="22"/>
          <w:szCs w:val="22"/>
          <w:lang w:eastAsia="en-GB"/>
        </w:rPr>
        <w:t xml:space="preserve">% </w:t>
      </w:r>
      <w:r w:rsidR="003D0845" w:rsidRPr="00153A2A">
        <w:rPr>
          <w:rFonts w:cs="Arial"/>
          <w:sz w:val="22"/>
          <w:szCs w:val="22"/>
          <w:lang w:eastAsia="en-GB"/>
        </w:rPr>
        <w:t xml:space="preserve">and 10.9% for </w:t>
      </w:r>
      <w:r w:rsidRPr="00153A2A">
        <w:rPr>
          <w:rFonts w:cs="Arial"/>
          <w:sz w:val="22"/>
          <w:szCs w:val="22"/>
          <w:lang w:eastAsia="en-GB"/>
        </w:rPr>
        <w:t>employees</w:t>
      </w:r>
      <w:r w:rsidR="003D0845" w:rsidRPr="00153A2A">
        <w:rPr>
          <w:rFonts w:cs="Arial"/>
          <w:sz w:val="22"/>
          <w:szCs w:val="22"/>
          <w:lang w:eastAsia="en-GB"/>
        </w:rPr>
        <w:t xml:space="preserve"> dependent on salary)</w:t>
      </w:r>
    </w:p>
    <w:p w:rsidR="00633424" w:rsidRPr="00153A2A" w:rsidRDefault="00633424" w:rsidP="00882E25">
      <w:pPr>
        <w:pStyle w:val="ListParagraph"/>
        <w:numPr>
          <w:ilvl w:val="0"/>
          <w:numId w:val="28"/>
        </w:numPr>
        <w:ind w:right="-52"/>
        <w:jc w:val="both"/>
        <w:rPr>
          <w:rFonts w:cs="Arial"/>
          <w:sz w:val="22"/>
          <w:szCs w:val="22"/>
          <w:lang w:eastAsia="en-GB"/>
        </w:rPr>
      </w:pPr>
      <w:r w:rsidRPr="00153A2A">
        <w:rPr>
          <w:rFonts w:cs="Arial"/>
          <w:sz w:val="22"/>
          <w:szCs w:val="22"/>
          <w:lang w:eastAsia="en-GB"/>
        </w:rPr>
        <w:t xml:space="preserve">for special members of the 2006 scheme were </w:t>
      </w:r>
      <w:r w:rsidR="003D0845" w:rsidRPr="00153A2A">
        <w:rPr>
          <w:rFonts w:cs="Arial"/>
          <w:sz w:val="22"/>
          <w:szCs w:val="22"/>
          <w:lang w:eastAsia="en-GB"/>
        </w:rPr>
        <w:t>circa 35.9% of pensionable pay (21.7% for employers and between 11% and 14.7% for employees dependent on salary)</w:t>
      </w:r>
    </w:p>
    <w:p w:rsidR="00633424" w:rsidRPr="00153A2A" w:rsidRDefault="00633424" w:rsidP="00882E25">
      <w:pPr>
        <w:pStyle w:val="ListParagraph"/>
        <w:numPr>
          <w:ilvl w:val="0"/>
          <w:numId w:val="28"/>
        </w:numPr>
        <w:ind w:right="-52"/>
        <w:jc w:val="both"/>
        <w:rPr>
          <w:rFonts w:cs="Arial"/>
          <w:sz w:val="22"/>
          <w:szCs w:val="22"/>
          <w:lang w:eastAsia="en-GB"/>
        </w:rPr>
      </w:pPr>
      <w:r w:rsidRPr="00153A2A">
        <w:rPr>
          <w:rFonts w:cs="Arial"/>
          <w:sz w:val="22"/>
          <w:szCs w:val="22"/>
          <w:lang w:eastAsia="en-GB"/>
        </w:rPr>
        <w:t xml:space="preserve">for the 2015 scheme were </w:t>
      </w:r>
      <w:r w:rsidR="003D0845" w:rsidRPr="00153A2A">
        <w:rPr>
          <w:rFonts w:cs="Arial"/>
          <w:sz w:val="22"/>
          <w:szCs w:val="22"/>
          <w:lang w:eastAsia="en-GB"/>
        </w:rPr>
        <w:t xml:space="preserve">circa 26.5% </w:t>
      </w:r>
      <w:r w:rsidR="00FD41CC" w:rsidRPr="00153A2A">
        <w:rPr>
          <w:rFonts w:cs="Arial"/>
          <w:sz w:val="22"/>
          <w:szCs w:val="22"/>
          <w:lang w:eastAsia="en-GB"/>
        </w:rPr>
        <w:t xml:space="preserve">on average </w:t>
      </w:r>
      <w:r w:rsidR="003D0845" w:rsidRPr="00153A2A">
        <w:rPr>
          <w:rFonts w:cs="Arial"/>
          <w:sz w:val="22"/>
          <w:szCs w:val="22"/>
          <w:lang w:eastAsia="en-GB"/>
        </w:rPr>
        <w:t>of pensionable pay (14.3% for employers and between 10</w:t>
      </w:r>
      <w:r w:rsidR="002A7A6B">
        <w:rPr>
          <w:rFonts w:cs="Arial"/>
          <w:sz w:val="22"/>
          <w:szCs w:val="22"/>
          <w:lang w:eastAsia="en-GB"/>
        </w:rPr>
        <w:t>.5</w:t>
      </w:r>
      <w:r w:rsidR="003D0845" w:rsidRPr="00153A2A">
        <w:rPr>
          <w:rFonts w:cs="Arial"/>
          <w:sz w:val="22"/>
          <w:szCs w:val="22"/>
          <w:lang w:eastAsia="en-GB"/>
        </w:rPr>
        <w:t>% and 14.5% for employees dependent on salary)</w:t>
      </w:r>
    </w:p>
    <w:p w:rsidR="00633424" w:rsidRPr="00633424" w:rsidRDefault="00633424" w:rsidP="00633424">
      <w:pPr>
        <w:ind w:right="-52"/>
        <w:jc w:val="both"/>
        <w:rPr>
          <w:rFonts w:cs="Arial"/>
          <w:sz w:val="22"/>
          <w:szCs w:val="22"/>
          <w:lang w:eastAsia="en-GB"/>
        </w:rPr>
      </w:pPr>
    </w:p>
    <w:p w:rsidR="00D90216" w:rsidRPr="0020723D" w:rsidRDefault="00D90216" w:rsidP="00D90216">
      <w:pPr>
        <w:ind w:right="-52"/>
        <w:jc w:val="both"/>
        <w:rPr>
          <w:rFonts w:cs="Arial"/>
          <w:sz w:val="22"/>
          <w:szCs w:val="22"/>
          <w:lang w:eastAsia="en-GB"/>
        </w:rPr>
      </w:pPr>
      <w:r>
        <w:rPr>
          <w:rFonts w:cs="Arial"/>
          <w:sz w:val="22"/>
          <w:szCs w:val="22"/>
          <w:lang w:eastAsia="en-GB"/>
        </w:rPr>
        <w:t>These contribution levels are set nationally by the CLG, and are subject to triennial revaluations by the Government Actuary’s Department</w:t>
      </w:r>
      <w:r w:rsidR="00406AB0">
        <w:rPr>
          <w:rFonts w:cs="Arial"/>
          <w:sz w:val="22"/>
          <w:szCs w:val="22"/>
          <w:lang w:eastAsia="en-GB"/>
        </w:rPr>
        <w:t xml:space="preserve">.  </w:t>
      </w:r>
      <w:r w:rsidR="002A7A6B">
        <w:rPr>
          <w:rFonts w:cs="Arial"/>
          <w:sz w:val="22"/>
          <w:szCs w:val="22"/>
          <w:lang w:eastAsia="en-GB"/>
        </w:rPr>
        <w:t>Two</w:t>
      </w:r>
      <w:r w:rsidRPr="00F55B1C">
        <w:rPr>
          <w:rFonts w:cs="Arial"/>
          <w:sz w:val="22"/>
          <w:szCs w:val="22"/>
          <w:lang w:eastAsia="en-GB"/>
        </w:rPr>
        <w:t xml:space="preserve"> ill health retiremen</w:t>
      </w:r>
      <w:r w:rsidR="00F55B1C" w:rsidRPr="00F55B1C">
        <w:rPr>
          <w:rFonts w:cs="Arial"/>
          <w:sz w:val="22"/>
          <w:szCs w:val="22"/>
          <w:lang w:eastAsia="en-GB"/>
        </w:rPr>
        <w:t>ts</w:t>
      </w:r>
      <w:r w:rsidR="00406AB0">
        <w:rPr>
          <w:rFonts w:cs="Arial"/>
          <w:sz w:val="22"/>
          <w:szCs w:val="22"/>
          <w:lang w:eastAsia="en-GB"/>
        </w:rPr>
        <w:t xml:space="preserve"> w</w:t>
      </w:r>
      <w:r w:rsidR="00F55B1C">
        <w:rPr>
          <w:rFonts w:cs="Arial"/>
          <w:sz w:val="22"/>
          <w:szCs w:val="22"/>
          <w:lang w:eastAsia="en-GB"/>
        </w:rPr>
        <w:t>ere</w:t>
      </w:r>
      <w:r w:rsidR="00406AB0">
        <w:rPr>
          <w:rFonts w:cs="Arial"/>
          <w:sz w:val="22"/>
          <w:szCs w:val="22"/>
          <w:lang w:eastAsia="en-GB"/>
        </w:rPr>
        <w:t xml:space="preserve"> recognised</w:t>
      </w:r>
      <w:r w:rsidRPr="00421B3D">
        <w:rPr>
          <w:rFonts w:cs="Arial"/>
          <w:sz w:val="22"/>
          <w:szCs w:val="22"/>
          <w:lang w:eastAsia="en-GB"/>
        </w:rPr>
        <w:t xml:space="preserve"> during </w:t>
      </w:r>
      <w:r w:rsidR="00421B3D" w:rsidRPr="00421B3D">
        <w:rPr>
          <w:rFonts w:cs="Arial"/>
          <w:sz w:val="22"/>
          <w:szCs w:val="22"/>
          <w:lang w:eastAsia="en-GB"/>
        </w:rPr>
        <w:t>201</w:t>
      </w:r>
      <w:r w:rsidR="00B213CC">
        <w:rPr>
          <w:rFonts w:cs="Arial"/>
          <w:sz w:val="22"/>
          <w:szCs w:val="22"/>
          <w:lang w:eastAsia="en-GB"/>
        </w:rPr>
        <w:t>7</w:t>
      </w:r>
      <w:r w:rsidR="00355430">
        <w:rPr>
          <w:rFonts w:cs="Arial"/>
          <w:sz w:val="22"/>
          <w:szCs w:val="22"/>
          <w:lang w:eastAsia="en-GB"/>
        </w:rPr>
        <w:t>/1</w:t>
      </w:r>
      <w:r w:rsidR="00B213CC">
        <w:rPr>
          <w:rFonts w:cs="Arial"/>
          <w:sz w:val="22"/>
          <w:szCs w:val="22"/>
          <w:lang w:eastAsia="en-GB"/>
        </w:rPr>
        <w:t>8</w:t>
      </w:r>
      <w:r w:rsidR="00421B3D" w:rsidRPr="00421B3D">
        <w:rPr>
          <w:rFonts w:cs="Arial"/>
          <w:sz w:val="22"/>
          <w:szCs w:val="22"/>
          <w:lang w:eastAsia="en-GB"/>
        </w:rPr>
        <w:t xml:space="preserve">, and </w:t>
      </w:r>
      <w:r w:rsidR="00B213CC">
        <w:rPr>
          <w:rFonts w:cs="Arial"/>
          <w:sz w:val="22"/>
          <w:szCs w:val="22"/>
          <w:lang w:eastAsia="en-GB"/>
        </w:rPr>
        <w:t>three</w:t>
      </w:r>
      <w:r w:rsidR="00421B3D" w:rsidRPr="00421B3D">
        <w:rPr>
          <w:rFonts w:cs="Arial"/>
          <w:sz w:val="22"/>
          <w:szCs w:val="22"/>
          <w:lang w:eastAsia="en-GB"/>
        </w:rPr>
        <w:t xml:space="preserve"> in </w:t>
      </w:r>
      <w:r w:rsidRPr="00421B3D">
        <w:rPr>
          <w:rFonts w:cs="Arial"/>
          <w:sz w:val="22"/>
          <w:szCs w:val="22"/>
          <w:lang w:eastAsia="en-GB"/>
        </w:rPr>
        <w:t>20</w:t>
      </w:r>
      <w:r w:rsidR="004E61FD" w:rsidRPr="00421B3D">
        <w:rPr>
          <w:rFonts w:cs="Arial"/>
          <w:sz w:val="22"/>
          <w:szCs w:val="22"/>
          <w:lang w:eastAsia="en-GB"/>
        </w:rPr>
        <w:t>1</w:t>
      </w:r>
      <w:r w:rsidR="00B213CC">
        <w:rPr>
          <w:rFonts w:cs="Arial"/>
          <w:sz w:val="22"/>
          <w:szCs w:val="22"/>
          <w:lang w:eastAsia="en-GB"/>
        </w:rPr>
        <w:t>6</w:t>
      </w:r>
      <w:r w:rsidR="00355430">
        <w:rPr>
          <w:rFonts w:cs="Arial"/>
          <w:sz w:val="22"/>
          <w:szCs w:val="22"/>
          <w:lang w:eastAsia="en-GB"/>
        </w:rPr>
        <w:t>/1</w:t>
      </w:r>
      <w:r w:rsidR="00B213CC">
        <w:rPr>
          <w:rFonts w:cs="Arial"/>
          <w:sz w:val="22"/>
          <w:szCs w:val="22"/>
          <w:lang w:eastAsia="en-GB"/>
        </w:rPr>
        <w:t>7</w:t>
      </w:r>
      <w:r w:rsidRPr="00421B3D">
        <w:rPr>
          <w:rFonts w:cs="Arial"/>
          <w:sz w:val="22"/>
          <w:szCs w:val="22"/>
          <w:lang w:eastAsia="en-GB"/>
        </w:rPr>
        <w:t>.</w:t>
      </w:r>
    </w:p>
    <w:p w:rsidR="00D90216" w:rsidRPr="00A60775" w:rsidRDefault="00D90216" w:rsidP="00D90216">
      <w:pPr>
        <w:ind w:left="284" w:right="-52"/>
        <w:jc w:val="both"/>
        <w:rPr>
          <w:rFonts w:cs="Arial"/>
          <w:szCs w:val="24"/>
          <w:highlight w:val="cyan"/>
          <w:lang w:eastAsia="en-GB"/>
        </w:rPr>
      </w:pPr>
    </w:p>
    <w:p w:rsidR="00D90216" w:rsidRPr="0020723D" w:rsidRDefault="00D90216" w:rsidP="00D90216">
      <w:pPr>
        <w:ind w:right="-52"/>
        <w:jc w:val="both"/>
        <w:rPr>
          <w:rFonts w:cs="Arial"/>
          <w:sz w:val="22"/>
          <w:szCs w:val="22"/>
          <w:u w:val="single"/>
          <w:lang w:eastAsia="en-GB"/>
        </w:rPr>
      </w:pPr>
      <w:r w:rsidRPr="0020723D">
        <w:rPr>
          <w:rFonts w:cs="Arial"/>
          <w:sz w:val="22"/>
          <w:szCs w:val="22"/>
          <w:u w:val="single"/>
          <w:lang w:eastAsia="en-GB"/>
        </w:rPr>
        <w:t>Benefits Paid</w:t>
      </w:r>
    </w:p>
    <w:p w:rsidR="00D90216" w:rsidRPr="0020723D" w:rsidRDefault="00D90216" w:rsidP="00D90216">
      <w:pPr>
        <w:ind w:right="-52"/>
        <w:jc w:val="both"/>
        <w:rPr>
          <w:rFonts w:cs="Arial"/>
          <w:sz w:val="22"/>
          <w:szCs w:val="22"/>
          <w:lang w:eastAsia="en-GB"/>
        </w:rPr>
      </w:pPr>
      <w:r w:rsidRPr="0020723D">
        <w:rPr>
          <w:rFonts w:cs="Arial"/>
          <w:sz w:val="22"/>
          <w:szCs w:val="22"/>
          <w:lang w:eastAsia="en-GB"/>
        </w:rPr>
        <w:t>Pensions are paid to retired officers, their survivors and others who are eligible for benefits under new and existing pension schemes.</w:t>
      </w:r>
    </w:p>
    <w:p w:rsidR="00D90216" w:rsidRPr="0020723D" w:rsidRDefault="00D90216" w:rsidP="00D90216">
      <w:pPr>
        <w:ind w:left="284" w:right="-52"/>
        <w:jc w:val="both"/>
        <w:rPr>
          <w:rFonts w:cs="Arial"/>
          <w:szCs w:val="24"/>
          <w:lang w:eastAsia="en-GB"/>
        </w:rPr>
      </w:pPr>
    </w:p>
    <w:p w:rsidR="00D90216" w:rsidRPr="0020723D" w:rsidRDefault="00153A2A" w:rsidP="00D90216">
      <w:pPr>
        <w:ind w:right="-52"/>
        <w:jc w:val="both"/>
        <w:rPr>
          <w:rFonts w:cs="Arial"/>
          <w:sz w:val="22"/>
          <w:szCs w:val="22"/>
          <w:u w:val="single"/>
          <w:lang w:val="en" w:eastAsia="en-GB"/>
        </w:rPr>
      </w:pPr>
      <w:r>
        <w:rPr>
          <w:rFonts w:cs="Arial"/>
          <w:sz w:val="22"/>
          <w:szCs w:val="22"/>
          <w:u w:val="single"/>
          <w:lang w:val="en" w:eastAsia="en-GB"/>
        </w:rPr>
        <w:t>Home Office</w:t>
      </w:r>
      <w:r w:rsidR="00D90216" w:rsidRPr="0020723D">
        <w:rPr>
          <w:rFonts w:cs="Arial"/>
          <w:sz w:val="22"/>
          <w:szCs w:val="22"/>
          <w:u w:val="single"/>
          <w:lang w:val="en" w:eastAsia="en-GB"/>
        </w:rPr>
        <w:t xml:space="preserve"> Grant</w:t>
      </w:r>
    </w:p>
    <w:p w:rsidR="00D90216" w:rsidRPr="0020723D" w:rsidRDefault="00D90216" w:rsidP="00D90216">
      <w:pPr>
        <w:ind w:right="-52"/>
        <w:jc w:val="both"/>
        <w:rPr>
          <w:rFonts w:cs="Arial"/>
          <w:sz w:val="22"/>
          <w:szCs w:val="22"/>
          <w:lang w:eastAsia="en-GB"/>
        </w:rPr>
      </w:pPr>
      <w:r w:rsidRPr="0020723D">
        <w:rPr>
          <w:rFonts w:cs="Arial"/>
          <w:sz w:val="22"/>
          <w:szCs w:val="22"/>
          <w:lang w:val="en" w:eastAsia="en-GB"/>
        </w:rPr>
        <w:t xml:space="preserve">There are no investment assets and the fund is balanced to zero each year by receipt of a top up grant from the </w:t>
      </w:r>
      <w:r w:rsidR="00153A2A">
        <w:rPr>
          <w:rFonts w:cs="Arial"/>
          <w:sz w:val="22"/>
          <w:szCs w:val="22"/>
          <w:lang w:val="en" w:eastAsia="en-GB"/>
        </w:rPr>
        <w:t>Home Office</w:t>
      </w:r>
      <w:r w:rsidRPr="0020723D">
        <w:rPr>
          <w:rFonts w:cs="Arial"/>
          <w:sz w:val="22"/>
          <w:szCs w:val="22"/>
          <w:lang w:val="en" w:eastAsia="en-GB"/>
        </w:rPr>
        <w:t>, if contributions are insufficient to meet the cost of pension payments, or by paying over any surplus grant.</w:t>
      </w:r>
    </w:p>
    <w:p w:rsidR="00D90216" w:rsidRPr="00A60775" w:rsidRDefault="00D90216" w:rsidP="00D90216">
      <w:pPr>
        <w:ind w:right="-52"/>
        <w:jc w:val="both"/>
        <w:rPr>
          <w:rFonts w:cs="Arial"/>
          <w:sz w:val="22"/>
          <w:szCs w:val="22"/>
          <w:highlight w:val="cyan"/>
          <w:lang w:eastAsia="en-GB"/>
        </w:rPr>
      </w:pPr>
    </w:p>
    <w:p w:rsidR="00D90216" w:rsidRPr="0020723D" w:rsidRDefault="00D90216" w:rsidP="00D90216">
      <w:pPr>
        <w:ind w:right="-52"/>
        <w:jc w:val="both"/>
        <w:rPr>
          <w:rFonts w:cs="Arial"/>
          <w:sz w:val="22"/>
          <w:szCs w:val="22"/>
          <w:u w:val="single"/>
          <w:lang w:val="en" w:eastAsia="en-GB"/>
        </w:rPr>
      </w:pPr>
      <w:r w:rsidRPr="0020723D">
        <w:rPr>
          <w:rFonts w:cs="Arial"/>
          <w:sz w:val="22"/>
          <w:szCs w:val="22"/>
          <w:u w:val="single"/>
          <w:lang w:val="en" w:eastAsia="en-GB"/>
        </w:rPr>
        <w:t>Future Liabilities</w:t>
      </w:r>
    </w:p>
    <w:p w:rsidR="00D90216" w:rsidRPr="00983509" w:rsidRDefault="00D90216" w:rsidP="00D90216">
      <w:pPr>
        <w:jc w:val="both"/>
        <w:rPr>
          <w:sz w:val="22"/>
        </w:rPr>
      </w:pPr>
      <w:r w:rsidRPr="0020723D">
        <w:rPr>
          <w:sz w:val="22"/>
        </w:rPr>
        <w:t xml:space="preserve">The </w:t>
      </w:r>
      <w:proofErr w:type="gramStart"/>
      <w:r w:rsidRPr="0020723D">
        <w:rPr>
          <w:sz w:val="22"/>
        </w:rPr>
        <w:t>firefighters</w:t>
      </w:r>
      <w:proofErr w:type="gramEnd"/>
      <w:r w:rsidRPr="0020723D">
        <w:rPr>
          <w:sz w:val="22"/>
        </w:rPr>
        <w:t xml:space="preserve"> pension fund financial statements do not take account of liabilities to pay pensions and other benefits af</w:t>
      </w:r>
      <w:r w:rsidR="00467C60">
        <w:rPr>
          <w:sz w:val="22"/>
        </w:rPr>
        <w:t xml:space="preserve">ter the period </w:t>
      </w:r>
      <w:r w:rsidR="00467C60" w:rsidRPr="00983509">
        <w:rPr>
          <w:sz w:val="22"/>
        </w:rPr>
        <w:t xml:space="preserve">end, however details of the firefighters pension fund long term </w:t>
      </w:r>
      <w:r w:rsidR="00467C60" w:rsidRPr="00B60F4F">
        <w:rPr>
          <w:sz w:val="22"/>
        </w:rPr>
        <w:t>pension obligations are recognised in the Authorities financial statements, details can be found in note 1</w:t>
      </w:r>
      <w:r w:rsidR="00B213CC" w:rsidRPr="00B60F4F">
        <w:rPr>
          <w:sz w:val="22"/>
        </w:rPr>
        <w:t>5</w:t>
      </w:r>
      <w:r w:rsidR="00467C60" w:rsidRPr="00B60F4F">
        <w:rPr>
          <w:sz w:val="22"/>
        </w:rPr>
        <w:t>.</w:t>
      </w:r>
    </w:p>
    <w:p w:rsidR="00D90216" w:rsidRPr="00983509" w:rsidRDefault="00D90216" w:rsidP="00D90216">
      <w:pPr>
        <w:jc w:val="both"/>
        <w:rPr>
          <w:sz w:val="22"/>
        </w:rPr>
      </w:pPr>
    </w:p>
    <w:p w:rsidR="00D90216" w:rsidRPr="00A60775" w:rsidRDefault="00D90216" w:rsidP="00D90216">
      <w:pPr>
        <w:rPr>
          <w:sz w:val="22"/>
          <w:highlight w:val="cyan"/>
        </w:rPr>
      </w:pPr>
    </w:p>
    <w:p w:rsidR="00D90216" w:rsidRPr="00A60775" w:rsidRDefault="00D90216" w:rsidP="00D90216">
      <w:pPr>
        <w:rPr>
          <w:sz w:val="22"/>
          <w:highlight w:val="cyan"/>
        </w:rPr>
      </w:pPr>
      <w:r w:rsidRPr="00A60775">
        <w:rPr>
          <w:sz w:val="22"/>
          <w:highlight w:val="cyan"/>
        </w:rPr>
        <w:br w:type="page"/>
      </w:r>
    </w:p>
    <w:p w:rsidR="00D90216" w:rsidRPr="000E7247" w:rsidRDefault="00D90216" w:rsidP="00D90216">
      <w:pPr>
        <w:jc w:val="center"/>
        <w:rPr>
          <w:b/>
          <w:sz w:val="22"/>
        </w:rPr>
      </w:pPr>
      <w:r w:rsidRPr="000E7247">
        <w:rPr>
          <w:b/>
          <w:sz w:val="22"/>
        </w:rPr>
        <w:lastRenderedPageBreak/>
        <w:t>GLOSSARY OF TERMS</w:t>
      </w:r>
    </w:p>
    <w:p w:rsidR="00D90216" w:rsidRPr="000E7247" w:rsidRDefault="00D90216" w:rsidP="00D90216">
      <w:pPr>
        <w:jc w:val="both"/>
        <w:rPr>
          <w:b/>
          <w:sz w:val="22"/>
        </w:rPr>
      </w:pPr>
    </w:p>
    <w:p w:rsidR="00D90216" w:rsidRPr="000E7247" w:rsidRDefault="00D90216" w:rsidP="00D90216">
      <w:pPr>
        <w:jc w:val="both"/>
        <w:rPr>
          <w:b/>
          <w:sz w:val="22"/>
        </w:rPr>
      </w:pPr>
    </w:p>
    <w:p w:rsidR="00D90216" w:rsidRPr="000E7247" w:rsidRDefault="00D90216" w:rsidP="00D90216">
      <w:pPr>
        <w:jc w:val="both"/>
        <w:rPr>
          <w:sz w:val="22"/>
        </w:rPr>
      </w:pPr>
      <w:r w:rsidRPr="000E7247">
        <w:rPr>
          <w:b/>
          <w:sz w:val="22"/>
        </w:rPr>
        <w:t>Accrual</w:t>
      </w:r>
    </w:p>
    <w:p w:rsidR="00D90216" w:rsidRPr="000E7247" w:rsidRDefault="00D90216" w:rsidP="00D90216">
      <w:pPr>
        <w:keepLines/>
        <w:widowControl w:val="0"/>
        <w:tabs>
          <w:tab w:val="left" w:pos="0"/>
          <w:tab w:val="right" w:pos="9072"/>
        </w:tabs>
        <w:jc w:val="both"/>
        <w:rPr>
          <w:sz w:val="22"/>
        </w:rPr>
      </w:pPr>
      <w:r w:rsidRPr="000E7247">
        <w:rPr>
          <w:sz w:val="22"/>
        </w:rPr>
        <w:t>A sum included in the accounts to cover income or expenditure attributable to the accounting period covered by the accounts but for which payment had not been received/made at the Balance Sheet date.</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b/>
          <w:sz w:val="22"/>
          <w:szCs w:val="22"/>
        </w:rPr>
      </w:pPr>
      <w:r w:rsidRPr="000E7247">
        <w:rPr>
          <w:b/>
          <w:sz w:val="22"/>
          <w:szCs w:val="22"/>
        </w:rPr>
        <w:t>Amortised cost</w:t>
      </w:r>
    </w:p>
    <w:p w:rsidR="00D90216" w:rsidRPr="000E7247" w:rsidRDefault="00D90216" w:rsidP="00D90216">
      <w:pPr>
        <w:jc w:val="both"/>
        <w:rPr>
          <w:sz w:val="22"/>
          <w:szCs w:val="22"/>
        </w:rPr>
      </w:pPr>
      <w:r w:rsidRPr="000E7247">
        <w:rPr>
          <w:sz w:val="22"/>
          <w:szCs w:val="22"/>
        </w:rPr>
        <w:t>Amortised cost is a valuation basis for financial instruments that, in the case of this Authority’s assets and liabilities, is equal to their nominal value plus any interest accrued to the balance sheet date.</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sz w:val="22"/>
        </w:rPr>
      </w:pPr>
      <w:r w:rsidRPr="000E7247">
        <w:rPr>
          <w:b/>
          <w:sz w:val="22"/>
        </w:rPr>
        <w:t>Budget</w:t>
      </w:r>
    </w:p>
    <w:p w:rsidR="00D90216" w:rsidRPr="000E7247" w:rsidRDefault="00D90216" w:rsidP="00D90216">
      <w:pPr>
        <w:keepLines/>
        <w:widowControl w:val="0"/>
        <w:tabs>
          <w:tab w:val="left" w:pos="0"/>
          <w:tab w:val="right" w:pos="9072"/>
        </w:tabs>
        <w:jc w:val="both"/>
        <w:rPr>
          <w:sz w:val="22"/>
        </w:rPr>
      </w:pPr>
      <w:proofErr w:type="gramStart"/>
      <w:r w:rsidRPr="000E7247">
        <w:rPr>
          <w:sz w:val="22"/>
        </w:rPr>
        <w:t>A statement which reflects the Authority’s policies in financial terms and which quantifies its plans for spending over a specified period.</w:t>
      </w:r>
      <w:proofErr w:type="gramEnd"/>
      <w:r w:rsidRPr="000E7247">
        <w:rPr>
          <w:sz w:val="22"/>
        </w:rPr>
        <w:t xml:space="preserve">  The Revenue Budget (</w:t>
      </w:r>
      <w:r w:rsidR="001D3299" w:rsidRPr="000E7247">
        <w:rPr>
          <w:sz w:val="22"/>
        </w:rPr>
        <w:t>i.e.</w:t>
      </w:r>
      <w:r w:rsidRPr="000E7247">
        <w:rPr>
          <w:sz w:val="22"/>
        </w:rPr>
        <w:t xml:space="preserve"> spending other than capital expenditure) is normally finalised and approved in January prior to the commencement of the financial year.</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sz w:val="22"/>
        </w:rPr>
      </w:pPr>
      <w:r w:rsidRPr="000E7247">
        <w:rPr>
          <w:b/>
          <w:sz w:val="22"/>
        </w:rPr>
        <w:t>Capital Expenditure</w:t>
      </w:r>
    </w:p>
    <w:p w:rsidR="00D90216" w:rsidRPr="000E7247" w:rsidRDefault="00D90216" w:rsidP="00D90216">
      <w:pPr>
        <w:keepLines/>
        <w:widowControl w:val="0"/>
        <w:tabs>
          <w:tab w:val="left" w:pos="0"/>
          <w:tab w:val="right" w:pos="9072"/>
        </w:tabs>
        <w:jc w:val="both"/>
        <w:rPr>
          <w:sz w:val="22"/>
        </w:rPr>
      </w:pPr>
      <w:r w:rsidRPr="000E7247">
        <w:rPr>
          <w:sz w:val="22"/>
        </w:rPr>
        <w:t xml:space="preserve">Payments made for the acquisition or provision of assets which will be of relatively long-term value to the Authority </w:t>
      </w:r>
      <w:r w:rsidR="001D3299" w:rsidRPr="000E7247">
        <w:rPr>
          <w:sz w:val="22"/>
        </w:rPr>
        <w:t>e.g.</w:t>
      </w:r>
      <w:r w:rsidRPr="000E7247">
        <w:rPr>
          <w:sz w:val="22"/>
        </w:rPr>
        <w:t xml:space="preserve"> land, buildings and equipment.  </w:t>
      </w:r>
      <w:proofErr w:type="gramStart"/>
      <w:r w:rsidRPr="000E7247">
        <w:rPr>
          <w:sz w:val="22"/>
        </w:rPr>
        <w:t>Also referred to as capital spending, capital outlay, or capital payments.</w:t>
      </w:r>
      <w:proofErr w:type="gramEnd"/>
      <w:r w:rsidRPr="000E7247">
        <w:rPr>
          <w:sz w:val="22"/>
        </w:rPr>
        <w:t xml:space="preserve">  The resulting capital assets are referred to as “fixed assets”.</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sz w:val="22"/>
        </w:rPr>
      </w:pPr>
      <w:r w:rsidRPr="000E7247">
        <w:rPr>
          <w:b/>
          <w:sz w:val="22"/>
        </w:rPr>
        <w:t>Capital Receipts</w:t>
      </w:r>
    </w:p>
    <w:p w:rsidR="00D90216" w:rsidRPr="000E7247" w:rsidRDefault="00D90216" w:rsidP="00D90216">
      <w:pPr>
        <w:keepLines/>
        <w:widowControl w:val="0"/>
        <w:tabs>
          <w:tab w:val="left" w:pos="0"/>
          <w:tab w:val="right" w:pos="9072"/>
        </w:tabs>
        <w:jc w:val="both"/>
        <w:rPr>
          <w:sz w:val="22"/>
        </w:rPr>
      </w:pPr>
      <w:proofErr w:type="gramStart"/>
      <w:r w:rsidRPr="000E7247">
        <w:rPr>
          <w:sz w:val="22"/>
        </w:rPr>
        <w:t>Proceeds from the sale of capital assets.</w:t>
      </w:r>
      <w:proofErr w:type="gramEnd"/>
      <w:r w:rsidRPr="000E7247">
        <w:rPr>
          <w:sz w:val="22"/>
        </w:rPr>
        <w:t xml:space="preserve">  Such income may only be used for capital purposes, </w:t>
      </w:r>
      <w:r w:rsidR="001D3299" w:rsidRPr="000E7247">
        <w:rPr>
          <w:sz w:val="22"/>
        </w:rPr>
        <w:t>i.e.</w:t>
      </w:r>
      <w:r w:rsidRPr="000E7247">
        <w:rPr>
          <w:sz w:val="22"/>
        </w:rPr>
        <w:t xml:space="preserve"> to repay existing loan debt, or to finance new capital expenditure in proportions determined by the Government.  Any receipts which have not yet been utilised as described are referred to as “capital receipts unapplied”.</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keepLines/>
        <w:widowControl w:val="0"/>
        <w:tabs>
          <w:tab w:val="left" w:pos="0"/>
          <w:tab w:val="right" w:pos="9072"/>
        </w:tabs>
        <w:jc w:val="both"/>
        <w:rPr>
          <w:sz w:val="22"/>
        </w:rPr>
      </w:pPr>
      <w:r w:rsidRPr="000E7247">
        <w:rPr>
          <w:b/>
          <w:sz w:val="22"/>
        </w:rPr>
        <w:t>Comprehensive Income &amp; Expenditure Statement</w:t>
      </w:r>
    </w:p>
    <w:p w:rsidR="00D90216" w:rsidRPr="000E7247" w:rsidRDefault="00D90216" w:rsidP="00D90216">
      <w:pPr>
        <w:keepLines/>
        <w:widowControl w:val="0"/>
        <w:tabs>
          <w:tab w:val="left" w:pos="0"/>
          <w:tab w:val="right" w:pos="9072"/>
        </w:tabs>
        <w:jc w:val="both"/>
        <w:rPr>
          <w:sz w:val="22"/>
        </w:rPr>
      </w:pPr>
      <w:r w:rsidRPr="000E7247">
        <w:rPr>
          <w:sz w:val="22"/>
        </w:rPr>
        <w:t>An account which records an authority’s day to day expenditure and income on items such as salaries and wages, running costs of services and the financing</w:t>
      </w:r>
      <w:r w:rsidRPr="000E7247">
        <w:rPr>
          <w:b/>
          <w:sz w:val="22"/>
        </w:rPr>
        <w:t xml:space="preserve"> </w:t>
      </w:r>
      <w:r w:rsidRPr="000E7247">
        <w:rPr>
          <w:sz w:val="22"/>
        </w:rPr>
        <w:t>charges in respect of capital expenditure.</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sz w:val="22"/>
        </w:rPr>
      </w:pPr>
      <w:r w:rsidRPr="000E7247">
        <w:rPr>
          <w:b/>
          <w:sz w:val="22"/>
        </w:rPr>
        <w:t>Creditors</w:t>
      </w:r>
    </w:p>
    <w:p w:rsidR="00D90216" w:rsidRPr="000E7247" w:rsidRDefault="00D90216" w:rsidP="00D90216">
      <w:pPr>
        <w:keepLines/>
        <w:widowControl w:val="0"/>
        <w:tabs>
          <w:tab w:val="left" w:pos="0"/>
          <w:tab w:val="right" w:pos="9072"/>
        </w:tabs>
        <w:jc w:val="both"/>
        <w:rPr>
          <w:sz w:val="22"/>
        </w:rPr>
      </w:pPr>
      <w:r w:rsidRPr="000E7247">
        <w:rPr>
          <w:sz w:val="22"/>
        </w:rPr>
        <w:t>Amounts owed by the Authority for work done, goods received, or services rendered but for which payment had not been made at the date of the Balance Sheet.</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sz w:val="22"/>
        </w:rPr>
      </w:pPr>
      <w:r w:rsidRPr="000E7247">
        <w:rPr>
          <w:b/>
          <w:sz w:val="22"/>
        </w:rPr>
        <w:t>Debtors</w:t>
      </w:r>
    </w:p>
    <w:p w:rsidR="00D90216" w:rsidRPr="000E7247" w:rsidRDefault="00D90216" w:rsidP="00D90216">
      <w:pPr>
        <w:keepLines/>
        <w:widowControl w:val="0"/>
        <w:tabs>
          <w:tab w:val="left" w:pos="0"/>
          <w:tab w:val="right" w:pos="9072"/>
        </w:tabs>
        <w:jc w:val="both"/>
        <w:rPr>
          <w:sz w:val="22"/>
        </w:rPr>
      </w:pPr>
      <w:r w:rsidRPr="000E7247">
        <w:rPr>
          <w:sz w:val="22"/>
        </w:rPr>
        <w:t>Sums of money due to the Authority in the relevant financial year but not received at the Balance Sheet date.</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jc w:val="both"/>
        <w:rPr>
          <w:b/>
          <w:sz w:val="22"/>
          <w:szCs w:val="22"/>
        </w:rPr>
      </w:pPr>
      <w:r w:rsidRPr="000E7247">
        <w:rPr>
          <w:b/>
          <w:sz w:val="22"/>
          <w:szCs w:val="22"/>
        </w:rPr>
        <w:t>Fair Value</w:t>
      </w:r>
    </w:p>
    <w:p w:rsidR="00D90216" w:rsidRPr="000E7247" w:rsidRDefault="00D90216" w:rsidP="00D90216">
      <w:pPr>
        <w:jc w:val="both"/>
        <w:rPr>
          <w:sz w:val="22"/>
          <w:szCs w:val="22"/>
        </w:rPr>
      </w:pPr>
      <w:r w:rsidRPr="000E7247">
        <w:rPr>
          <w:sz w:val="22"/>
          <w:szCs w:val="22"/>
        </w:rPr>
        <w:t>Fair value is a valuation basis for financial instruments that represents the amount at which the instruments could be exchanged in an open market transaction. If no market for a specific instrument exists, fair value can be estimated by a technique that is based on a comparison of the interest rate on the instrument with interest rates on similar instruments that are available in financial markets.</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keepLines/>
        <w:widowControl w:val="0"/>
        <w:tabs>
          <w:tab w:val="left" w:pos="0"/>
          <w:tab w:val="right" w:pos="9072"/>
        </w:tabs>
        <w:jc w:val="both"/>
        <w:rPr>
          <w:b/>
          <w:sz w:val="22"/>
          <w:szCs w:val="22"/>
        </w:rPr>
      </w:pPr>
      <w:r w:rsidRPr="000E7247">
        <w:rPr>
          <w:b/>
          <w:sz w:val="22"/>
        </w:rPr>
        <w:t>Financial Instrument</w:t>
      </w:r>
    </w:p>
    <w:p w:rsidR="00D90216" w:rsidRPr="000E7247" w:rsidRDefault="00D90216" w:rsidP="00D90216">
      <w:pPr>
        <w:rPr>
          <w:sz w:val="22"/>
          <w:szCs w:val="22"/>
        </w:rPr>
      </w:pPr>
      <w:proofErr w:type="gramStart"/>
      <w:r w:rsidRPr="000E7247">
        <w:rPr>
          <w:sz w:val="22"/>
          <w:szCs w:val="22"/>
        </w:rPr>
        <w:t>A financial liability or asset such as a borrowing or an investment.</w:t>
      </w:r>
      <w:proofErr w:type="gramEnd"/>
    </w:p>
    <w:p w:rsidR="00D90216" w:rsidRPr="00A60775" w:rsidRDefault="00D90216" w:rsidP="00D90216">
      <w:pPr>
        <w:keepLines/>
        <w:widowControl w:val="0"/>
        <w:tabs>
          <w:tab w:val="left" w:pos="0"/>
          <w:tab w:val="right" w:pos="9072"/>
        </w:tabs>
        <w:jc w:val="both"/>
        <w:rPr>
          <w:b/>
          <w:sz w:val="22"/>
          <w:highlight w:val="cyan"/>
        </w:rPr>
      </w:pPr>
      <w:r>
        <w:rPr>
          <w:b/>
          <w:sz w:val="22"/>
          <w:highlight w:val="cyan"/>
        </w:rPr>
        <w:br w:type="page"/>
      </w:r>
    </w:p>
    <w:p w:rsidR="009E43FA" w:rsidRDefault="009E43FA" w:rsidP="00D90216">
      <w:pPr>
        <w:keepLines/>
        <w:widowControl w:val="0"/>
        <w:tabs>
          <w:tab w:val="left" w:pos="0"/>
          <w:tab w:val="right" w:pos="9072"/>
        </w:tabs>
        <w:jc w:val="both"/>
        <w:rPr>
          <w:b/>
          <w:sz w:val="22"/>
        </w:rPr>
      </w:pPr>
    </w:p>
    <w:p w:rsidR="00D90216" w:rsidRPr="000E7247" w:rsidRDefault="00D90216" w:rsidP="00D90216">
      <w:pPr>
        <w:keepLines/>
        <w:widowControl w:val="0"/>
        <w:tabs>
          <w:tab w:val="left" w:pos="0"/>
          <w:tab w:val="right" w:pos="9072"/>
        </w:tabs>
        <w:jc w:val="both"/>
        <w:rPr>
          <w:b/>
          <w:sz w:val="22"/>
        </w:rPr>
      </w:pPr>
      <w:r w:rsidRPr="000E7247">
        <w:rPr>
          <w:b/>
          <w:sz w:val="22"/>
        </w:rPr>
        <w:t>Financial Year</w:t>
      </w:r>
    </w:p>
    <w:p w:rsidR="00D90216" w:rsidRPr="000E7247" w:rsidRDefault="00D90216" w:rsidP="00D90216">
      <w:pPr>
        <w:keepLines/>
        <w:widowControl w:val="0"/>
        <w:tabs>
          <w:tab w:val="left" w:pos="0"/>
          <w:tab w:val="right" w:pos="9072"/>
        </w:tabs>
        <w:jc w:val="both"/>
        <w:rPr>
          <w:sz w:val="22"/>
        </w:rPr>
      </w:pPr>
      <w:proofErr w:type="gramStart"/>
      <w:r w:rsidRPr="000E7247">
        <w:rPr>
          <w:sz w:val="22"/>
        </w:rPr>
        <w:t>The period of twelve months for which the accounts are comprised.</w:t>
      </w:r>
      <w:proofErr w:type="gramEnd"/>
      <w:r w:rsidRPr="000E7247">
        <w:rPr>
          <w:sz w:val="22"/>
        </w:rPr>
        <w:t xml:space="preserve">  For Fire Authorities the financial year (or accounting period as it is also known) commences on 1 April and finishes on the 31 March of the following year.</w:t>
      </w:r>
    </w:p>
    <w:p w:rsidR="00D90216" w:rsidRPr="00A60775" w:rsidRDefault="00D90216" w:rsidP="00D90216">
      <w:pPr>
        <w:keepLines/>
        <w:widowControl w:val="0"/>
        <w:tabs>
          <w:tab w:val="left" w:pos="0"/>
          <w:tab w:val="right" w:pos="9072"/>
        </w:tabs>
        <w:jc w:val="both"/>
        <w:rPr>
          <w:sz w:val="22"/>
          <w:highlight w:val="cyan"/>
        </w:rPr>
      </w:pPr>
    </w:p>
    <w:p w:rsidR="00D90216" w:rsidRPr="000E7247" w:rsidRDefault="00D90216" w:rsidP="00D90216">
      <w:pPr>
        <w:keepLines/>
        <w:widowControl w:val="0"/>
        <w:tabs>
          <w:tab w:val="left" w:pos="0"/>
          <w:tab w:val="right" w:pos="9072"/>
        </w:tabs>
        <w:jc w:val="both"/>
        <w:rPr>
          <w:b/>
          <w:sz w:val="22"/>
        </w:rPr>
      </w:pPr>
      <w:r w:rsidRPr="000E7247">
        <w:rPr>
          <w:b/>
          <w:sz w:val="22"/>
        </w:rPr>
        <w:t>Financing Charges</w:t>
      </w:r>
    </w:p>
    <w:p w:rsidR="00D90216" w:rsidRPr="000E7247" w:rsidRDefault="00D90216" w:rsidP="00D90216">
      <w:pPr>
        <w:keepLines/>
        <w:widowControl w:val="0"/>
        <w:tabs>
          <w:tab w:val="left" w:pos="0"/>
          <w:tab w:val="right" w:pos="9072"/>
        </w:tabs>
        <w:jc w:val="both"/>
        <w:rPr>
          <w:sz w:val="22"/>
        </w:rPr>
      </w:pPr>
      <w:r w:rsidRPr="000E7247">
        <w:rPr>
          <w:sz w:val="22"/>
        </w:rPr>
        <w:t xml:space="preserve">Annual charges to the Authority’s Comprehensive Income and Expenditure Statement to cover the interest on and the repayment of, loans </w:t>
      </w:r>
      <w:proofErr w:type="gramStart"/>
      <w:r w:rsidRPr="000E7247">
        <w:rPr>
          <w:sz w:val="22"/>
        </w:rPr>
        <w:t>raised</w:t>
      </w:r>
      <w:proofErr w:type="gramEnd"/>
      <w:r w:rsidRPr="000E7247">
        <w:rPr>
          <w:sz w:val="22"/>
        </w:rPr>
        <w:t xml:space="preserve"> for capital expenditure.  Annual lease rental payments are also included.</w:t>
      </w:r>
    </w:p>
    <w:p w:rsidR="00D90216" w:rsidRPr="00A60775" w:rsidRDefault="00D90216" w:rsidP="00D90216">
      <w:pPr>
        <w:jc w:val="both"/>
        <w:rPr>
          <w:b/>
          <w:sz w:val="22"/>
          <w:highlight w:val="cyan"/>
        </w:rPr>
      </w:pPr>
    </w:p>
    <w:p w:rsidR="00D90216" w:rsidRPr="000E7247" w:rsidRDefault="00D90216" w:rsidP="00D90216">
      <w:pPr>
        <w:jc w:val="both"/>
        <w:rPr>
          <w:b/>
          <w:sz w:val="22"/>
          <w:szCs w:val="22"/>
        </w:rPr>
      </w:pPr>
      <w:r w:rsidRPr="000E7247">
        <w:rPr>
          <w:b/>
          <w:sz w:val="22"/>
          <w:szCs w:val="22"/>
        </w:rPr>
        <w:t>Premiums and Discounts</w:t>
      </w:r>
    </w:p>
    <w:p w:rsidR="00D90216" w:rsidRPr="000E7247" w:rsidRDefault="00D90216" w:rsidP="00D90216">
      <w:pPr>
        <w:jc w:val="both"/>
        <w:rPr>
          <w:sz w:val="22"/>
          <w:szCs w:val="22"/>
        </w:rPr>
      </w:pPr>
      <w:r w:rsidRPr="000E7247">
        <w:rPr>
          <w:sz w:val="22"/>
          <w:szCs w:val="22"/>
        </w:rPr>
        <w:t>Premiums are payable and discounts receivable when loans are repaid to the Public Works Loan Board (PWLB) in advance of their contracted maturity date. The premium or discount is calculated with reference to the interest rate on the loan being repaid and the interest rate for similar new loans on the repayment date.</w:t>
      </w:r>
    </w:p>
    <w:p w:rsidR="00D90216" w:rsidRPr="000E7247" w:rsidRDefault="00D90216" w:rsidP="00D90216">
      <w:pPr>
        <w:keepLines/>
        <w:widowControl w:val="0"/>
        <w:tabs>
          <w:tab w:val="left" w:pos="0"/>
          <w:tab w:val="right" w:pos="9072"/>
        </w:tabs>
        <w:jc w:val="both"/>
        <w:rPr>
          <w:sz w:val="22"/>
        </w:rPr>
      </w:pPr>
    </w:p>
    <w:p w:rsidR="00D90216" w:rsidRPr="000E7247" w:rsidRDefault="00D90216" w:rsidP="00D90216">
      <w:pPr>
        <w:keepLines/>
        <w:widowControl w:val="0"/>
        <w:tabs>
          <w:tab w:val="left" w:pos="0"/>
          <w:tab w:val="right" w:pos="9072"/>
        </w:tabs>
        <w:jc w:val="both"/>
        <w:rPr>
          <w:b/>
          <w:sz w:val="22"/>
        </w:rPr>
      </w:pPr>
      <w:r w:rsidRPr="000E7247">
        <w:rPr>
          <w:b/>
          <w:sz w:val="22"/>
        </w:rPr>
        <w:t>Public Works Loan Board (PWLB)</w:t>
      </w:r>
    </w:p>
    <w:p w:rsidR="00D90216" w:rsidRPr="000E7247" w:rsidRDefault="00D90216" w:rsidP="00D90216">
      <w:pPr>
        <w:keepLines/>
        <w:widowControl w:val="0"/>
        <w:tabs>
          <w:tab w:val="left" w:pos="0"/>
          <w:tab w:val="right" w:pos="9072"/>
        </w:tabs>
        <w:jc w:val="both"/>
        <w:rPr>
          <w:sz w:val="22"/>
        </w:rPr>
      </w:pPr>
      <w:r w:rsidRPr="000E7247">
        <w:rPr>
          <w:sz w:val="22"/>
        </w:rPr>
        <w:t>A government agency which provides longer-term loans to local authorities at interest rates only slightly higher than those at which the government itself can borrow.</w:t>
      </w:r>
    </w:p>
    <w:p w:rsidR="00D90216" w:rsidRPr="00C54FA8" w:rsidRDefault="00D90216" w:rsidP="00D90216">
      <w:pPr>
        <w:keepLines/>
        <w:widowControl w:val="0"/>
        <w:tabs>
          <w:tab w:val="left" w:pos="0"/>
          <w:tab w:val="right" w:pos="9072"/>
        </w:tabs>
        <w:jc w:val="both"/>
        <w:rPr>
          <w:sz w:val="22"/>
        </w:rPr>
      </w:pPr>
    </w:p>
    <w:p w:rsidR="00D90216" w:rsidRPr="00C54FA8" w:rsidRDefault="00D90216" w:rsidP="00D90216">
      <w:pPr>
        <w:keepLines/>
        <w:widowControl w:val="0"/>
        <w:tabs>
          <w:tab w:val="left" w:pos="0"/>
          <w:tab w:val="right" w:pos="9072"/>
        </w:tabs>
        <w:jc w:val="both"/>
        <w:rPr>
          <w:sz w:val="22"/>
        </w:rPr>
      </w:pPr>
      <w:r w:rsidRPr="00C54FA8">
        <w:rPr>
          <w:b/>
          <w:sz w:val="22"/>
        </w:rPr>
        <w:t>Revenue Contribution to Capital Outlay</w:t>
      </w:r>
    </w:p>
    <w:p w:rsidR="00D90216" w:rsidRPr="00C54FA8" w:rsidRDefault="00D90216" w:rsidP="00D90216">
      <w:pPr>
        <w:keepLines/>
        <w:widowControl w:val="0"/>
        <w:tabs>
          <w:tab w:val="left" w:pos="0"/>
          <w:tab w:val="right" w:pos="9072"/>
        </w:tabs>
        <w:jc w:val="both"/>
        <w:rPr>
          <w:sz w:val="22"/>
        </w:rPr>
      </w:pPr>
      <w:proofErr w:type="gramStart"/>
      <w:r w:rsidRPr="00C54FA8">
        <w:rPr>
          <w:sz w:val="22"/>
        </w:rPr>
        <w:t>The financing of capital expenditure by a direct contribution from revenue account, rather than by means of loan or other forms of finance.</w:t>
      </w:r>
      <w:proofErr w:type="gramEnd"/>
    </w:p>
    <w:p w:rsidR="00D90216" w:rsidRPr="00C54FA8" w:rsidRDefault="00D90216" w:rsidP="00D90216">
      <w:pPr>
        <w:keepLines/>
        <w:widowControl w:val="0"/>
        <w:tabs>
          <w:tab w:val="left" w:pos="0"/>
          <w:tab w:val="right" w:pos="9072"/>
        </w:tabs>
        <w:jc w:val="both"/>
        <w:rPr>
          <w:sz w:val="22"/>
        </w:rPr>
      </w:pPr>
    </w:p>
    <w:p w:rsidR="00D90216" w:rsidRPr="00C54FA8" w:rsidRDefault="00D90216" w:rsidP="00D90216">
      <w:pPr>
        <w:keepLines/>
        <w:widowControl w:val="0"/>
        <w:tabs>
          <w:tab w:val="left" w:pos="0"/>
          <w:tab w:val="right" w:pos="9072"/>
        </w:tabs>
        <w:jc w:val="both"/>
        <w:rPr>
          <w:sz w:val="22"/>
        </w:rPr>
      </w:pPr>
      <w:r w:rsidRPr="00C54FA8">
        <w:rPr>
          <w:b/>
          <w:sz w:val="22"/>
        </w:rPr>
        <w:t>Revenue Expenditure</w:t>
      </w:r>
    </w:p>
    <w:p w:rsidR="00D90216" w:rsidRDefault="00D90216" w:rsidP="00D90216">
      <w:pPr>
        <w:keepLines/>
        <w:widowControl w:val="0"/>
        <w:tabs>
          <w:tab w:val="left" w:pos="0"/>
          <w:tab w:val="right" w:pos="9072"/>
        </w:tabs>
        <w:jc w:val="both"/>
        <w:rPr>
          <w:sz w:val="22"/>
        </w:rPr>
      </w:pPr>
      <w:proofErr w:type="gramStart"/>
      <w:r w:rsidRPr="00C54FA8">
        <w:rPr>
          <w:sz w:val="22"/>
        </w:rPr>
        <w:t>The day-to-day expenditure of the Authority, which is charged to the Comprehensive Income &amp; Expenditure Statement, comprising mainly salaries and wages, running costs, and financing charges.</w:t>
      </w:r>
      <w:proofErr w:type="gramEnd"/>
    </w:p>
    <w:p w:rsidR="00D90216" w:rsidRDefault="00D90216" w:rsidP="00D90216">
      <w:pPr>
        <w:keepLines/>
        <w:widowControl w:val="0"/>
        <w:tabs>
          <w:tab w:val="left" w:pos="0"/>
          <w:tab w:val="right" w:pos="9072"/>
        </w:tabs>
        <w:jc w:val="both"/>
        <w:rPr>
          <w:sz w:val="22"/>
        </w:rPr>
      </w:pPr>
    </w:p>
    <w:p w:rsidR="00315853" w:rsidRDefault="00315853">
      <w:pPr>
        <w:keepLines/>
        <w:widowControl w:val="0"/>
        <w:tabs>
          <w:tab w:val="left" w:pos="0"/>
          <w:tab w:val="right" w:pos="9072"/>
        </w:tabs>
        <w:jc w:val="both"/>
        <w:rPr>
          <w:sz w:val="22"/>
        </w:rPr>
      </w:pPr>
    </w:p>
    <w:sectPr w:rsidR="00315853" w:rsidSect="0029602A">
      <w:pgSz w:w="11907" w:h="16840" w:code="9"/>
      <w:pgMar w:top="851" w:right="851"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14" w:rsidRDefault="00BC1A14">
      <w:r>
        <w:separator/>
      </w:r>
    </w:p>
  </w:endnote>
  <w:endnote w:type="continuationSeparator" w:id="0">
    <w:p w:rsidR="00BC1A14" w:rsidRDefault="00BC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Default="00BC1A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Default="00BC1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221">
      <w:rPr>
        <w:rStyle w:val="PageNumber"/>
        <w:noProof/>
      </w:rPr>
      <w:t>1</w:t>
    </w:r>
    <w:r>
      <w:rPr>
        <w:rStyle w:val="PageNumber"/>
      </w:rPr>
      <w:fldChar w:fldCharType="end"/>
    </w:r>
  </w:p>
  <w:p w:rsidR="00BC1A14" w:rsidRDefault="00BC1A1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Default="00BC1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221">
      <w:rPr>
        <w:rStyle w:val="PageNumber"/>
        <w:noProof/>
      </w:rPr>
      <w:t>65</w:t>
    </w:r>
    <w:r>
      <w:rPr>
        <w:rStyle w:val="PageNumber"/>
      </w:rPr>
      <w:fldChar w:fldCharType="end"/>
    </w:r>
  </w:p>
  <w:p w:rsidR="00BC1A14" w:rsidRDefault="00BC1A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14" w:rsidRDefault="00BC1A14">
      <w:r>
        <w:separator/>
      </w:r>
    </w:p>
  </w:footnote>
  <w:footnote w:type="continuationSeparator" w:id="0">
    <w:p w:rsidR="00BC1A14" w:rsidRDefault="00BC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Pr="003D7559" w:rsidRDefault="00BC1A14">
    <w:pPr>
      <w:pStyle w:val="Header"/>
      <w:rPr>
        <w:sz w:val="22"/>
        <w:szCs w:val="22"/>
      </w:rPr>
    </w:pPr>
    <w:r w:rsidRPr="003D7559">
      <w:rPr>
        <w:sz w:val="22"/>
        <w:szCs w:val="22"/>
      </w:rPr>
      <w:t>Lancashire Combined Fire Authority</w:t>
    </w:r>
  </w:p>
  <w:p w:rsidR="00BC1A14" w:rsidRPr="003D7559" w:rsidRDefault="00BC1A14">
    <w:pPr>
      <w:pStyle w:val="Header"/>
      <w:rPr>
        <w:sz w:val="22"/>
        <w:szCs w:val="22"/>
      </w:rPr>
    </w:pPr>
    <w:r w:rsidRPr="003D7559">
      <w:rPr>
        <w:sz w:val="22"/>
        <w:szCs w:val="22"/>
      </w:rPr>
      <w:t>Statement of Accounts 201</w:t>
    </w:r>
    <w:r>
      <w:rPr>
        <w:sz w:val="22"/>
        <w:szCs w:val="22"/>
      </w:rPr>
      <w:t>7/18</w:t>
    </w:r>
  </w:p>
  <w:p w:rsidR="00BC1A14" w:rsidRDefault="00BC1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Default="00BC1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Pr="003D7559" w:rsidRDefault="00BC1A14" w:rsidP="002F318F">
    <w:pPr>
      <w:pStyle w:val="Header"/>
      <w:rPr>
        <w:sz w:val="22"/>
        <w:szCs w:val="22"/>
      </w:rPr>
    </w:pPr>
    <w:r w:rsidRPr="003D7559">
      <w:rPr>
        <w:sz w:val="22"/>
        <w:szCs w:val="22"/>
      </w:rPr>
      <w:t>Lancashire Combined Fire Authority</w:t>
    </w:r>
  </w:p>
  <w:p w:rsidR="00BC1A14" w:rsidRPr="002F318F" w:rsidRDefault="00BC1A14">
    <w:pPr>
      <w:pStyle w:val="Header"/>
      <w:rPr>
        <w:sz w:val="22"/>
        <w:szCs w:val="22"/>
      </w:rPr>
    </w:pPr>
    <w:r w:rsidRPr="003D7559">
      <w:rPr>
        <w:sz w:val="22"/>
        <w:szCs w:val="22"/>
      </w:rPr>
      <w:t>Statement of Accounts 201</w:t>
    </w:r>
    <w:r>
      <w:rPr>
        <w:sz w:val="22"/>
        <w:szCs w:val="22"/>
      </w:rPr>
      <w:t>7/18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14" w:rsidRDefault="00BC1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403"/>
    <w:multiLevelType w:val="multilevel"/>
    <w:tmpl w:val="8F50608C"/>
    <w:lvl w:ilvl="0">
      <w:start w:val="1"/>
      <w:numFmt w:val="decimal"/>
      <w:pStyle w:val="Bodytextnumbered"/>
      <w:lvlText w:val="%1"/>
      <w:lvlJc w:val="right"/>
      <w:pPr>
        <w:tabs>
          <w:tab w:val="num" w:pos="397"/>
        </w:tabs>
        <w:ind w:left="397" w:hanging="227"/>
      </w:pPr>
      <w:rPr>
        <w:rFonts w:hint="default"/>
        <w:b/>
        <w:i w:val="0"/>
        <w:color w:val="083863"/>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83863"/>
        <w:sz w:val="20"/>
        <w:szCs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A12543"/>
    <w:multiLevelType w:val="hybridMultilevel"/>
    <w:tmpl w:val="7ECAB368"/>
    <w:lvl w:ilvl="0" w:tplc="BF3E21C2">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
    <w:nsid w:val="075B521F"/>
    <w:multiLevelType w:val="hybridMultilevel"/>
    <w:tmpl w:val="33BAC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E211F7"/>
    <w:multiLevelType w:val="hybridMultilevel"/>
    <w:tmpl w:val="11680D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C06A5D"/>
    <w:multiLevelType w:val="hybridMultilevel"/>
    <w:tmpl w:val="99DE52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17793B22"/>
    <w:multiLevelType w:val="hybridMultilevel"/>
    <w:tmpl w:val="99B0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D2716"/>
    <w:multiLevelType w:val="hybridMultilevel"/>
    <w:tmpl w:val="767E5DF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9AC066C"/>
    <w:multiLevelType w:val="hybridMultilevel"/>
    <w:tmpl w:val="F2EABE9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DDE752B"/>
    <w:multiLevelType w:val="hybridMultilevel"/>
    <w:tmpl w:val="ACEEC308"/>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9">
    <w:nsid w:val="1F20540B"/>
    <w:multiLevelType w:val="hybridMultilevel"/>
    <w:tmpl w:val="BC8E09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1F61496"/>
    <w:multiLevelType w:val="hybridMultilevel"/>
    <w:tmpl w:val="F52AF7D6"/>
    <w:lvl w:ilvl="0" w:tplc="FED4AA18">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1">
    <w:nsid w:val="2A431283"/>
    <w:multiLevelType w:val="hybridMultilevel"/>
    <w:tmpl w:val="28B63CB8"/>
    <w:lvl w:ilvl="0" w:tplc="17DA671C">
      <w:numFmt w:val="bullet"/>
      <w:lvlText w:val="*"/>
      <w:lvlJc w:val="left"/>
      <w:pPr>
        <w:ind w:left="1066" w:hanging="360"/>
      </w:pPr>
      <w:rPr>
        <w:rFonts w:ascii="Arial" w:eastAsia="Times New Roman" w:hAnsi="Arial" w:cs="Aria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2">
    <w:nsid w:val="2F4828C1"/>
    <w:multiLevelType w:val="hybridMultilevel"/>
    <w:tmpl w:val="6F22EE2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2F7D0B9E"/>
    <w:multiLevelType w:val="hybridMultilevel"/>
    <w:tmpl w:val="A62421B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338D7242"/>
    <w:multiLevelType w:val="hybridMultilevel"/>
    <w:tmpl w:val="C97C27EA"/>
    <w:lvl w:ilvl="0" w:tplc="9516EDE4">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F15DEA"/>
    <w:multiLevelType w:val="hybridMultilevel"/>
    <w:tmpl w:val="528EA10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17">
    <w:nsid w:val="36F46C96"/>
    <w:multiLevelType w:val="hybridMultilevel"/>
    <w:tmpl w:val="0FA21E5A"/>
    <w:lvl w:ilvl="0" w:tplc="08090001">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18">
    <w:nsid w:val="383D36BA"/>
    <w:multiLevelType w:val="hybridMultilevel"/>
    <w:tmpl w:val="89B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C3B5B"/>
    <w:multiLevelType w:val="hybridMultilevel"/>
    <w:tmpl w:val="995A9A00"/>
    <w:lvl w:ilvl="0" w:tplc="07243122">
      <w:start w:val="4"/>
      <w:numFmt w:val="lowerRoman"/>
      <w:lvlText w:val="%1)"/>
      <w:lvlJc w:val="left"/>
      <w:pPr>
        <w:tabs>
          <w:tab w:val="num" w:pos="2160"/>
        </w:tabs>
        <w:ind w:left="2160" w:hanging="720"/>
      </w:pPr>
      <w:rPr>
        <w:rFonts w:hint="default"/>
      </w:rPr>
    </w:lvl>
    <w:lvl w:ilvl="1" w:tplc="5F906F5C">
      <w:start w:val="8"/>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44A24F3B"/>
    <w:multiLevelType w:val="multilevel"/>
    <w:tmpl w:val="CBC28D86"/>
    <w:lvl w:ilvl="0">
      <w:start w:val="1"/>
      <w:numFmt w:val="bullet"/>
      <w:pStyle w:val="Bullet1"/>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Sab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ab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ab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5771E04"/>
    <w:multiLevelType w:val="hybridMultilevel"/>
    <w:tmpl w:val="53BCC2F0"/>
    <w:lvl w:ilvl="0" w:tplc="6BBA1B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B97D12"/>
    <w:multiLevelType w:val="hybridMultilevel"/>
    <w:tmpl w:val="E152A368"/>
    <w:lvl w:ilvl="0" w:tplc="8C342F3E">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3">
    <w:nsid w:val="47A7026C"/>
    <w:multiLevelType w:val="hybridMultilevel"/>
    <w:tmpl w:val="1E32C058"/>
    <w:lvl w:ilvl="0" w:tplc="08090001">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4">
    <w:nsid w:val="480C43AD"/>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25">
    <w:nsid w:val="4AF54D02"/>
    <w:multiLevelType w:val="hybridMultilevel"/>
    <w:tmpl w:val="05004F06"/>
    <w:lvl w:ilvl="0" w:tplc="6BBA1B1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B5E174E"/>
    <w:multiLevelType w:val="hybridMultilevel"/>
    <w:tmpl w:val="4570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04B21E4"/>
    <w:multiLevelType w:val="hybridMultilevel"/>
    <w:tmpl w:val="A49C75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nsid w:val="51EA56AB"/>
    <w:multiLevelType w:val="hybridMultilevel"/>
    <w:tmpl w:val="F4B6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40D78"/>
    <w:multiLevelType w:val="hybridMultilevel"/>
    <w:tmpl w:val="B8507EC4"/>
    <w:lvl w:ilvl="0" w:tplc="A38A6E66">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1">
    <w:nsid w:val="572856A6"/>
    <w:multiLevelType w:val="hybridMultilevel"/>
    <w:tmpl w:val="B1E64090"/>
    <w:lvl w:ilvl="0" w:tplc="6BBA1B1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8395677"/>
    <w:multiLevelType w:val="hybridMultilevel"/>
    <w:tmpl w:val="F8FC87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58CC5100"/>
    <w:multiLevelType w:val="hybridMultilevel"/>
    <w:tmpl w:val="54387C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5ECC761C"/>
    <w:multiLevelType w:val="hybridMultilevel"/>
    <w:tmpl w:val="E46A6498"/>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35">
    <w:nsid w:val="60543278"/>
    <w:multiLevelType w:val="hybridMultilevel"/>
    <w:tmpl w:val="AB0C8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F82309"/>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37">
    <w:nsid w:val="640B3A81"/>
    <w:multiLevelType w:val="hybridMultilevel"/>
    <w:tmpl w:val="384E63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660C1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7C12F0B"/>
    <w:multiLevelType w:val="hybridMultilevel"/>
    <w:tmpl w:val="DFBCE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EB7F3D"/>
    <w:multiLevelType w:val="hybridMultilevel"/>
    <w:tmpl w:val="1884EEB6"/>
    <w:lvl w:ilvl="0" w:tplc="AB626CF8">
      <w:start w:val="1"/>
      <w:numFmt w:val="bullet"/>
      <w:lvlText w:val=""/>
      <w:lvlJc w:val="left"/>
      <w:pPr>
        <w:tabs>
          <w:tab w:val="num" w:pos="284"/>
        </w:tabs>
        <w:ind w:left="284" w:hanging="284"/>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6F25388B"/>
    <w:multiLevelType w:val="hybridMultilevel"/>
    <w:tmpl w:val="DF88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4E42D1"/>
    <w:multiLevelType w:val="hybridMultilevel"/>
    <w:tmpl w:val="FF726B28"/>
    <w:lvl w:ilvl="0" w:tplc="335A57E2">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7C45D97"/>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44">
    <w:nsid w:val="79B27A8E"/>
    <w:multiLevelType w:val="hybridMultilevel"/>
    <w:tmpl w:val="DCF8B550"/>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5">
    <w:nsid w:val="7A073B02"/>
    <w:multiLevelType w:val="hybridMultilevel"/>
    <w:tmpl w:val="93EAF1FC"/>
    <w:lvl w:ilvl="0" w:tplc="6B88D6C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BBF1565"/>
    <w:multiLevelType w:val="hybridMultilevel"/>
    <w:tmpl w:val="BF0839BC"/>
    <w:lvl w:ilvl="0" w:tplc="6F48BC0C">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7">
    <w:nsid w:val="7C947C1B"/>
    <w:multiLevelType w:val="hybridMultilevel"/>
    <w:tmpl w:val="F1A0194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8">
    <w:nsid w:val="7F8C6B95"/>
    <w:multiLevelType w:val="hybridMultilevel"/>
    <w:tmpl w:val="DDEC4C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0"/>
  </w:num>
  <w:num w:numId="3">
    <w:abstractNumId w:val="20"/>
  </w:num>
  <w:num w:numId="4">
    <w:abstractNumId w:val="38"/>
  </w:num>
  <w:num w:numId="5">
    <w:abstractNumId w:val="45"/>
  </w:num>
  <w:num w:numId="6">
    <w:abstractNumId w:val="8"/>
  </w:num>
  <w:num w:numId="7">
    <w:abstractNumId w:val="24"/>
  </w:num>
  <w:num w:numId="8">
    <w:abstractNumId w:val="43"/>
  </w:num>
  <w:num w:numId="9">
    <w:abstractNumId w:val="7"/>
  </w:num>
  <w:num w:numId="10">
    <w:abstractNumId w:val="32"/>
  </w:num>
  <w:num w:numId="11">
    <w:abstractNumId w:val="4"/>
  </w:num>
  <w:num w:numId="12">
    <w:abstractNumId w:val="13"/>
  </w:num>
  <w:num w:numId="13">
    <w:abstractNumId w:val="6"/>
  </w:num>
  <w:num w:numId="14">
    <w:abstractNumId w:val="17"/>
  </w:num>
  <w:num w:numId="15">
    <w:abstractNumId w:val="23"/>
  </w:num>
  <w:num w:numId="16">
    <w:abstractNumId w:val="2"/>
  </w:num>
  <w:num w:numId="17">
    <w:abstractNumId w:val="47"/>
  </w:num>
  <w:num w:numId="18">
    <w:abstractNumId w:val="44"/>
  </w:num>
  <w:num w:numId="19">
    <w:abstractNumId w:val="48"/>
  </w:num>
  <w:num w:numId="20">
    <w:abstractNumId w:val="9"/>
  </w:num>
  <w:num w:numId="21">
    <w:abstractNumId w:val="15"/>
  </w:num>
  <w:num w:numId="22">
    <w:abstractNumId w:val="19"/>
  </w:num>
  <w:num w:numId="23">
    <w:abstractNumId w:val="34"/>
  </w:num>
  <w:num w:numId="24">
    <w:abstractNumId w:val="28"/>
  </w:num>
  <w:num w:numId="25">
    <w:abstractNumId w:val="12"/>
  </w:num>
  <w:num w:numId="26">
    <w:abstractNumId w:val="39"/>
  </w:num>
  <w:num w:numId="27">
    <w:abstractNumId w:val="33"/>
  </w:num>
  <w:num w:numId="28">
    <w:abstractNumId w:val="26"/>
  </w:num>
  <w:num w:numId="29">
    <w:abstractNumId w:val="1"/>
  </w:num>
  <w:num w:numId="30">
    <w:abstractNumId w:val="10"/>
  </w:num>
  <w:num w:numId="31">
    <w:abstractNumId w:val="46"/>
  </w:num>
  <w:num w:numId="32">
    <w:abstractNumId w:val="22"/>
  </w:num>
  <w:num w:numId="33">
    <w:abstractNumId w:val="42"/>
  </w:num>
  <w:num w:numId="34">
    <w:abstractNumId w:val="14"/>
  </w:num>
  <w:num w:numId="35">
    <w:abstractNumId w:val="30"/>
  </w:num>
  <w:num w:numId="36">
    <w:abstractNumId w:val="36"/>
  </w:num>
  <w:num w:numId="37">
    <w:abstractNumId w:val="40"/>
  </w:num>
  <w:num w:numId="38">
    <w:abstractNumId w:val="35"/>
  </w:num>
  <w:num w:numId="39">
    <w:abstractNumId w:val="37"/>
  </w:num>
  <w:num w:numId="40">
    <w:abstractNumId w:val="3"/>
  </w:num>
  <w:num w:numId="41">
    <w:abstractNumId w:val="5"/>
  </w:num>
  <w:num w:numId="42">
    <w:abstractNumId w:val="18"/>
  </w:num>
  <w:num w:numId="43">
    <w:abstractNumId w:val="29"/>
  </w:num>
  <w:num w:numId="44">
    <w:abstractNumId w:val="27"/>
  </w:num>
  <w:num w:numId="45">
    <w:abstractNumId w:val="41"/>
  </w:num>
  <w:num w:numId="46">
    <w:abstractNumId w:val="11"/>
  </w:num>
  <w:num w:numId="47">
    <w:abstractNumId w:val="31"/>
  </w:num>
  <w:num w:numId="48">
    <w:abstractNumId w:val="25"/>
  </w:num>
  <w:num w:numId="49">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4"/>
    <w:rsid w:val="0000067B"/>
    <w:rsid w:val="00000C47"/>
    <w:rsid w:val="0000209D"/>
    <w:rsid w:val="000025D5"/>
    <w:rsid w:val="000032C4"/>
    <w:rsid w:val="000033D1"/>
    <w:rsid w:val="00003462"/>
    <w:rsid w:val="000035CB"/>
    <w:rsid w:val="000044E4"/>
    <w:rsid w:val="0000477D"/>
    <w:rsid w:val="00004E49"/>
    <w:rsid w:val="0000572C"/>
    <w:rsid w:val="00007DD9"/>
    <w:rsid w:val="000100F8"/>
    <w:rsid w:val="00010719"/>
    <w:rsid w:val="000109F8"/>
    <w:rsid w:val="00010CC9"/>
    <w:rsid w:val="000110C9"/>
    <w:rsid w:val="000116A2"/>
    <w:rsid w:val="00011B1E"/>
    <w:rsid w:val="00011E3D"/>
    <w:rsid w:val="0001227C"/>
    <w:rsid w:val="0001394D"/>
    <w:rsid w:val="00013CD4"/>
    <w:rsid w:val="00014622"/>
    <w:rsid w:val="00014CE5"/>
    <w:rsid w:val="00015000"/>
    <w:rsid w:val="0001516C"/>
    <w:rsid w:val="00016167"/>
    <w:rsid w:val="00017ADA"/>
    <w:rsid w:val="00017DF0"/>
    <w:rsid w:val="0002022D"/>
    <w:rsid w:val="0002057D"/>
    <w:rsid w:val="0002058D"/>
    <w:rsid w:val="0002063B"/>
    <w:rsid w:val="000206F5"/>
    <w:rsid w:val="000211AD"/>
    <w:rsid w:val="00023623"/>
    <w:rsid w:val="00023D8B"/>
    <w:rsid w:val="00024E54"/>
    <w:rsid w:val="00024E8E"/>
    <w:rsid w:val="000258AD"/>
    <w:rsid w:val="000262B3"/>
    <w:rsid w:val="000267C4"/>
    <w:rsid w:val="000269EB"/>
    <w:rsid w:val="00026E37"/>
    <w:rsid w:val="00030201"/>
    <w:rsid w:val="0003044C"/>
    <w:rsid w:val="00030C39"/>
    <w:rsid w:val="00031A98"/>
    <w:rsid w:val="00032D7C"/>
    <w:rsid w:val="00034337"/>
    <w:rsid w:val="00035241"/>
    <w:rsid w:val="00035AD1"/>
    <w:rsid w:val="00036EDA"/>
    <w:rsid w:val="00037917"/>
    <w:rsid w:val="00040384"/>
    <w:rsid w:val="00040749"/>
    <w:rsid w:val="00040D55"/>
    <w:rsid w:val="000413DF"/>
    <w:rsid w:val="00041988"/>
    <w:rsid w:val="0004224A"/>
    <w:rsid w:val="00043308"/>
    <w:rsid w:val="00043328"/>
    <w:rsid w:val="00043D18"/>
    <w:rsid w:val="00043FF1"/>
    <w:rsid w:val="000443CA"/>
    <w:rsid w:val="00045B6B"/>
    <w:rsid w:val="00045BDF"/>
    <w:rsid w:val="00045C50"/>
    <w:rsid w:val="00045CD9"/>
    <w:rsid w:val="00045E3F"/>
    <w:rsid w:val="000462EB"/>
    <w:rsid w:val="0004720E"/>
    <w:rsid w:val="00047FA6"/>
    <w:rsid w:val="0005046F"/>
    <w:rsid w:val="0005068D"/>
    <w:rsid w:val="00050CF9"/>
    <w:rsid w:val="00051046"/>
    <w:rsid w:val="00051B22"/>
    <w:rsid w:val="00052064"/>
    <w:rsid w:val="00052E60"/>
    <w:rsid w:val="00053115"/>
    <w:rsid w:val="000543B0"/>
    <w:rsid w:val="000543E4"/>
    <w:rsid w:val="00055731"/>
    <w:rsid w:val="00055F30"/>
    <w:rsid w:val="000560AD"/>
    <w:rsid w:val="00056A8C"/>
    <w:rsid w:val="000570EC"/>
    <w:rsid w:val="000573DF"/>
    <w:rsid w:val="00057BE7"/>
    <w:rsid w:val="00057C80"/>
    <w:rsid w:val="00057E95"/>
    <w:rsid w:val="00057EDA"/>
    <w:rsid w:val="00060A67"/>
    <w:rsid w:val="00060DB6"/>
    <w:rsid w:val="00061565"/>
    <w:rsid w:val="00061B2C"/>
    <w:rsid w:val="00062050"/>
    <w:rsid w:val="0006254A"/>
    <w:rsid w:val="00063170"/>
    <w:rsid w:val="00063302"/>
    <w:rsid w:val="00063C42"/>
    <w:rsid w:val="00064235"/>
    <w:rsid w:val="00065114"/>
    <w:rsid w:val="000660CE"/>
    <w:rsid w:val="0006635A"/>
    <w:rsid w:val="000667D3"/>
    <w:rsid w:val="000669A4"/>
    <w:rsid w:val="00066EFB"/>
    <w:rsid w:val="00067331"/>
    <w:rsid w:val="00067F6E"/>
    <w:rsid w:val="000702AE"/>
    <w:rsid w:val="0007247A"/>
    <w:rsid w:val="00072BAC"/>
    <w:rsid w:val="00072DD3"/>
    <w:rsid w:val="00072F2D"/>
    <w:rsid w:val="0007322B"/>
    <w:rsid w:val="00073CCB"/>
    <w:rsid w:val="00073FBC"/>
    <w:rsid w:val="000749F4"/>
    <w:rsid w:val="00074D4F"/>
    <w:rsid w:val="00075D09"/>
    <w:rsid w:val="0007614F"/>
    <w:rsid w:val="0007689B"/>
    <w:rsid w:val="00076D09"/>
    <w:rsid w:val="00076DC2"/>
    <w:rsid w:val="000779D0"/>
    <w:rsid w:val="0008007D"/>
    <w:rsid w:val="00080573"/>
    <w:rsid w:val="00080B03"/>
    <w:rsid w:val="00080DC8"/>
    <w:rsid w:val="00080E74"/>
    <w:rsid w:val="000810CD"/>
    <w:rsid w:val="00081A63"/>
    <w:rsid w:val="00081AB5"/>
    <w:rsid w:val="0008219E"/>
    <w:rsid w:val="000822A0"/>
    <w:rsid w:val="0008244F"/>
    <w:rsid w:val="000829A5"/>
    <w:rsid w:val="00082BA7"/>
    <w:rsid w:val="00082D85"/>
    <w:rsid w:val="0008308F"/>
    <w:rsid w:val="00083221"/>
    <w:rsid w:val="0008385D"/>
    <w:rsid w:val="000859C2"/>
    <w:rsid w:val="000865DE"/>
    <w:rsid w:val="000868E0"/>
    <w:rsid w:val="00086A2F"/>
    <w:rsid w:val="00086C74"/>
    <w:rsid w:val="00086CEA"/>
    <w:rsid w:val="000870FC"/>
    <w:rsid w:val="0008764F"/>
    <w:rsid w:val="00087853"/>
    <w:rsid w:val="00087F79"/>
    <w:rsid w:val="0009002C"/>
    <w:rsid w:val="000900E6"/>
    <w:rsid w:val="0009014E"/>
    <w:rsid w:val="000901BF"/>
    <w:rsid w:val="00091649"/>
    <w:rsid w:val="00091829"/>
    <w:rsid w:val="00092E82"/>
    <w:rsid w:val="0009348D"/>
    <w:rsid w:val="000946E6"/>
    <w:rsid w:val="0009480D"/>
    <w:rsid w:val="00094F7B"/>
    <w:rsid w:val="00095241"/>
    <w:rsid w:val="00095523"/>
    <w:rsid w:val="00095B3F"/>
    <w:rsid w:val="00097243"/>
    <w:rsid w:val="000A0C59"/>
    <w:rsid w:val="000A2EDE"/>
    <w:rsid w:val="000A2F40"/>
    <w:rsid w:val="000A3074"/>
    <w:rsid w:val="000A3119"/>
    <w:rsid w:val="000A39B5"/>
    <w:rsid w:val="000A46AA"/>
    <w:rsid w:val="000A57AE"/>
    <w:rsid w:val="000A6919"/>
    <w:rsid w:val="000A6A40"/>
    <w:rsid w:val="000A7FFE"/>
    <w:rsid w:val="000B1923"/>
    <w:rsid w:val="000B1A37"/>
    <w:rsid w:val="000B21BE"/>
    <w:rsid w:val="000B23A0"/>
    <w:rsid w:val="000B2427"/>
    <w:rsid w:val="000B2F4C"/>
    <w:rsid w:val="000B305C"/>
    <w:rsid w:val="000B3871"/>
    <w:rsid w:val="000B38B6"/>
    <w:rsid w:val="000B3A5D"/>
    <w:rsid w:val="000B3A98"/>
    <w:rsid w:val="000B3F95"/>
    <w:rsid w:val="000B4A14"/>
    <w:rsid w:val="000B4E07"/>
    <w:rsid w:val="000B52A1"/>
    <w:rsid w:val="000B55E0"/>
    <w:rsid w:val="000B56F8"/>
    <w:rsid w:val="000B5D2E"/>
    <w:rsid w:val="000B5FC3"/>
    <w:rsid w:val="000B6DF3"/>
    <w:rsid w:val="000B724F"/>
    <w:rsid w:val="000C06F6"/>
    <w:rsid w:val="000C0836"/>
    <w:rsid w:val="000C1BC7"/>
    <w:rsid w:val="000C3FB9"/>
    <w:rsid w:val="000C464D"/>
    <w:rsid w:val="000C4ECF"/>
    <w:rsid w:val="000C58A7"/>
    <w:rsid w:val="000C5C37"/>
    <w:rsid w:val="000C5EEA"/>
    <w:rsid w:val="000C7021"/>
    <w:rsid w:val="000C7BD8"/>
    <w:rsid w:val="000C7F0E"/>
    <w:rsid w:val="000D009D"/>
    <w:rsid w:val="000D0281"/>
    <w:rsid w:val="000D0FBE"/>
    <w:rsid w:val="000D294E"/>
    <w:rsid w:val="000D47B3"/>
    <w:rsid w:val="000D5389"/>
    <w:rsid w:val="000D53E2"/>
    <w:rsid w:val="000D753D"/>
    <w:rsid w:val="000D780F"/>
    <w:rsid w:val="000D7B73"/>
    <w:rsid w:val="000D7D67"/>
    <w:rsid w:val="000E00D1"/>
    <w:rsid w:val="000E0355"/>
    <w:rsid w:val="000E0E2C"/>
    <w:rsid w:val="000E0F84"/>
    <w:rsid w:val="000E117E"/>
    <w:rsid w:val="000E1E15"/>
    <w:rsid w:val="000E2553"/>
    <w:rsid w:val="000E2C96"/>
    <w:rsid w:val="000E2CD0"/>
    <w:rsid w:val="000E2EB0"/>
    <w:rsid w:val="000E2F44"/>
    <w:rsid w:val="000E3304"/>
    <w:rsid w:val="000E5B3B"/>
    <w:rsid w:val="000E7E83"/>
    <w:rsid w:val="000F0339"/>
    <w:rsid w:val="000F173B"/>
    <w:rsid w:val="000F1793"/>
    <w:rsid w:val="000F1E09"/>
    <w:rsid w:val="000F21E3"/>
    <w:rsid w:val="000F28FF"/>
    <w:rsid w:val="000F2CF4"/>
    <w:rsid w:val="000F36C2"/>
    <w:rsid w:val="000F562F"/>
    <w:rsid w:val="000F5F35"/>
    <w:rsid w:val="000F6477"/>
    <w:rsid w:val="001005AE"/>
    <w:rsid w:val="00100B74"/>
    <w:rsid w:val="00103759"/>
    <w:rsid w:val="00103E3D"/>
    <w:rsid w:val="00104103"/>
    <w:rsid w:val="00104A49"/>
    <w:rsid w:val="00104D5B"/>
    <w:rsid w:val="00104EC8"/>
    <w:rsid w:val="00104F16"/>
    <w:rsid w:val="00104FD1"/>
    <w:rsid w:val="00106C42"/>
    <w:rsid w:val="00112857"/>
    <w:rsid w:val="00112C15"/>
    <w:rsid w:val="0011310C"/>
    <w:rsid w:val="001131FC"/>
    <w:rsid w:val="001137E9"/>
    <w:rsid w:val="00113C30"/>
    <w:rsid w:val="0011402D"/>
    <w:rsid w:val="00114995"/>
    <w:rsid w:val="00114A24"/>
    <w:rsid w:val="00115C82"/>
    <w:rsid w:val="00117739"/>
    <w:rsid w:val="001208E9"/>
    <w:rsid w:val="00120D09"/>
    <w:rsid w:val="001215AA"/>
    <w:rsid w:val="00121699"/>
    <w:rsid w:val="001221B1"/>
    <w:rsid w:val="001231A9"/>
    <w:rsid w:val="00123327"/>
    <w:rsid w:val="00123B01"/>
    <w:rsid w:val="00124F28"/>
    <w:rsid w:val="00125137"/>
    <w:rsid w:val="0012583E"/>
    <w:rsid w:val="00125863"/>
    <w:rsid w:val="001259D7"/>
    <w:rsid w:val="00125F41"/>
    <w:rsid w:val="00126C93"/>
    <w:rsid w:val="0012728C"/>
    <w:rsid w:val="00127504"/>
    <w:rsid w:val="0012759E"/>
    <w:rsid w:val="00127634"/>
    <w:rsid w:val="00127F1B"/>
    <w:rsid w:val="00127F71"/>
    <w:rsid w:val="001302F5"/>
    <w:rsid w:val="001303FE"/>
    <w:rsid w:val="00131153"/>
    <w:rsid w:val="001315F2"/>
    <w:rsid w:val="00131B6B"/>
    <w:rsid w:val="00131FE7"/>
    <w:rsid w:val="0013250F"/>
    <w:rsid w:val="00132530"/>
    <w:rsid w:val="00132719"/>
    <w:rsid w:val="00132A6E"/>
    <w:rsid w:val="001336CC"/>
    <w:rsid w:val="001341E0"/>
    <w:rsid w:val="0013472A"/>
    <w:rsid w:val="001350F6"/>
    <w:rsid w:val="0013515F"/>
    <w:rsid w:val="0013584B"/>
    <w:rsid w:val="001358D9"/>
    <w:rsid w:val="00135B96"/>
    <w:rsid w:val="00136C66"/>
    <w:rsid w:val="00140881"/>
    <w:rsid w:val="00140B3A"/>
    <w:rsid w:val="00140F77"/>
    <w:rsid w:val="00140FCA"/>
    <w:rsid w:val="00141081"/>
    <w:rsid w:val="0014142D"/>
    <w:rsid w:val="0014172A"/>
    <w:rsid w:val="001428A1"/>
    <w:rsid w:val="001429D8"/>
    <w:rsid w:val="001429DE"/>
    <w:rsid w:val="00143410"/>
    <w:rsid w:val="001434D4"/>
    <w:rsid w:val="00145639"/>
    <w:rsid w:val="00145920"/>
    <w:rsid w:val="001462DC"/>
    <w:rsid w:val="00146473"/>
    <w:rsid w:val="00146FB9"/>
    <w:rsid w:val="0014728C"/>
    <w:rsid w:val="0014768F"/>
    <w:rsid w:val="00150C12"/>
    <w:rsid w:val="0015208F"/>
    <w:rsid w:val="00152D1B"/>
    <w:rsid w:val="00153A2A"/>
    <w:rsid w:val="00153C7A"/>
    <w:rsid w:val="001542E8"/>
    <w:rsid w:val="001543B8"/>
    <w:rsid w:val="00154DD5"/>
    <w:rsid w:val="0015507B"/>
    <w:rsid w:val="001552CA"/>
    <w:rsid w:val="001559F9"/>
    <w:rsid w:val="00155EC4"/>
    <w:rsid w:val="00156CA7"/>
    <w:rsid w:val="00156D5B"/>
    <w:rsid w:val="0015723D"/>
    <w:rsid w:val="00157BBE"/>
    <w:rsid w:val="00157C72"/>
    <w:rsid w:val="00157CFC"/>
    <w:rsid w:val="00160C09"/>
    <w:rsid w:val="001611EF"/>
    <w:rsid w:val="00162041"/>
    <w:rsid w:val="0016239B"/>
    <w:rsid w:val="0016242D"/>
    <w:rsid w:val="001625BC"/>
    <w:rsid w:val="00162815"/>
    <w:rsid w:val="001645D6"/>
    <w:rsid w:val="001648BD"/>
    <w:rsid w:val="00165D16"/>
    <w:rsid w:val="00166043"/>
    <w:rsid w:val="00167568"/>
    <w:rsid w:val="0017024A"/>
    <w:rsid w:val="0017067D"/>
    <w:rsid w:val="00170F94"/>
    <w:rsid w:val="001711A3"/>
    <w:rsid w:val="0017166D"/>
    <w:rsid w:val="00171C18"/>
    <w:rsid w:val="00172E0E"/>
    <w:rsid w:val="00173019"/>
    <w:rsid w:val="0017367B"/>
    <w:rsid w:val="00173F69"/>
    <w:rsid w:val="0017408A"/>
    <w:rsid w:val="001742B5"/>
    <w:rsid w:val="0017483B"/>
    <w:rsid w:val="00174C1B"/>
    <w:rsid w:val="00174F9A"/>
    <w:rsid w:val="0017548A"/>
    <w:rsid w:val="001758CE"/>
    <w:rsid w:val="00175A98"/>
    <w:rsid w:val="00175B1A"/>
    <w:rsid w:val="00175FBA"/>
    <w:rsid w:val="00176B30"/>
    <w:rsid w:val="00176CC3"/>
    <w:rsid w:val="00176D1F"/>
    <w:rsid w:val="00177AEA"/>
    <w:rsid w:val="00180467"/>
    <w:rsid w:val="001806D4"/>
    <w:rsid w:val="0018078D"/>
    <w:rsid w:val="00180CB8"/>
    <w:rsid w:val="0018147D"/>
    <w:rsid w:val="0018152A"/>
    <w:rsid w:val="00182BFF"/>
    <w:rsid w:val="0018307D"/>
    <w:rsid w:val="00183A7C"/>
    <w:rsid w:val="00183B75"/>
    <w:rsid w:val="00183C3C"/>
    <w:rsid w:val="001840F8"/>
    <w:rsid w:val="0018416C"/>
    <w:rsid w:val="00184337"/>
    <w:rsid w:val="001844B0"/>
    <w:rsid w:val="00184745"/>
    <w:rsid w:val="00184993"/>
    <w:rsid w:val="00184AE7"/>
    <w:rsid w:val="00184FBB"/>
    <w:rsid w:val="0018517E"/>
    <w:rsid w:val="00187384"/>
    <w:rsid w:val="00187A08"/>
    <w:rsid w:val="001902C9"/>
    <w:rsid w:val="001902E0"/>
    <w:rsid w:val="00190626"/>
    <w:rsid w:val="001907A4"/>
    <w:rsid w:val="00190B25"/>
    <w:rsid w:val="00190BE0"/>
    <w:rsid w:val="00190D40"/>
    <w:rsid w:val="00191F3C"/>
    <w:rsid w:val="0019268A"/>
    <w:rsid w:val="00192D1C"/>
    <w:rsid w:val="001937A3"/>
    <w:rsid w:val="00193C4F"/>
    <w:rsid w:val="001940FC"/>
    <w:rsid w:val="00194894"/>
    <w:rsid w:val="0019537D"/>
    <w:rsid w:val="00195759"/>
    <w:rsid w:val="00195EAD"/>
    <w:rsid w:val="001967B3"/>
    <w:rsid w:val="00196B39"/>
    <w:rsid w:val="0019710E"/>
    <w:rsid w:val="001A0015"/>
    <w:rsid w:val="001A01EF"/>
    <w:rsid w:val="001A0285"/>
    <w:rsid w:val="001A05B7"/>
    <w:rsid w:val="001A0AFE"/>
    <w:rsid w:val="001A2087"/>
    <w:rsid w:val="001A273E"/>
    <w:rsid w:val="001A3367"/>
    <w:rsid w:val="001A4129"/>
    <w:rsid w:val="001A43B8"/>
    <w:rsid w:val="001A46C4"/>
    <w:rsid w:val="001A489D"/>
    <w:rsid w:val="001A5E02"/>
    <w:rsid w:val="001A6D9E"/>
    <w:rsid w:val="001A6F3D"/>
    <w:rsid w:val="001A7070"/>
    <w:rsid w:val="001A74A6"/>
    <w:rsid w:val="001A7930"/>
    <w:rsid w:val="001B085E"/>
    <w:rsid w:val="001B1222"/>
    <w:rsid w:val="001B15D2"/>
    <w:rsid w:val="001B178B"/>
    <w:rsid w:val="001B2377"/>
    <w:rsid w:val="001B2AF5"/>
    <w:rsid w:val="001B2D06"/>
    <w:rsid w:val="001B5DEA"/>
    <w:rsid w:val="001B5E39"/>
    <w:rsid w:val="001B604F"/>
    <w:rsid w:val="001B6CF4"/>
    <w:rsid w:val="001B72DF"/>
    <w:rsid w:val="001C0001"/>
    <w:rsid w:val="001C037F"/>
    <w:rsid w:val="001C03D5"/>
    <w:rsid w:val="001C04F3"/>
    <w:rsid w:val="001C2B3D"/>
    <w:rsid w:val="001C3257"/>
    <w:rsid w:val="001C32A5"/>
    <w:rsid w:val="001C40CB"/>
    <w:rsid w:val="001C4857"/>
    <w:rsid w:val="001C497B"/>
    <w:rsid w:val="001C52D8"/>
    <w:rsid w:val="001C599A"/>
    <w:rsid w:val="001C59E5"/>
    <w:rsid w:val="001C5A71"/>
    <w:rsid w:val="001C66BE"/>
    <w:rsid w:val="001C6862"/>
    <w:rsid w:val="001C6C32"/>
    <w:rsid w:val="001C6E1F"/>
    <w:rsid w:val="001C7AB4"/>
    <w:rsid w:val="001D012A"/>
    <w:rsid w:val="001D0CF9"/>
    <w:rsid w:val="001D0D3B"/>
    <w:rsid w:val="001D0E9C"/>
    <w:rsid w:val="001D1CE7"/>
    <w:rsid w:val="001D209A"/>
    <w:rsid w:val="001D28DB"/>
    <w:rsid w:val="001D3299"/>
    <w:rsid w:val="001D3B27"/>
    <w:rsid w:val="001D3FF0"/>
    <w:rsid w:val="001D4A45"/>
    <w:rsid w:val="001D4A4B"/>
    <w:rsid w:val="001D5079"/>
    <w:rsid w:val="001D5C26"/>
    <w:rsid w:val="001D5D89"/>
    <w:rsid w:val="001D6143"/>
    <w:rsid w:val="001D694F"/>
    <w:rsid w:val="001D7FB6"/>
    <w:rsid w:val="001E0613"/>
    <w:rsid w:val="001E0C57"/>
    <w:rsid w:val="001E0E57"/>
    <w:rsid w:val="001E1135"/>
    <w:rsid w:val="001E1265"/>
    <w:rsid w:val="001E1397"/>
    <w:rsid w:val="001E1543"/>
    <w:rsid w:val="001E15DF"/>
    <w:rsid w:val="001E1B4F"/>
    <w:rsid w:val="001E1BC9"/>
    <w:rsid w:val="001E3865"/>
    <w:rsid w:val="001E3C5F"/>
    <w:rsid w:val="001E3F5B"/>
    <w:rsid w:val="001E4146"/>
    <w:rsid w:val="001E5013"/>
    <w:rsid w:val="001E55E9"/>
    <w:rsid w:val="001E5EB7"/>
    <w:rsid w:val="001E612D"/>
    <w:rsid w:val="001E6352"/>
    <w:rsid w:val="001E6773"/>
    <w:rsid w:val="001E6AB8"/>
    <w:rsid w:val="001E6BDF"/>
    <w:rsid w:val="001E71D1"/>
    <w:rsid w:val="001E7D46"/>
    <w:rsid w:val="001F062B"/>
    <w:rsid w:val="001F0703"/>
    <w:rsid w:val="001F1736"/>
    <w:rsid w:val="001F1848"/>
    <w:rsid w:val="001F4587"/>
    <w:rsid w:val="001F5518"/>
    <w:rsid w:val="001F6CF3"/>
    <w:rsid w:val="002000FC"/>
    <w:rsid w:val="00200289"/>
    <w:rsid w:val="00200413"/>
    <w:rsid w:val="00200582"/>
    <w:rsid w:val="0020076D"/>
    <w:rsid w:val="002008B2"/>
    <w:rsid w:val="00200BB7"/>
    <w:rsid w:val="00200BD4"/>
    <w:rsid w:val="00201285"/>
    <w:rsid w:val="00202CB0"/>
    <w:rsid w:val="002035C7"/>
    <w:rsid w:val="002039F7"/>
    <w:rsid w:val="00204037"/>
    <w:rsid w:val="002042E9"/>
    <w:rsid w:val="00204B47"/>
    <w:rsid w:val="0020536E"/>
    <w:rsid w:val="00205B0A"/>
    <w:rsid w:val="00205BA3"/>
    <w:rsid w:val="002063C4"/>
    <w:rsid w:val="00207731"/>
    <w:rsid w:val="0020774D"/>
    <w:rsid w:val="00207D5A"/>
    <w:rsid w:val="00207DDB"/>
    <w:rsid w:val="00210D68"/>
    <w:rsid w:val="00210D69"/>
    <w:rsid w:val="00210E84"/>
    <w:rsid w:val="00211115"/>
    <w:rsid w:val="00211690"/>
    <w:rsid w:val="00212C25"/>
    <w:rsid w:val="0021319A"/>
    <w:rsid w:val="00214017"/>
    <w:rsid w:val="00214B85"/>
    <w:rsid w:val="00215153"/>
    <w:rsid w:val="002159E4"/>
    <w:rsid w:val="00215F10"/>
    <w:rsid w:val="0021613C"/>
    <w:rsid w:val="002162C9"/>
    <w:rsid w:val="002164A8"/>
    <w:rsid w:val="002165FA"/>
    <w:rsid w:val="00217242"/>
    <w:rsid w:val="00220ABD"/>
    <w:rsid w:val="002213F9"/>
    <w:rsid w:val="002224DC"/>
    <w:rsid w:val="00222FC2"/>
    <w:rsid w:val="00223054"/>
    <w:rsid w:val="002249BD"/>
    <w:rsid w:val="0022533C"/>
    <w:rsid w:val="0022564D"/>
    <w:rsid w:val="00225D18"/>
    <w:rsid w:val="002271F8"/>
    <w:rsid w:val="00227670"/>
    <w:rsid w:val="00227942"/>
    <w:rsid w:val="00227DEB"/>
    <w:rsid w:val="00230857"/>
    <w:rsid w:val="00231D19"/>
    <w:rsid w:val="00231F47"/>
    <w:rsid w:val="00232AAE"/>
    <w:rsid w:val="00232E6E"/>
    <w:rsid w:val="00234491"/>
    <w:rsid w:val="00235282"/>
    <w:rsid w:val="002356CB"/>
    <w:rsid w:val="00237049"/>
    <w:rsid w:val="00237164"/>
    <w:rsid w:val="002372C7"/>
    <w:rsid w:val="002406A2"/>
    <w:rsid w:val="00241C73"/>
    <w:rsid w:val="00241D1E"/>
    <w:rsid w:val="0024225A"/>
    <w:rsid w:val="0024243E"/>
    <w:rsid w:val="00242F8C"/>
    <w:rsid w:val="00243EA6"/>
    <w:rsid w:val="0024427C"/>
    <w:rsid w:val="00244350"/>
    <w:rsid w:val="00244750"/>
    <w:rsid w:val="00244A12"/>
    <w:rsid w:val="00245A86"/>
    <w:rsid w:val="00245B0F"/>
    <w:rsid w:val="00246B48"/>
    <w:rsid w:val="0025015F"/>
    <w:rsid w:val="00250243"/>
    <w:rsid w:val="002510F7"/>
    <w:rsid w:val="002532AC"/>
    <w:rsid w:val="00253359"/>
    <w:rsid w:val="00253F6A"/>
    <w:rsid w:val="00254F15"/>
    <w:rsid w:val="00255965"/>
    <w:rsid w:val="00256600"/>
    <w:rsid w:val="002566DA"/>
    <w:rsid w:val="0025788F"/>
    <w:rsid w:val="00257947"/>
    <w:rsid w:val="00261027"/>
    <w:rsid w:val="00261A8E"/>
    <w:rsid w:val="00262755"/>
    <w:rsid w:val="00262AFC"/>
    <w:rsid w:val="0026325D"/>
    <w:rsid w:val="0026378B"/>
    <w:rsid w:val="002637B5"/>
    <w:rsid w:val="00263999"/>
    <w:rsid w:val="00264476"/>
    <w:rsid w:val="0026468D"/>
    <w:rsid w:val="00264E55"/>
    <w:rsid w:val="002657C6"/>
    <w:rsid w:val="00266128"/>
    <w:rsid w:val="00266CD5"/>
    <w:rsid w:val="00267295"/>
    <w:rsid w:val="0026784A"/>
    <w:rsid w:val="00273276"/>
    <w:rsid w:val="00273AF9"/>
    <w:rsid w:val="00273CA0"/>
    <w:rsid w:val="0027474F"/>
    <w:rsid w:val="00274B95"/>
    <w:rsid w:val="00275562"/>
    <w:rsid w:val="00275717"/>
    <w:rsid w:val="00275AB6"/>
    <w:rsid w:val="00275B1E"/>
    <w:rsid w:val="00276C05"/>
    <w:rsid w:val="00276F42"/>
    <w:rsid w:val="00277079"/>
    <w:rsid w:val="002777DD"/>
    <w:rsid w:val="00277CE7"/>
    <w:rsid w:val="002806A2"/>
    <w:rsid w:val="002808BA"/>
    <w:rsid w:val="00280EFE"/>
    <w:rsid w:val="0028104A"/>
    <w:rsid w:val="00282281"/>
    <w:rsid w:val="00282914"/>
    <w:rsid w:val="00284F27"/>
    <w:rsid w:val="00284F88"/>
    <w:rsid w:val="00287281"/>
    <w:rsid w:val="0028758D"/>
    <w:rsid w:val="00287824"/>
    <w:rsid w:val="00287F2A"/>
    <w:rsid w:val="002900D1"/>
    <w:rsid w:val="00291920"/>
    <w:rsid w:val="00293C36"/>
    <w:rsid w:val="002942EF"/>
    <w:rsid w:val="00294629"/>
    <w:rsid w:val="0029478A"/>
    <w:rsid w:val="002947D6"/>
    <w:rsid w:val="00294B00"/>
    <w:rsid w:val="00295307"/>
    <w:rsid w:val="00295609"/>
    <w:rsid w:val="00295687"/>
    <w:rsid w:val="002957B6"/>
    <w:rsid w:val="00295832"/>
    <w:rsid w:val="00295D33"/>
    <w:rsid w:val="00295EB2"/>
    <w:rsid w:val="0029602A"/>
    <w:rsid w:val="00296A09"/>
    <w:rsid w:val="00296C78"/>
    <w:rsid w:val="00296CC5"/>
    <w:rsid w:val="00297754"/>
    <w:rsid w:val="002A0042"/>
    <w:rsid w:val="002A01D5"/>
    <w:rsid w:val="002A0228"/>
    <w:rsid w:val="002A1304"/>
    <w:rsid w:val="002A172B"/>
    <w:rsid w:val="002A1962"/>
    <w:rsid w:val="002A2482"/>
    <w:rsid w:val="002A3016"/>
    <w:rsid w:val="002A33C8"/>
    <w:rsid w:val="002A33DC"/>
    <w:rsid w:val="002A4F7F"/>
    <w:rsid w:val="002A5DE1"/>
    <w:rsid w:val="002A607E"/>
    <w:rsid w:val="002A6C30"/>
    <w:rsid w:val="002A790B"/>
    <w:rsid w:val="002A7A6B"/>
    <w:rsid w:val="002B03B5"/>
    <w:rsid w:val="002B085B"/>
    <w:rsid w:val="002B17E4"/>
    <w:rsid w:val="002B2AE5"/>
    <w:rsid w:val="002B372F"/>
    <w:rsid w:val="002B4690"/>
    <w:rsid w:val="002B520D"/>
    <w:rsid w:val="002B55E1"/>
    <w:rsid w:val="002B6BA2"/>
    <w:rsid w:val="002B6F80"/>
    <w:rsid w:val="002B7458"/>
    <w:rsid w:val="002C08E2"/>
    <w:rsid w:val="002C0DE5"/>
    <w:rsid w:val="002C0E1C"/>
    <w:rsid w:val="002C0F4F"/>
    <w:rsid w:val="002C1141"/>
    <w:rsid w:val="002C1475"/>
    <w:rsid w:val="002C1A8E"/>
    <w:rsid w:val="002C2793"/>
    <w:rsid w:val="002C2F1F"/>
    <w:rsid w:val="002C31A8"/>
    <w:rsid w:val="002C3B00"/>
    <w:rsid w:val="002C3D8C"/>
    <w:rsid w:val="002C4091"/>
    <w:rsid w:val="002C440B"/>
    <w:rsid w:val="002C484E"/>
    <w:rsid w:val="002C5217"/>
    <w:rsid w:val="002C570E"/>
    <w:rsid w:val="002C5D98"/>
    <w:rsid w:val="002C6767"/>
    <w:rsid w:val="002C687F"/>
    <w:rsid w:val="002C6D26"/>
    <w:rsid w:val="002C7B24"/>
    <w:rsid w:val="002C7F73"/>
    <w:rsid w:val="002D0C98"/>
    <w:rsid w:val="002D0E13"/>
    <w:rsid w:val="002D2A35"/>
    <w:rsid w:val="002D3D5F"/>
    <w:rsid w:val="002D407E"/>
    <w:rsid w:val="002D40E4"/>
    <w:rsid w:val="002D458A"/>
    <w:rsid w:val="002D4A1B"/>
    <w:rsid w:val="002D4C8D"/>
    <w:rsid w:val="002D55FB"/>
    <w:rsid w:val="002D568D"/>
    <w:rsid w:val="002D6F9B"/>
    <w:rsid w:val="002D74C1"/>
    <w:rsid w:val="002D7C87"/>
    <w:rsid w:val="002E046A"/>
    <w:rsid w:val="002E1498"/>
    <w:rsid w:val="002E155C"/>
    <w:rsid w:val="002E1B2D"/>
    <w:rsid w:val="002E1CD1"/>
    <w:rsid w:val="002E1D58"/>
    <w:rsid w:val="002E25BF"/>
    <w:rsid w:val="002E287F"/>
    <w:rsid w:val="002E2A28"/>
    <w:rsid w:val="002E3733"/>
    <w:rsid w:val="002E38D4"/>
    <w:rsid w:val="002E460C"/>
    <w:rsid w:val="002E480C"/>
    <w:rsid w:val="002E4CBA"/>
    <w:rsid w:val="002E5022"/>
    <w:rsid w:val="002E74A4"/>
    <w:rsid w:val="002E7A26"/>
    <w:rsid w:val="002F0370"/>
    <w:rsid w:val="002F0E18"/>
    <w:rsid w:val="002F140A"/>
    <w:rsid w:val="002F14DB"/>
    <w:rsid w:val="002F318F"/>
    <w:rsid w:val="002F49DE"/>
    <w:rsid w:val="002F7901"/>
    <w:rsid w:val="003001DB"/>
    <w:rsid w:val="003004D7"/>
    <w:rsid w:val="00301221"/>
    <w:rsid w:val="00301876"/>
    <w:rsid w:val="00302C30"/>
    <w:rsid w:val="00302DAE"/>
    <w:rsid w:val="00302FA7"/>
    <w:rsid w:val="003037A8"/>
    <w:rsid w:val="0030392A"/>
    <w:rsid w:val="00304022"/>
    <w:rsid w:val="0030408D"/>
    <w:rsid w:val="003040FB"/>
    <w:rsid w:val="0030496D"/>
    <w:rsid w:val="00304FC3"/>
    <w:rsid w:val="00305904"/>
    <w:rsid w:val="00306446"/>
    <w:rsid w:val="00306B91"/>
    <w:rsid w:val="00306E36"/>
    <w:rsid w:val="00306ECC"/>
    <w:rsid w:val="00307182"/>
    <w:rsid w:val="003073DA"/>
    <w:rsid w:val="00307520"/>
    <w:rsid w:val="003076C2"/>
    <w:rsid w:val="003079EA"/>
    <w:rsid w:val="003079EF"/>
    <w:rsid w:val="0031020C"/>
    <w:rsid w:val="00310789"/>
    <w:rsid w:val="00310EF8"/>
    <w:rsid w:val="00311166"/>
    <w:rsid w:val="00311A06"/>
    <w:rsid w:val="00311C5C"/>
    <w:rsid w:val="00311F09"/>
    <w:rsid w:val="00312AE9"/>
    <w:rsid w:val="00313651"/>
    <w:rsid w:val="00313CD7"/>
    <w:rsid w:val="00314E18"/>
    <w:rsid w:val="00315226"/>
    <w:rsid w:val="003152B1"/>
    <w:rsid w:val="00315393"/>
    <w:rsid w:val="00315853"/>
    <w:rsid w:val="00315A0D"/>
    <w:rsid w:val="00316941"/>
    <w:rsid w:val="003169AB"/>
    <w:rsid w:val="003176B1"/>
    <w:rsid w:val="0031790D"/>
    <w:rsid w:val="00317E2F"/>
    <w:rsid w:val="00320422"/>
    <w:rsid w:val="00320959"/>
    <w:rsid w:val="00321813"/>
    <w:rsid w:val="00322258"/>
    <w:rsid w:val="00322BDC"/>
    <w:rsid w:val="003230B4"/>
    <w:rsid w:val="00323206"/>
    <w:rsid w:val="003232A4"/>
    <w:rsid w:val="003233F8"/>
    <w:rsid w:val="00323E8C"/>
    <w:rsid w:val="00325B0D"/>
    <w:rsid w:val="00325FFC"/>
    <w:rsid w:val="00326430"/>
    <w:rsid w:val="00327168"/>
    <w:rsid w:val="00327953"/>
    <w:rsid w:val="0033031E"/>
    <w:rsid w:val="003310D0"/>
    <w:rsid w:val="00331443"/>
    <w:rsid w:val="003317A8"/>
    <w:rsid w:val="00331C86"/>
    <w:rsid w:val="00332AC8"/>
    <w:rsid w:val="00333FB2"/>
    <w:rsid w:val="00334559"/>
    <w:rsid w:val="00334819"/>
    <w:rsid w:val="003349F4"/>
    <w:rsid w:val="00334A05"/>
    <w:rsid w:val="00335365"/>
    <w:rsid w:val="003358C0"/>
    <w:rsid w:val="00336200"/>
    <w:rsid w:val="00336CEB"/>
    <w:rsid w:val="003373DA"/>
    <w:rsid w:val="003377AE"/>
    <w:rsid w:val="003378A4"/>
    <w:rsid w:val="0033792B"/>
    <w:rsid w:val="00337D24"/>
    <w:rsid w:val="00337F16"/>
    <w:rsid w:val="00341416"/>
    <w:rsid w:val="00341759"/>
    <w:rsid w:val="00342B65"/>
    <w:rsid w:val="00342D60"/>
    <w:rsid w:val="00342E87"/>
    <w:rsid w:val="003435CB"/>
    <w:rsid w:val="00343EF2"/>
    <w:rsid w:val="00344B3A"/>
    <w:rsid w:val="003459BB"/>
    <w:rsid w:val="003461B7"/>
    <w:rsid w:val="00346BB1"/>
    <w:rsid w:val="0034772F"/>
    <w:rsid w:val="00347DE6"/>
    <w:rsid w:val="00347F44"/>
    <w:rsid w:val="00350024"/>
    <w:rsid w:val="00350247"/>
    <w:rsid w:val="00350CEA"/>
    <w:rsid w:val="00351264"/>
    <w:rsid w:val="00351BC7"/>
    <w:rsid w:val="00351DE7"/>
    <w:rsid w:val="0035215D"/>
    <w:rsid w:val="00352AAF"/>
    <w:rsid w:val="00352DE2"/>
    <w:rsid w:val="00354166"/>
    <w:rsid w:val="00354A31"/>
    <w:rsid w:val="00354FA1"/>
    <w:rsid w:val="003553A6"/>
    <w:rsid w:val="00355430"/>
    <w:rsid w:val="0035593C"/>
    <w:rsid w:val="00356168"/>
    <w:rsid w:val="00356B83"/>
    <w:rsid w:val="003571DC"/>
    <w:rsid w:val="0035771D"/>
    <w:rsid w:val="00357FBD"/>
    <w:rsid w:val="003601D2"/>
    <w:rsid w:val="00360402"/>
    <w:rsid w:val="00360485"/>
    <w:rsid w:val="00360781"/>
    <w:rsid w:val="00360F3A"/>
    <w:rsid w:val="00361125"/>
    <w:rsid w:val="00361D35"/>
    <w:rsid w:val="00362109"/>
    <w:rsid w:val="0036294A"/>
    <w:rsid w:val="0036295E"/>
    <w:rsid w:val="00362CF7"/>
    <w:rsid w:val="00363C2F"/>
    <w:rsid w:val="003643C3"/>
    <w:rsid w:val="00364D65"/>
    <w:rsid w:val="003651E5"/>
    <w:rsid w:val="00365626"/>
    <w:rsid w:val="00366A84"/>
    <w:rsid w:val="00367169"/>
    <w:rsid w:val="00372057"/>
    <w:rsid w:val="0037293D"/>
    <w:rsid w:val="00373B1F"/>
    <w:rsid w:val="00373F50"/>
    <w:rsid w:val="003744B2"/>
    <w:rsid w:val="00374966"/>
    <w:rsid w:val="00374FF1"/>
    <w:rsid w:val="00376FE7"/>
    <w:rsid w:val="003774BD"/>
    <w:rsid w:val="00377C9B"/>
    <w:rsid w:val="00377D45"/>
    <w:rsid w:val="003800AB"/>
    <w:rsid w:val="00380C3D"/>
    <w:rsid w:val="00381168"/>
    <w:rsid w:val="003811C2"/>
    <w:rsid w:val="003830D6"/>
    <w:rsid w:val="003837FF"/>
    <w:rsid w:val="00383862"/>
    <w:rsid w:val="00383C87"/>
    <w:rsid w:val="0038401B"/>
    <w:rsid w:val="00384F38"/>
    <w:rsid w:val="00385971"/>
    <w:rsid w:val="00385A2B"/>
    <w:rsid w:val="003861D4"/>
    <w:rsid w:val="0038630C"/>
    <w:rsid w:val="00386AF5"/>
    <w:rsid w:val="0038730A"/>
    <w:rsid w:val="003876F9"/>
    <w:rsid w:val="003878DB"/>
    <w:rsid w:val="00390553"/>
    <w:rsid w:val="00390A39"/>
    <w:rsid w:val="00390B17"/>
    <w:rsid w:val="00391753"/>
    <w:rsid w:val="003919D9"/>
    <w:rsid w:val="00391EDA"/>
    <w:rsid w:val="003920B3"/>
    <w:rsid w:val="003929AF"/>
    <w:rsid w:val="00392A1C"/>
    <w:rsid w:val="00393151"/>
    <w:rsid w:val="00394075"/>
    <w:rsid w:val="00394595"/>
    <w:rsid w:val="0039467C"/>
    <w:rsid w:val="00395180"/>
    <w:rsid w:val="003959D4"/>
    <w:rsid w:val="0039670E"/>
    <w:rsid w:val="00396BB6"/>
    <w:rsid w:val="00396EBC"/>
    <w:rsid w:val="00397070"/>
    <w:rsid w:val="003A006C"/>
    <w:rsid w:val="003A063D"/>
    <w:rsid w:val="003A0C1F"/>
    <w:rsid w:val="003A3891"/>
    <w:rsid w:val="003A41FC"/>
    <w:rsid w:val="003A42BD"/>
    <w:rsid w:val="003A4765"/>
    <w:rsid w:val="003A4C14"/>
    <w:rsid w:val="003A508E"/>
    <w:rsid w:val="003A56E3"/>
    <w:rsid w:val="003A5915"/>
    <w:rsid w:val="003A6513"/>
    <w:rsid w:val="003A6598"/>
    <w:rsid w:val="003A674B"/>
    <w:rsid w:val="003A682E"/>
    <w:rsid w:val="003A75BF"/>
    <w:rsid w:val="003B0AD2"/>
    <w:rsid w:val="003B0BEB"/>
    <w:rsid w:val="003B15BD"/>
    <w:rsid w:val="003B2697"/>
    <w:rsid w:val="003B275E"/>
    <w:rsid w:val="003B3218"/>
    <w:rsid w:val="003B3D37"/>
    <w:rsid w:val="003B4C05"/>
    <w:rsid w:val="003C0469"/>
    <w:rsid w:val="003C0CFE"/>
    <w:rsid w:val="003C1504"/>
    <w:rsid w:val="003C3FC1"/>
    <w:rsid w:val="003C4544"/>
    <w:rsid w:val="003C52D9"/>
    <w:rsid w:val="003C572B"/>
    <w:rsid w:val="003C5CCB"/>
    <w:rsid w:val="003C60C9"/>
    <w:rsid w:val="003C6C26"/>
    <w:rsid w:val="003C6D1B"/>
    <w:rsid w:val="003C6F2B"/>
    <w:rsid w:val="003C7A1B"/>
    <w:rsid w:val="003C7B60"/>
    <w:rsid w:val="003D008B"/>
    <w:rsid w:val="003D0845"/>
    <w:rsid w:val="003D1A65"/>
    <w:rsid w:val="003D1AA6"/>
    <w:rsid w:val="003D1FB9"/>
    <w:rsid w:val="003D2CCC"/>
    <w:rsid w:val="003D483B"/>
    <w:rsid w:val="003D4D44"/>
    <w:rsid w:val="003D52FF"/>
    <w:rsid w:val="003D5B22"/>
    <w:rsid w:val="003D62DA"/>
    <w:rsid w:val="003D6E51"/>
    <w:rsid w:val="003D7559"/>
    <w:rsid w:val="003D78EF"/>
    <w:rsid w:val="003E0565"/>
    <w:rsid w:val="003E0F23"/>
    <w:rsid w:val="003E0F70"/>
    <w:rsid w:val="003E0FBC"/>
    <w:rsid w:val="003E1272"/>
    <w:rsid w:val="003E1761"/>
    <w:rsid w:val="003E1908"/>
    <w:rsid w:val="003E1E79"/>
    <w:rsid w:val="003E200C"/>
    <w:rsid w:val="003E285A"/>
    <w:rsid w:val="003E3E1B"/>
    <w:rsid w:val="003E4065"/>
    <w:rsid w:val="003E4F31"/>
    <w:rsid w:val="003E54BB"/>
    <w:rsid w:val="003E554E"/>
    <w:rsid w:val="003E6191"/>
    <w:rsid w:val="003E62F1"/>
    <w:rsid w:val="003E66B5"/>
    <w:rsid w:val="003E6FEB"/>
    <w:rsid w:val="003E72EB"/>
    <w:rsid w:val="003E7C8B"/>
    <w:rsid w:val="003E7DD0"/>
    <w:rsid w:val="003E7DEE"/>
    <w:rsid w:val="003F0312"/>
    <w:rsid w:val="003F1B26"/>
    <w:rsid w:val="003F2BD9"/>
    <w:rsid w:val="003F2F92"/>
    <w:rsid w:val="003F30AD"/>
    <w:rsid w:val="003F343A"/>
    <w:rsid w:val="003F472D"/>
    <w:rsid w:val="003F54DF"/>
    <w:rsid w:val="003F62F0"/>
    <w:rsid w:val="003F6586"/>
    <w:rsid w:val="003F7689"/>
    <w:rsid w:val="003F77B0"/>
    <w:rsid w:val="003F791B"/>
    <w:rsid w:val="003F7B36"/>
    <w:rsid w:val="00400584"/>
    <w:rsid w:val="004012E5"/>
    <w:rsid w:val="0040162E"/>
    <w:rsid w:val="004020B7"/>
    <w:rsid w:val="004021A0"/>
    <w:rsid w:val="00402791"/>
    <w:rsid w:val="004027D5"/>
    <w:rsid w:val="0040280F"/>
    <w:rsid w:val="0040281F"/>
    <w:rsid w:val="00402C2B"/>
    <w:rsid w:val="00402D87"/>
    <w:rsid w:val="0040364F"/>
    <w:rsid w:val="00403830"/>
    <w:rsid w:val="00403921"/>
    <w:rsid w:val="0040429C"/>
    <w:rsid w:val="00404BB5"/>
    <w:rsid w:val="00404F2D"/>
    <w:rsid w:val="004050FC"/>
    <w:rsid w:val="004057DA"/>
    <w:rsid w:val="004067ED"/>
    <w:rsid w:val="00406A40"/>
    <w:rsid w:val="00406AB0"/>
    <w:rsid w:val="00406CDC"/>
    <w:rsid w:val="00406FE5"/>
    <w:rsid w:val="0040755B"/>
    <w:rsid w:val="00410A38"/>
    <w:rsid w:val="00410C84"/>
    <w:rsid w:val="00410F64"/>
    <w:rsid w:val="0041130D"/>
    <w:rsid w:val="004116D4"/>
    <w:rsid w:val="00411AC8"/>
    <w:rsid w:val="00413680"/>
    <w:rsid w:val="00413797"/>
    <w:rsid w:val="00413CE9"/>
    <w:rsid w:val="00413E55"/>
    <w:rsid w:val="00413F79"/>
    <w:rsid w:val="004148A2"/>
    <w:rsid w:val="004148D0"/>
    <w:rsid w:val="00414D4D"/>
    <w:rsid w:val="00414F65"/>
    <w:rsid w:val="00415B2D"/>
    <w:rsid w:val="00415FC6"/>
    <w:rsid w:val="004161F4"/>
    <w:rsid w:val="00416211"/>
    <w:rsid w:val="00417250"/>
    <w:rsid w:val="00417F61"/>
    <w:rsid w:val="00417FD0"/>
    <w:rsid w:val="004205B3"/>
    <w:rsid w:val="0042104F"/>
    <w:rsid w:val="004215FD"/>
    <w:rsid w:val="00421B3D"/>
    <w:rsid w:val="00421BA2"/>
    <w:rsid w:val="00421E8E"/>
    <w:rsid w:val="004228F5"/>
    <w:rsid w:val="004235C3"/>
    <w:rsid w:val="00423FF7"/>
    <w:rsid w:val="0042431F"/>
    <w:rsid w:val="00424D07"/>
    <w:rsid w:val="00425D78"/>
    <w:rsid w:val="004264B8"/>
    <w:rsid w:val="00426835"/>
    <w:rsid w:val="00426B60"/>
    <w:rsid w:val="00426BCB"/>
    <w:rsid w:val="00426C02"/>
    <w:rsid w:val="00426CA3"/>
    <w:rsid w:val="00426D94"/>
    <w:rsid w:val="004301C6"/>
    <w:rsid w:val="00430791"/>
    <w:rsid w:val="00430B62"/>
    <w:rsid w:val="00430CC5"/>
    <w:rsid w:val="00430DBB"/>
    <w:rsid w:val="00431AA6"/>
    <w:rsid w:val="00432033"/>
    <w:rsid w:val="004324AD"/>
    <w:rsid w:val="00432694"/>
    <w:rsid w:val="00432872"/>
    <w:rsid w:val="004333C7"/>
    <w:rsid w:val="00433ABB"/>
    <w:rsid w:val="0043428E"/>
    <w:rsid w:val="004347D0"/>
    <w:rsid w:val="00434A9B"/>
    <w:rsid w:val="00434B4A"/>
    <w:rsid w:val="00434D4F"/>
    <w:rsid w:val="00434E8D"/>
    <w:rsid w:val="00435F69"/>
    <w:rsid w:val="00436049"/>
    <w:rsid w:val="00436DA6"/>
    <w:rsid w:val="004371A9"/>
    <w:rsid w:val="0043793F"/>
    <w:rsid w:val="004407E8"/>
    <w:rsid w:val="00441814"/>
    <w:rsid w:val="004425EC"/>
    <w:rsid w:val="0044350B"/>
    <w:rsid w:val="00443DB4"/>
    <w:rsid w:val="0044424F"/>
    <w:rsid w:val="0044534C"/>
    <w:rsid w:val="004455FE"/>
    <w:rsid w:val="004461BD"/>
    <w:rsid w:val="00446418"/>
    <w:rsid w:val="00446D82"/>
    <w:rsid w:val="00447996"/>
    <w:rsid w:val="00447AE6"/>
    <w:rsid w:val="0045029E"/>
    <w:rsid w:val="00450596"/>
    <w:rsid w:val="0045131E"/>
    <w:rsid w:val="00451A19"/>
    <w:rsid w:val="004535FC"/>
    <w:rsid w:val="004537F7"/>
    <w:rsid w:val="00453F99"/>
    <w:rsid w:val="00454335"/>
    <w:rsid w:val="004545C4"/>
    <w:rsid w:val="00454603"/>
    <w:rsid w:val="004551CA"/>
    <w:rsid w:val="00455C0D"/>
    <w:rsid w:val="00456605"/>
    <w:rsid w:val="00457054"/>
    <w:rsid w:val="00457346"/>
    <w:rsid w:val="0045746A"/>
    <w:rsid w:val="0045773C"/>
    <w:rsid w:val="0045781E"/>
    <w:rsid w:val="00460059"/>
    <w:rsid w:val="004604AC"/>
    <w:rsid w:val="0046159E"/>
    <w:rsid w:val="00461988"/>
    <w:rsid w:val="00461991"/>
    <w:rsid w:val="004620AA"/>
    <w:rsid w:val="0046268E"/>
    <w:rsid w:val="00462970"/>
    <w:rsid w:val="00462C1C"/>
    <w:rsid w:val="00462F54"/>
    <w:rsid w:val="00463170"/>
    <w:rsid w:val="00463819"/>
    <w:rsid w:val="0046475C"/>
    <w:rsid w:val="004651E0"/>
    <w:rsid w:val="00466B6B"/>
    <w:rsid w:val="00467C60"/>
    <w:rsid w:val="00467CED"/>
    <w:rsid w:val="00470BFE"/>
    <w:rsid w:val="00470E03"/>
    <w:rsid w:val="00471218"/>
    <w:rsid w:val="00471282"/>
    <w:rsid w:val="00471628"/>
    <w:rsid w:val="00472D01"/>
    <w:rsid w:val="00473574"/>
    <w:rsid w:val="0047426A"/>
    <w:rsid w:val="004745C8"/>
    <w:rsid w:val="00474B01"/>
    <w:rsid w:val="00474C66"/>
    <w:rsid w:val="00474F74"/>
    <w:rsid w:val="00475030"/>
    <w:rsid w:val="00475D6C"/>
    <w:rsid w:val="004778CE"/>
    <w:rsid w:val="00477F99"/>
    <w:rsid w:val="004800B9"/>
    <w:rsid w:val="0048055F"/>
    <w:rsid w:val="004814F2"/>
    <w:rsid w:val="00481F9F"/>
    <w:rsid w:val="0048209F"/>
    <w:rsid w:val="004827EF"/>
    <w:rsid w:val="00482C93"/>
    <w:rsid w:val="004832EB"/>
    <w:rsid w:val="00484277"/>
    <w:rsid w:val="00486639"/>
    <w:rsid w:val="00486B1F"/>
    <w:rsid w:val="00486C9B"/>
    <w:rsid w:val="004879C2"/>
    <w:rsid w:val="00487D56"/>
    <w:rsid w:val="00490218"/>
    <w:rsid w:val="00490E30"/>
    <w:rsid w:val="00490F7A"/>
    <w:rsid w:val="0049191B"/>
    <w:rsid w:val="004919F6"/>
    <w:rsid w:val="0049250F"/>
    <w:rsid w:val="00492561"/>
    <w:rsid w:val="00492AD9"/>
    <w:rsid w:val="00492D30"/>
    <w:rsid w:val="00493E97"/>
    <w:rsid w:val="004941F8"/>
    <w:rsid w:val="00494401"/>
    <w:rsid w:val="004944A1"/>
    <w:rsid w:val="004948CE"/>
    <w:rsid w:val="00496632"/>
    <w:rsid w:val="0049681F"/>
    <w:rsid w:val="0049787D"/>
    <w:rsid w:val="004A021F"/>
    <w:rsid w:val="004A0222"/>
    <w:rsid w:val="004A0508"/>
    <w:rsid w:val="004A0CE3"/>
    <w:rsid w:val="004A11D3"/>
    <w:rsid w:val="004A2084"/>
    <w:rsid w:val="004A2156"/>
    <w:rsid w:val="004A2DD0"/>
    <w:rsid w:val="004A2E9F"/>
    <w:rsid w:val="004A2EDF"/>
    <w:rsid w:val="004A3F03"/>
    <w:rsid w:val="004A4486"/>
    <w:rsid w:val="004A47BE"/>
    <w:rsid w:val="004A4856"/>
    <w:rsid w:val="004A5304"/>
    <w:rsid w:val="004A6108"/>
    <w:rsid w:val="004A624F"/>
    <w:rsid w:val="004A64FB"/>
    <w:rsid w:val="004A66DC"/>
    <w:rsid w:val="004A7210"/>
    <w:rsid w:val="004A74F0"/>
    <w:rsid w:val="004B03BB"/>
    <w:rsid w:val="004B11BE"/>
    <w:rsid w:val="004B158F"/>
    <w:rsid w:val="004B1DFA"/>
    <w:rsid w:val="004B2524"/>
    <w:rsid w:val="004B3760"/>
    <w:rsid w:val="004B46CF"/>
    <w:rsid w:val="004B5030"/>
    <w:rsid w:val="004B6749"/>
    <w:rsid w:val="004B6B76"/>
    <w:rsid w:val="004B71AC"/>
    <w:rsid w:val="004B7298"/>
    <w:rsid w:val="004B7721"/>
    <w:rsid w:val="004B7D45"/>
    <w:rsid w:val="004C0215"/>
    <w:rsid w:val="004C07A6"/>
    <w:rsid w:val="004C09A1"/>
    <w:rsid w:val="004C1A46"/>
    <w:rsid w:val="004C1B71"/>
    <w:rsid w:val="004C2391"/>
    <w:rsid w:val="004C2FE6"/>
    <w:rsid w:val="004C3140"/>
    <w:rsid w:val="004C3869"/>
    <w:rsid w:val="004C394A"/>
    <w:rsid w:val="004C441E"/>
    <w:rsid w:val="004C4670"/>
    <w:rsid w:val="004C493D"/>
    <w:rsid w:val="004C595C"/>
    <w:rsid w:val="004C5C3E"/>
    <w:rsid w:val="004C5CC4"/>
    <w:rsid w:val="004C6A56"/>
    <w:rsid w:val="004C793B"/>
    <w:rsid w:val="004C7FB6"/>
    <w:rsid w:val="004D01FC"/>
    <w:rsid w:val="004D0581"/>
    <w:rsid w:val="004D091D"/>
    <w:rsid w:val="004D094E"/>
    <w:rsid w:val="004D0ECC"/>
    <w:rsid w:val="004D16B9"/>
    <w:rsid w:val="004D18E8"/>
    <w:rsid w:val="004D1B4A"/>
    <w:rsid w:val="004D24D1"/>
    <w:rsid w:val="004D2A9F"/>
    <w:rsid w:val="004D3C0E"/>
    <w:rsid w:val="004D44C6"/>
    <w:rsid w:val="004D4AE0"/>
    <w:rsid w:val="004D5154"/>
    <w:rsid w:val="004D687D"/>
    <w:rsid w:val="004D6EE3"/>
    <w:rsid w:val="004D6F16"/>
    <w:rsid w:val="004D6FAD"/>
    <w:rsid w:val="004D72CB"/>
    <w:rsid w:val="004D7BAE"/>
    <w:rsid w:val="004D7BF7"/>
    <w:rsid w:val="004E0F37"/>
    <w:rsid w:val="004E198D"/>
    <w:rsid w:val="004E2387"/>
    <w:rsid w:val="004E38ED"/>
    <w:rsid w:val="004E4CEC"/>
    <w:rsid w:val="004E4D7E"/>
    <w:rsid w:val="004E61FD"/>
    <w:rsid w:val="004E6BCF"/>
    <w:rsid w:val="004E6C64"/>
    <w:rsid w:val="004E6E14"/>
    <w:rsid w:val="004E74A9"/>
    <w:rsid w:val="004F0DAE"/>
    <w:rsid w:val="004F0F5A"/>
    <w:rsid w:val="004F16CF"/>
    <w:rsid w:val="004F174C"/>
    <w:rsid w:val="004F1A81"/>
    <w:rsid w:val="004F1C61"/>
    <w:rsid w:val="004F220A"/>
    <w:rsid w:val="004F2645"/>
    <w:rsid w:val="004F2F53"/>
    <w:rsid w:val="004F2FEC"/>
    <w:rsid w:val="004F3A89"/>
    <w:rsid w:val="004F4293"/>
    <w:rsid w:val="004F4EB2"/>
    <w:rsid w:val="004F6BFF"/>
    <w:rsid w:val="004F6E00"/>
    <w:rsid w:val="004F7B54"/>
    <w:rsid w:val="004F7D23"/>
    <w:rsid w:val="004F7F62"/>
    <w:rsid w:val="0050037C"/>
    <w:rsid w:val="00500BCF"/>
    <w:rsid w:val="0050100F"/>
    <w:rsid w:val="005010A7"/>
    <w:rsid w:val="005026DE"/>
    <w:rsid w:val="005027B5"/>
    <w:rsid w:val="00502CBE"/>
    <w:rsid w:val="0050454E"/>
    <w:rsid w:val="005049B5"/>
    <w:rsid w:val="00505182"/>
    <w:rsid w:val="00505374"/>
    <w:rsid w:val="00505928"/>
    <w:rsid w:val="00506679"/>
    <w:rsid w:val="0050667F"/>
    <w:rsid w:val="0050693C"/>
    <w:rsid w:val="00507E81"/>
    <w:rsid w:val="00507F37"/>
    <w:rsid w:val="005103D0"/>
    <w:rsid w:val="0051050D"/>
    <w:rsid w:val="00510E97"/>
    <w:rsid w:val="00511D44"/>
    <w:rsid w:val="005126F5"/>
    <w:rsid w:val="0051281F"/>
    <w:rsid w:val="00512823"/>
    <w:rsid w:val="005129C3"/>
    <w:rsid w:val="00512E26"/>
    <w:rsid w:val="00513B24"/>
    <w:rsid w:val="00513C49"/>
    <w:rsid w:val="00514072"/>
    <w:rsid w:val="00514CB2"/>
    <w:rsid w:val="00516FD2"/>
    <w:rsid w:val="00517009"/>
    <w:rsid w:val="0051757A"/>
    <w:rsid w:val="0052234C"/>
    <w:rsid w:val="00523689"/>
    <w:rsid w:val="005238F5"/>
    <w:rsid w:val="00523900"/>
    <w:rsid w:val="00523A86"/>
    <w:rsid w:val="00523FE2"/>
    <w:rsid w:val="00524232"/>
    <w:rsid w:val="00524405"/>
    <w:rsid w:val="00524898"/>
    <w:rsid w:val="00524941"/>
    <w:rsid w:val="00524BF0"/>
    <w:rsid w:val="00525163"/>
    <w:rsid w:val="00525A27"/>
    <w:rsid w:val="005263DA"/>
    <w:rsid w:val="0052663A"/>
    <w:rsid w:val="00526E9E"/>
    <w:rsid w:val="005272BE"/>
    <w:rsid w:val="005274B5"/>
    <w:rsid w:val="00530710"/>
    <w:rsid w:val="005307EC"/>
    <w:rsid w:val="00530A2D"/>
    <w:rsid w:val="0053267A"/>
    <w:rsid w:val="0053295D"/>
    <w:rsid w:val="005331BF"/>
    <w:rsid w:val="0053460E"/>
    <w:rsid w:val="00534953"/>
    <w:rsid w:val="005350ED"/>
    <w:rsid w:val="0053554E"/>
    <w:rsid w:val="00535668"/>
    <w:rsid w:val="00535DAA"/>
    <w:rsid w:val="005360D4"/>
    <w:rsid w:val="0053617F"/>
    <w:rsid w:val="00537896"/>
    <w:rsid w:val="00537A1F"/>
    <w:rsid w:val="00537C7A"/>
    <w:rsid w:val="005404DD"/>
    <w:rsid w:val="0054056A"/>
    <w:rsid w:val="00541ACF"/>
    <w:rsid w:val="00541C29"/>
    <w:rsid w:val="005420C0"/>
    <w:rsid w:val="00542B98"/>
    <w:rsid w:val="00542BF5"/>
    <w:rsid w:val="00542D87"/>
    <w:rsid w:val="00543730"/>
    <w:rsid w:val="005449BD"/>
    <w:rsid w:val="00544CE7"/>
    <w:rsid w:val="00544E6F"/>
    <w:rsid w:val="00545249"/>
    <w:rsid w:val="00545655"/>
    <w:rsid w:val="005456C5"/>
    <w:rsid w:val="00545846"/>
    <w:rsid w:val="00546FBA"/>
    <w:rsid w:val="00547700"/>
    <w:rsid w:val="00551518"/>
    <w:rsid w:val="005519D2"/>
    <w:rsid w:val="00551B06"/>
    <w:rsid w:val="0055256F"/>
    <w:rsid w:val="00552634"/>
    <w:rsid w:val="00552B83"/>
    <w:rsid w:val="00553DF6"/>
    <w:rsid w:val="00553EDA"/>
    <w:rsid w:val="00553F44"/>
    <w:rsid w:val="00554B72"/>
    <w:rsid w:val="00554C12"/>
    <w:rsid w:val="005555FB"/>
    <w:rsid w:val="005559D7"/>
    <w:rsid w:val="00556F2A"/>
    <w:rsid w:val="005573A7"/>
    <w:rsid w:val="00557BF0"/>
    <w:rsid w:val="0056001C"/>
    <w:rsid w:val="005612EB"/>
    <w:rsid w:val="00564ABC"/>
    <w:rsid w:val="00565FB6"/>
    <w:rsid w:val="00566E5C"/>
    <w:rsid w:val="0056750E"/>
    <w:rsid w:val="0056785D"/>
    <w:rsid w:val="00567953"/>
    <w:rsid w:val="00567A60"/>
    <w:rsid w:val="005700DB"/>
    <w:rsid w:val="00570370"/>
    <w:rsid w:val="00570409"/>
    <w:rsid w:val="0057095E"/>
    <w:rsid w:val="00570FDF"/>
    <w:rsid w:val="005710B1"/>
    <w:rsid w:val="00571245"/>
    <w:rsid w:val="005715E1"/>
    <w:rsid w:val="0057188E"/>
    <w:rsid w:val="005722FC"/>
    <w:rsid w:val="00572727"/>
    <w:rsid w:val="005727EA"/>
    <w:rsid w:val="00572894"/>
    <w:rsid w:val="00573274"/>
    <w:rsid w:val="0057360C"/>
    <w:rsid w:val="0057391F"/>
    <w:rsid w:val="00573B23"/>
    <w:rsid w:val="00573B87"/>
    <w:rsid w:val="0057416B"/>
    <w:rsid w:val="00574197"/>
    <w:rsid w:val="00574439"/>
    <w:rsid w:val="005751B8"/>
    <w:rsid w:val="00576064"/>
    <w:rsid w:val="00577D2D"/>
    <w:rsid w:val="005805E9"/>
    <w:rsid w:val="00580DCA"/>
    <w:rsid w:val="00580F70"/>
    <w:rsid w:val="0058176B"/>
    <w:rsid w:val="00581811"/>
    <w:rsid w:val="005820E8"/>
    <w:rsid w:val="0058268D"/>
    <w:rsid w:val="005826ED"/>
    <w:rsid w:val="00582B7C"/>
    <w:rsid w:val="005837C8"/>
    <w:rsid w:val="005839C2"/>
    <w:rsid w:val="00584687"/>
    <w:rsid w:val="0058511B"/>
    <w:rsid w:val="0058561C"/>
    <w:rsid w:val="00586023"/>
    <w:rsid w:val="00586A00"/>
    <w:rsid w:val="00586A5D"/>
    <w:rsid w:val="00586C20"/>
    <w:rsid w:val="00586FEC"/>
    <w:rsid w:val="0058716C"/>
    <w:rsid w:val="00587D18"/>
    <w:rsid w:val="00590194"/>
    <w:rsid w:val="00590F96"/>
    <w:rsid w:val="00592044"/>
    <w:rsid w:val="00592358"/>
    <w:rsid w:val="00592A2F"/>
    <w:rsid w:val="00593DA2"/>
    <w:rsid w:val="0059560E"/>
    <w:rsid w:val="0059572C"/>
    <w:rsid w:val="00595C0D"/>
    <w:rsid w:val="00596141"/>
    <w:rsid w:val="00596562"/>
    <w:rsid w:val="00596662"/>
    <w:rsid w:val="005966EC"/>
    <w:rsid w:val="005972D2"/>
    <w:rsid w:val="005974DB"/>
    <w:rsid w:val="00597743"/>
    <w:rsid w:val="005A0060"/>
    <w:rsid w:val="005A1816"/>
    <w:rsid w:val="005A1E90"/>
    <w:rsid w:val="005A20E6"/>
    <w:rsid w:val="005A376F"/>
    <w:rsid w:val="005A3979"/>
    <w:rsid w:val="005A4561"/>
    <w:rsid w:val="005A5507"/>
    <w:rsid w:val="005A55B6"/>
    <w:rsid w:val="005A5AC0"/>
    <w:rsid w:val="005A6234"/>
    <w:rsid w:val="005B0218"/>
    <w:rsid w:val="005B0533"/>
    <w:rsid w:val="005B07C9"/>
    <w:rsid w:val="005B1736"/>
    <w:rsid w:val="005B17E2"/>
    <w:rsid w:val="005B2395"/>
    <w:rsid w:val="005B2EBF"/>
    <w:rsid w:val="005B3352"/>
    <w:rsid w:val="005B35AC"/>
    <w:rsid w:val="005B3A75"/>
    <w:rsid w:val="005B5387"/>
    <w:rsid w:val="005B6923"/>
    <w:rsid w:val="005B6D2C"/>
    <w:rsid w:val="005B6F42"/>
    <w:rsid w:val="005B7974"/>
    <w:rsid w:val="005C067F"/>
    <w:rsid w:val="005C081B"/>
    <w:rsid w:val="005C0AD7"/>
    <w:rsid w:val="005C13EC"/>
    <w:rsid w:val="005C24BB"/>
    <w:rsid w:val="005C30CB"/>
    <w:rsid w:val="005C3CB1"/>
    <w:rsid w:val="005C428C"/>
    <w:rsid w:val="005C4357"/>
    <w:rsid w:val="005C55F4"/>
    <w:rsid w:val="005C5684"/>
    <w:rsid w:val="005C5A6F"/>
    <w:rsid w:val="005C6348"/>
    <w:rsid w:val="005C6E88"/>
    <w:rsid w:val="005C7595"/>
    <w:rsid w:val="005C762D"/>
    <w:rsid w:val="005D0347"/>
    <w:rsid w:val="005D16D6"/>
    <w:rsid w:val="005D21E2"/>
    <w:rsid w:val="005D2968"/>
    <w:rsid w:val="005D2A53"/>
    <w:rsid w:val="005D31A7"/>
    <w:rsid w:val="005D378C"/>
    <w:rsid w:val="005D4B59"/>
    <w:rsid w:val="005D5340"/>
    <w:rsid w:val="005D5505"/>
    <w:rsid w:val="005D5FDA"/>
    <w:rsid w:val="005D6A60"/>
    <w:rsid w:val="005D6B7F"/>
    <w:rsid w:val="005D7956"/>
    <w:rsid w:val="005E01C8"/>
    <w:rsid w:val="005E066C"/>
    <w:rsid w:val="005E1BC9"/>
    <w:rsid w:val="005E1C71"/>
    <w:rsid w:val="005E1ED7"/>
    <w:rsid w:val="005E279D"/>
    <w:rsid w:val="005E4ADB"/>
    <w:rsid w:val="005E4E9B"/>
    <w:rsid w:val="005E54E4"/>
    <w:rsid w:val="005E5798"/>
    <w:rsid w:val="005E581D"/>
    <w:rsid w:val="005E647D"/>
    <w:rsid w:val="005E6D98"/>
    <w:rsid w:val="005E6F5F"/>
    <w:rsid w:val="005E7326"/>
    <w:rsid w:val="005E7CF9"/>
    <w:rsid w:val="005F0525"/>
    <w:rsid w:val="005F0653"/>
    <w:rsid w:val="005F10C5"/>
    <w:rsid w:val="005F1300"/>
    <w:rsid w:val="005F1586"/>
    <w:rsid w:val="005F1CC1"/>
    <w:rsid w:val="005F1D80"/>
    <w:rsid w:val="005F2628"/>
    <w:rsid w:val="005F2EB3"/>
    <w:rsid w:val="005F312B"/>
    <w:rsid w:val="005F35C8"/>
    <w:rsid w:val="005F36DB"/>
    <w:rsid w:val="005F371F"/>
    <w:rsid w:val="005F3863"/>
    <w:rsid w:val="005F3FF2"/>
    <w:rsid w:val="005F4CB6"/>
    <w:rsid w:val="005F52C5"/>
    <w:rsid w:val="005F572C"/>
    <w:rsid w:val="005F58E6"/>
    <w:rsid w:val="005F5A5B"/>
    <w:rsid w:val="005F5C8C"/>
    <w:rsid w:val="005F5C95"/>
    <w:rsid w:val="005F6178"/>
    <w:rsid w:val="005F77C3"/>
    <w:rsid w:val="006002F8"/>
    <w:rsid w:val="006004D5"/>
    <w:rsid w:val="00600BDC"/>
    <w:rsid w:val="006010AE"/>
    <w:rsid w:val="00601678"/>
    <w:rsid w:val="006024B5"/>
    <w:rsid w:val="00602E09"/>
    <w:rsid w:val="006032C0"/>
    <w:rsid w:val="00603D62"/>
    <w:rsid w:val="0060586C"/>
    <w:rsid w:val="006058EF"/>
    <w:rsid w:val="00605E4F"/>
    <w:rsid w:val="006066FD"/>
    <w:rsid w:val="006071D2"/>
    <w:rsid w:val="00610527"/>
    <w:rsid w:val="006105F5"/>
    <w:rsid w:val="00612D22"/>
    <w:rsid w:val="00613676"/>
    <w:rsid w:val="0061383D"/>
    <w:rsid w:val="00613DDD"/>
    <w:rsid w:val="006146A9"/>
    <w:rsid w:val="00614932"/>
    <w:rsid w:val="00614B29"/>
    <w:rsid w:val="00615323"/>
    <w:rsid w:val="00615852"/>
    <w:rsid w:val="0061589C"/>
    <w:rsid w:val="00615A6A"/>
    <w:rsid w:val="00616023"/>
    <w:rsid w:val="006161DD"/>
    <w:rsid w:val="0061657D"/>
    <w:rsid w:val="0061662F"/>
    <w:rsid w:val="00616A15"/>
    <w:rsid w:val="0061700B"/>
    <w:rsid w:val="00617D8F"/>
    <w:rsid w:val="00621302"/>
    <w:rsid w:val="0062158E"/>
    <w:rsid w:val="006217D4"/>
    <w:rsid w:val="00621E73"/>
    <w:rsid w:val="00622057"/>
    <w:rsid w:val="00622899"/>
    <w:rsid w:val="00622AF6"/>
    <w:rsid w:val="006232FC"/>
    <w:rsid w:val="006233FE"/>
    <w:rsid w:val="006238F7"/>
    <w:rsid w:val="00625141"/>
    <w:rsid w:val="00625C45"/>
    <w:rsid w:val="006265AA"/>
    <w:rsid w:val="00626F05"/>
    <w:rsid w:val="00627BD5"/>
    <w:rsid w:val="00630956"/>
    <w:rsid w:val="00630CE1"/>
    <w:rsid w:val="00630EE2"/>
    <w:rsid w:val="00632558"/>
    <w:rsid w:val="006326FE"/>
    <w:rsid w:val="00632B7A"/>
    <w:rsid w:val="00633424"/>
    <w:rsid w:val="00633C29"/>
    <w:rsid w:val="00634260"/>
    <w:rsid w:val="00635443"/>
    <w:rsid w:val="00635939"/>
    <w:rsid w:val="00635AD5"/>
    <w:rsid w:val="006362EF"/>
    <w:rsid w:val="00636371"/>
    <w:rsid w:val="006363AA"/>
    <w:rsid w:val="006367AE"/>
    <w:rsid w:val="00636CDF"/>
    <w:rsid w:val="00640300"/>
    <w:rsid w:val="00640B46"/>
    <w:rsid w:val="00640D2A"/>
    <w:rsid w:val="00640DB1"/>
    <w:rsid w:val="0064137C"/>
    <w:rsid w:val="00641AD9"/>
    <w:rsid w:val="00641C50"/>
    <w:rsid w:val="00641EF8"/>
    <w:rsid w:val="00642220"/>
    <w:rsid w:val="0064243E"/>
    <w:rsid w:val="00642448"/>
    <w:rsid w:val="00642BA8"/>
    <w:rsid w:val="0064314C"/>
    <w:rsid w:val="00643CD7"/>
    <w:rsid w:val="00644758"/>
    <w:rsid w:val="006449B8"/>
    <w:rsid w:val="00644C97"/>
    <w:rsid w:val="0064533E"/>
    <w:rsid w:val="006454EE"/>
    <w:rsid w:val="0064777E"/>
    <w:rsid w:val="00647B8F"/>
    <w:rsid w:val="006508D9"/>
    <w:rsid w:val="00650CF7"/>
    <w:rsid w:val="00650F00"/>
    <w:rsid w:val="006510C2"/>
    <w:rsid w:val="0065180D"/>
    <w:rsid w:val="006529F9"/>
    <w:rsid w:val="006534F1"/>
    <w:rsid w:val="006538AD"/>
    <w:rsid w:val="00654056"/>
    <w:rsid w:val="00655196"/>
    <w:rsid w:val="00655DF0"/>
    <w:rsid w:val="0065695E"/>
    <w:rsid w:val="00656A7B"/>
    <w:rsid w:val="00656B4F"/>
    <w:rsid w:val="00657B2A"/>
    <w:rsid w:val="00661283"/>
    <w:rsid w:val="0066269D"/>
    <w:rsid w:val="006626A8"/>
    <w:rsid w:val="006632D8"/>
    <w:rsid w:val="00665327"/>
    <w:rsid w:val="00665B11"/>
    <w:rsid w:val="00665D9F"/>
    <w:rsid w:val="00666417"/>
    <w:rsid w:val="00666520"/>
    <w:rsid w:val="00666EC3"/>
    <w:rsid w:val="00667031"/>
    <w:rsid w:val="006675D0"/>
    <w:rsid w:val="00667CC0"/>
    <w:rsid w:val="00670364"/>
    <w:rsid w:val="006712E4"/>
    <w:rsid w:val="0067368D"/>
    <w:rsid w:val="00673C05"/>
    <w:rsid w:val="00674523"/>
    <w:rsid w:val="00674936"/>
    <w:rsid w:val="00675076"/>
    <w:rsid w:val="00675267"/>
    <w:rsid w:val="006752A2"/>
    <w:rsid w:val="00675472"/>
    <w:rsid w:val="006754BE"/>
    <w:rsid w:val="00676414"/>
    <w:rsid w:val="00676DE7"/>
    <w:rsid w:val="006772B7"/>
    <w:rsid w:val="006775E9"/>
    <w:rsid w:val="00677844"/>
    <w:rsid w:val="00677FDE"/>
    <w:rsid w:val="00680265"/>
    <w:rsid w:val="006803F5"/>
    <w:rsid w:val="006804AC"/>
    <w:rsid w:val="00680A94"/>
    <w:rsid w:val="00681178"/>
    <w:rsid w:val="00681299"/>
    <w:rsid w:val="00682302"/>
    <w:rsid w:val="006826FB"/>
    <w:rsid w:val="006836F7"/>
    <w:rsid w:val="00685152"/>
    <w:rsid w:val="006855BE"/>
    <w:rsid w:val="00685CAC"/>
    <w:rsid w:val="006864D6"/>
    <w:rsid w:val="0068683F"/>
    <w:rsid w:val="00686E6A"/>
    <w:rsid w:val="006876E8"/>
    <w:rsid w:val="0069012A"/>
    <w:rsid w:val="0069079D"/>
    <w:rsid w:val="00690F9D"/>
    <w:rsid w:val="00691755"/>
    <w:rsid w:val="00691805"/>
    <w:rsid w:val="00691EB9"/>
    <w:rsid w:val="00693E27"/>
    <w:rsid w:val="006941BB"/>
    <w:rsid w:val="0069428C"/>
    <w:rsid w:val="00694C8D"/>
    <w:rsid w:val="00694E61"/>
    <w:rsid w:val="0069530A"/>
    <w:rsid w:val="00695855"/>
    <w:rsid w:val="00695BC9"/>
    <w:rsid w:val="00695C8B"/>
    <w:rsid w:val="006965C8"/>
    <w:rsid w:val="006971EB"/>
    <w:rsid w:val="006976AF"/>
    <w:rsid w:val="00697A28"/>
    <w:rsid w:val="006A0C96"/>
    <w:rsid w:val="006A0DD9"/>
    <w:rsid w:val="006A14A2"/>
    <w:rsid w:val="006A1528"/>
    <w:rsid w:val="006A18B1"/>
    <w:rsid w:val="006A1A33"/>
    <w:rsid w:val="006A3251"/>
    <w:rsid w:val="006A34AB"/>
    <w:rsid w:val="006A38BA"/>
    <w:rsid w:val="006A4449"/>
    <w:rsid w:val="006A4750"/>
    <w:rsid w:val="006A502C"/>
    <w:rsid w:val="006A665D"/>
    <w:rsid w:val="006A6FE0"/>
    <w:rsid w:val="006B0A70"/>
    <w:rsid w:val="006B1211"/>
    <w:rsid w:val="006B1890"/>
    <w:rsid w:val="006B2A67"/>
    <w:rsid w:val="006B3715"/>
    <w:rsid w:val="006B37CE"/>
    <w:rsid w:val="006B3CDE"/>
    <w:rsid w:val="006B460B"/>
    <w:rsid w:val="006B494E"/>
    <w:rsid w:val="006B4BE1"/>
    <w:rsid w:val="006B54BC"/>
    <w:rsid w:val="006B5775"/>
    <w:rsid w:val="006B66D3"/>
    <w:rsid w:val="006B67AB"/>
    <w:rsid w:val="006B7922"/>
    <w:rsid w:val="006B7A34"/>
    <w:rsid w:val="006B7B73"/>
    <w:rsid w:val="006C15F0"/>
    <w:rsid w:val="006C232D"/>
    <w:rsid w:val="006C28D2"/>
    <w:rsid w:val="006C29A0"/>
    <w:rsid w:val="006C2D45"/>
    <w:rsid w:val="006C30C7"/>
    <w:rsid w:val="006C43BD"/>
    <w:rsid w:val="006C48F5"/>
    <w:rsid w:val="006C4E35"/>
    <w:rsid w:val="006C4FA5"/>
    <w:rsid w:val="006C54B5"/>
    <w:rsid w:val="006C63D8"/>
    <w:rsid w:val="006C76CA"/>
    <w:rsid w:val="006C7825"/>
    <w:rsid w:val="006D09B2"/>
    <w:rsid w:val="006D0F76"/>
    <w:rsid w:val="006D0F87"/>
    <w:rsid w:val="006D123A"/>
    <w:rsid w:val="006D1B7A"/>
    <w:rsid w:val="006D1DBB"/>
    <w:rsid w:val="006D22F3"/>
    <w:rsid w:val="006D29C3"/>
    <w:rsid w:val="006D2D66"/>
    <w:rsid w:val="006D2FC4"/>
    <w:rsid w:val="006D3B3D"/>
    <w:rsid w:val="006D3B7F"/>
    <w:rsid w:val="006D4216"/>
    <w:rsid w:val="006D4A6E"/>
    <w:rsid w:val="006D4B4E"/>
    <w:rsid w:val="006D6718"/>
    <w:rsid w:val="006D6BF5"/>
    <w:rsid w:val="006D7616"/>
    <w:rsid w:val="006D7F47"/>
    <w:rsid w:val="006E0BA1"/>
    <w:rsid w:val="006E0FA7"/>
    <w:rsid w:val="006E188F"/>
    <w:rsid w:val="006E21F4"/>
    <w:rsid w:val="006E270D"/>
    <w:rsid w:val="006E2A72"/>
    <w:rsid w:val="006E32B9"/>
    <w:rsid w:val="006E3863"/>
    <w:rsid w:val="006E3DEA"/>
    <w:rsid w:val="006E3EBB"/>
    <w:rsid w:val="006E49D2"/>
    <w:rsid w:val="006E5637"/>
    <w:rsid w:val="006E5841"/>
    <w:rsid w:val="006E634D"/>
    <w:rsid w:val="006E6FE9"/>
    <w:rsid w:val="006E7059"/>
    <w:rsid w:val="006E71A8"/>
    <w:rsid w:val="006E7841"/>
    <w:rsid w:val="006E7D50"/>
    <w:rsid w:val="006F0844"/>
    <w:rsid w:val="006F0BBE"/>
    <w:rsid w:val="006F1A92"/>
    <w:rsid w:val="006F1DA8"/>
    <w:rsid w:val="006F2F2E"/>
    <w:rsid w:val="006F3892"/>
    <w:rsid w:val="006F3E7D"/>
    <w:rsid w:val="006F4361"/>
    <w:rsid w:val="006F4827"/>
    <w:rsid w:val="006F596A"/>
    <w:rsid w:val="006F63AC"/>
    <w:rsid w:val="006F665D"/>
    <w:rsid w:val="006F6C1D"/>
    <w:rsid w:val="006F71C6"/>
    <w:rsid w:val="006F71FE"/>
    <w:rsid w:val="006F7BDE"/>
    <w:rsid w:val="006F7DE0"/>
    <w:rsid w:val="00700176"/>
    <w:rsid w:val="00700668"/>
    <w:rsid w:val="007007CB"/>
    <w:rsid w:val="007009AD"/>
    <w:rsid w:val="00700AED"/>
    <w:rsid w:val="0070231C"/>
    <w:rsid w:val="00702789"/>
    <w:rsid w:val="00703384"/>
    <w:rsid w:val="007038DB"/>
    <w:rsid w:val="00704085"/>
    <w:rsid w:val="0070415C"/>
    <w:rsid w:val="00704424"/>
    <w:rsid w:val="00704B3D"/>
    <w:rsid w:val="0070581D"/>
    <w:rsid w:val="00705A52"/>
    <w:rsid w:val="00705FF6"/>
    <w:rsid w:val="007061E6"/>
    <w:rsid w:val="007073ED"/>
    <w:rsid w:val="007077EF"/>
    <w:rsid w:val="00707827"/>
    <w:rsid w:val="007101DD"/>
    <w:rsid w:val="007101FB"/>
    <w:rsid w:val="00710640"/>
    <w:rsid w:val="00710F1B"/>
    <w:rsid w:val="00714514"/>
    <w:rsid w:val="007155BE"/>
    <w:rsid w:val="00715BAA"/>
    <w:rsid w:val="00716AFA"/>
    <w:rsid w:val="00716FB8"/>
    <w:rsid w:val="007170A1"/>
    <w:rsid w:val="00720544"/>
    <w:rsid w:val="0072094D"/>
    <w:rsid w:val="007214CA"/>
    <w:rsid w:val="007219B4"/>
    <w:rsid w:val="00721AB0"/>
    <w:rsid w:val="00722B95"/>
    <w:rsid w:val="007244C2"/>
    <w:rsid w:val="00724A5A"/>
    <w:rsid w:val="00724BCE"/>
    <w:rsid w:val="00724E33"/>
    <w:rsid w:val="007250DA"/>
    <w:rsid w:val="0072696D"/>
    <w:rsid w:val="007270CD"/>
    <w:rsid w:val="007276FE"/>
    <w:rsid w:val="00727BB2"/>
    <w:rsid w:val="007309CF"/>
    <w:rsid w:val="00730FE1"/>
    <w:rsid w:val="00731E25"/>
    <w:rsid w:val="0073223D"/>
    <w:rsid w:val="00732847"/>
    <w:rsid w:val="00732ED8"/>
    <w:rsid w:val="00733F29"/>
    <w:rsid w:val="0073410D"/>
    <w:rsid w:val="0073567B"/>
    <w:rsid w:val="00736318"/>
    <w:rsid w:val="0073651F"/>
    <w:rsid w:val="007368F0"/>
    <w:rsid w:val="00737089"/>
    <w:rsid w:val="00737785"/>
    <w:rsid w:val="007400B7"/>
    <w:rsid w:val="007404CC"/>
    <w:rsid w:val="00740604"/>
    <w:rsid w:val="00740D5D"/>
    <w:rsid w:val="00740EB0"/>
    <w:rsid w:val="00741229"/>
    <w:rsid w:val="00741B79"/>
    <w:rsid w:val="00742A37"/>
    <w:rsid w:val="00742DDB"/>
    <w:rsid w:val="00743566"/>
    <w:rsid w:val="0074424A"/>
    <w:rsid w:val="00744285"/>
    <w:rsid w:val="00745D98"/>
    <w:rsid w:val="0074628F"/>
    <w:rsid w:val="00746DFF"/>
    <w:rsid w:val="0074704F"/>
    <w:rsid w:val="00747584"/>
    <w:rsid w:val="00747BB1"/>
    <w:rsid w:val="00747DAA"/>
    <w:rsid w:val="00747E80"/>
    <w:rsid w:val="00747FF3"/>
    <w:rsid w:val="0075063B"/>
    <w:rsid w:val="00750768"/>
    <w:rsid w:val="00750D39"/>
    <w:rsid w:val="00751B21"/>
    <w:rsid w:val="0075212F"/>
    <w:rsid w:val="0075226D"/>
    <w:rsid w:val="00752431"/>
    <w:rsid w:val="00752443"/>
    <w:rsid w:val="007528AB"/>
    <w:rsid w:val="00753706"/>
    <w:rsid w:val="0075412F"/>
    <w:rsid w:val="00754A9E"/>
    <w:rsid w:val="00754E6D"/>
    <w:rsid w:val="00755745"/>
    <w:rsid w:val="0075774F"/>
    <w:rsid w:val="00757CA6"/>
    <w:rsid w:val="007603E1"/>
    <w:rsid w:val="00760673"/>
    <w:rsid w:val="007630D8"/>
    <w:rsid w:val="00763232"/>
    <w:rsid w:val="007640EC"/>
    <w:rsid w:val="007643F7"/>
    <w:rsid w:val="007650A1"/>
    <w:rsid w:val="0076575B"/>
    <w:rsid w:val="00765E29"/>
    <w:rsid w:val="00766126"/>
    <w:rsid w:val="00766134"/>
    <w:rsid w:val="00766A7A"/>
    <w:rsid w:val="00766C55"/>
    <w:rsid w:val="00767EB0"/>
    <w:rsid w:val="00770962"/>
    <w:rsid w:val="00771930"/>
    <w:rsid w:val="00771BA5"/>
    <w:rsid w:val="00772124"/>
    <w:rsid w:val="007727B3"/>
    <w:rsid w:val="00772FF1"/>
    <w:rsid w:val="0077444B"/>
    <w:rsid w:val="007745B9"/>
    <w:rsid w:val="00774FB5"/>
    <w:rsid w:val="00775056"/>
    <w:rsid w:val="007754E2"/>
    <w:rsid w:val="00775C4D"/>
    <w:rsid w:val="007764DD"/>
    <w:rsid w:val="00777F11"/>
    <w:rsid w:val="0078056C"/>
    <w:rsid w:val="0078187A"/>
    <w:rsid w:val="00781970"/>
    <w:rsid w:val="00781A00"/>
    <w:rsid w:val="00781F2B"/>
    <w:rsid w:val="00782677"/>
    <w:rsid w:val="0078314D"/>
    <w:rsid w:val="00783B5D"/>
    <w:rsid w:val="00783DC1"/>
    <w:rsid w:val="00784418"/>
    <w:rsid w:val="007851E4"/>
    <w:rsid w:val="007869C1"/>
    <w:rsid w:val="00787204"/>
    <w:rsid w:val="007877FA"/>
    <w:rsid w:val="00791864"/>
    <w:rsid w:val="00791959"/>
    <w:rsid w:val="00791A15"/>
    <w:rsid w:val="00791A7A"/>
    <w:rsid w:val="00791EDE"/>
    <w:rsid w:val="00792963"/>
    <w:rsid w:val="00792B9C"/>
    <w:rsid w:val="0079313D"/>
    <w:rsid w:val="007932CE"/>
    <w:rsid w:val="00793AC8"/>
    <w:rsid w:val="00793C34"/>
    <w:rsid w:val="007946B9"/>
    <w:rsid w:val="00794787"/>
    <w:rsid w:val="007957F6"/>
    <w:rsid w:val="007958A9"/>
    <w:rsid w:val="00795AE0"/>
    <w:rsid w:val="00795E00"/>
    <w:rsid w:val="00796161"/>
    <w:rsid w:val="00796281"/>
    <w:rsid w:val="00797380"/>
    <w:rsid w:val="007A0FF7"/>
    <w:rsid w:val="007A12CF"/>
    <w:rsid w:val="007A1687"/>
    <w:rsid w:val="007A23C2"/>
    <w:rsid w:val="007A2AEE"/>
    <w:rsid w:val="007A3A68"/>
    <w:rsid w:val="007A3F6C"/>
    <w:rsid w:val="007A423D"/>
    <w:rsid w:val="007A46D0"/>
    <w:rsid w:val="007A5341"/>
    <w:rsid w:val="007A66E1"/>
    <w:rsid w:val="007A6A7D"/>
    <w:rsid w:val="007A7327"/>
    <w:rsid w:val="007A789F"/>
    <w:rsid w:val="007A79EB"/>
    <w:rsid w:val="007A7CC3"/>
    <w:rsid w:val="007B03D1"/>
    <w:rsid w:val="007B0DB9"/>
    <w:rsid w:val="007B0E96"/>
    <w:rsid w:val="007B229D"/>
    <w:rsid w:val="007B229E"/>
    <w:rsid w:val="007B2AB9"/>
    <w:rsid w:val="007B3B4B"/>
    <w:rsid w:val="007B47FE"/>
    <w:rsid w:val="007B51D7"/>
    <w:rsid w:val="007B5B55"/>
    <w:rsid w:val="007B5D3F"/>
    <w:rsid w:val="007B6BE4"/>
    <w:rsid w:val="007B6C3E"/>
    <w:rsid w:val="007B7C88"/>
    <w:rsid w:val="007B7EDE"/>
    <w:rsid w:val="007C07FF"/>
    <w:rsid w:val="007C1322"/>
    <w:rsid w:val="007C1734"/>
    <w:rsid w:val="007C179B"/>
    <w:rsid w:val="007C1BCF"/>
    <w:rsid w:val="007C26B2"/>
    <w:rsid w:val="007C2A7D"/>
    <w:rsid w:val="007C3264"/>
    <w:rsid w:val="007C3B9D"/>
    <w:rsid w:val="007C449E"/>
    <w:rsid w:val="007C5014"/>
    <w:rsid w:val="007C5D81"/>
    <w:rsid w:val="007C6A10"/>
    <w:rsid w:val="007C7169"/>
    <w:rsid w:val="007C7982"/>
    <w:rsid w:val="007D05E8"/>
    <w:rsid w:val="007D0928"/>
    <w:rsid w:val="007D0B80"/>
    <w:rsid w:val="007D0E1A"/>
    <w:rsid w:val="007D12E1"/>
    <w:rsid w:val="007D1DD4"/>
    <w:rsid w:val="007D318A"/>
    <w:rsid w:val="007D3B58"/>
    <w:rsid w:val="007D3FEC"/>
    <w:rsid w:val="007D48B0"/>
    <w:rsid w:val="007D63DF"/>
    <w:rsid w:val="007D678C"/>
    <w:rsid w:val="007D6B7D"/>
    <w:rsid w:val="007D6EEA"/>
    <w:rsid w:val="007D7077"/>
    <w:rsid w:val="007E0560"/>
    <w:rsid w:val="007E0728"/>
    <w:rsid w:val="007E1212"/>
    <w:rsid w:val="007E1850"/>
    <w:rsid w:val="007E1C33"/>
    <w:rsid w:val="007E2309"/>
    <w:rsid w:val="007E26FF"/>
    <w:rsid w:val="007E4F18"/>
    <w:rsid w:val="007E50ED"/>
    <w:rsid w:val="007E5358"/>
    <w:rsid w:val="007E555B"/>
    <w:rsid w:val="007E5ACF"/>
    <w:rsid w:val="007E61C0"/>
    <w:rsid w:val="007E635F"/>
    <w:rsid w:val="007E649E"/>
    <w:rsid w:val="007E64EC"/>
    <w:rsid w:val="007E6DBD"/>
    <w:rsid w:val="007E7209"/>
    <w:rsid w:val="007E7B96"/>
    <w:rsid w:val="007E7E2E"/>
    <w:rsid w:val="007F0CFE"/>
    <w:rsid w:val="007F2168"/>
    <w:rsid w:val="007F21C2"/>
    <w:rsid w:val="007F2D0B"/>
    <w:rsid w:val="007F3421"/>
    <w:rsid w:val="007F41B7"/>
    <w:rsid w:val="007F438E"/>
    <w:rsid w:val="007F4478"/>
    <w:rsid w:val="007F588B"/>
    <w:rsid w:val="007F6AE0"/>
    <w:rsid w:val="007F75BF"/>
    <w:rsid w:val="00800EA6"/>
    <w:rsid w:val="00801223"/>
    <w:rsid w:val="00801DA8"/>
    <w:rsid w:val="00803699"/>
    <w:rsid w:val="00803A48"/>
    <w:rsid w:val="008053DE"/>
    <w:rsid w:val="008058C2"/>
    <w:rsid w:val="00805A01"/>
    <w:rsid w:val="00807546"/>
    <w:rsid w:val="00807885"/>
    <w:rsid w:val="0081059B"/>
    <w:rsid w:val="00810E02"/>
    <w:rsid w:val="00811124"/>
    <w:rsid w:val="00811391"/>
    <w:rsid w:val="00811573"/>
    <w:rsid w:val="00811FB7"/>
    <w:rsid w:val="00812378"/>
    <w:rsid w:val="0081239B"/>
    <w:rsid w:val="008130EE"/>
    <w:rsid w:val="008133D7"/>
    <w:rsid w:val="00814009"/>
    <w:rsid w:val="00814177"/>
    <w:rsid w:val="0081421F"/>
    <w:rsid w:val="0081469A"/>
    <w:rsid w:val="00815922"/>
    <w:rsid w:val="008164C4"/>
    <w:rsid w:val="00816854"/>
    <w:rsid w:val="00816B28"/>
    <w:rsid w:val="00816C6F"/>
    <w:rsid w:val="00817029"/>
    <w:rsid w:val="008177E8"/>
    <w:rsid w:val="00820079"/>
    <w:rsid w:val="00820473"/>
    <w:rsid w:val="008216A1"/>
    <w:rsid w:val="00822735"/>
    <w:rsid w:val="008235B6"/>
    <w:rsid w:val="00824103"/>
    <w:rsid w:val="00824DA3"/>
    <w:rsid w:val="008254B8"/>
    <w:rsid w:val="00825BC9"/>
    <w:rsid w:val="0083029E"/>
    <w:rsid w:val="00830FAE"/>
    <w:rsid w:val="00831631"/>
    <w:rsid w:val="008317B6"/>
    <w:rsid w:val="0083182E"/>
    <w:rsid w:val="00831B30"/>
    <w:rsid w:val="00832859"/>
    <w:rsid w:val="00832AF9"/>
    <w:rsid w:val="00833348"/>
    <w:rsid w:val="00833528"/>
    <w:rsid w:val="00833C5A"/>
    <w:rsid w:val="00833FCD"/>
    <w:rsid w:val="0083412F"/>
    <w:rsid w:val="008346F4"/>
    <w:rsid w:val="00834C72"/>
    <w:rsid w:val="0083576F"/>
    <w:rsid w:val="00836028"/>
    <w:rsid w:val="0083640F"/>
    <w:rsid w:val="00836EC0"/>
    <w:rsid w:val="008370C4"/>
    <w:rsid w:val="008374F2"/>
    <w:rsid w:val="0083789B"/>
    <w:rsid w:val="00837959"/>
    <w:rsid w:val="00837B45"/>
    <w:rsid w:val="00837B72"/>
    <w:rsid w:val="0084155C"/>
    <w:rsid w:val="008418E6"/>
    <w:rsid w:val="00841997"/>
    <w:rsid w:val="00841EF6"/>
    <w:rsid w:val="00843E12"/>
    <w:rsid w:val="00846651"/>
    <w:rsid w:val="0084727E"/>
    <w:rsid w:val="00847689"/>
    <w:rsid w:val="0084795C"/>
    <w:rsid w:val="00847D39"/>
    <w:rsid w:val="0085044B"/>
    <w:rsid w:val="00850B65"/>
    <w:rsid w:val="00851155"/>
    <w:rsid w:val="00851762"/>
    <w:rsid w:val="00852620"/>
    <w:rsid w:val="00852663"/>
    <w:rsid w:val="00852B4E"/>
    <w:rsid w:val="00852F39"/>
    <w:rsid w:val="00853213"/>
    <w:rsid w:val="00853343"/>
    <w:rsid w:val="00854EFD"/>
    <w:rsid w:val="008550CB"/>
    <w:rsid w:val="008561AD"/>
    <w:rsid w:val="00856CCB"/>
    <w:rsid w:val="00856D1E"/>
    <w:rsid w:val="0085707E"/>
    <w:rsid w:val="00857152"/>
    <w:rsid w:val="0085763D"/>
    <w:rsid w:val="00857672"/>
    <w:rsid w:val="008576D3"/>
    <w:rsid w:val="00857B11"/>
    <w:rsid w:val="0086073D"/>
    <w:rsid w:val="00860BF6"/>
    <w:rsid w:val="00861623"/>
    <w:rsid w:val="008618C5"/>
    <w:rsid w:val="0086249D"/>
    <w:rsid w:val="008625A8"/>
    <w:rsid w:val="008627DA"/>
    <w:rsid w:val="008628EC"/>
    <w:rsid w:val="00862AAC"/>
    <w:rsid w:val="00862EE3"/>
    <w:rsid w:val="008632F4"/>
    <w:rsid w:val="008640DF"/>
    <w:rsid w:val="0086428D"/>
    <w:rsid w:val="00864BCF"/>
    <w:rsid w:val="00864D72"/>
    <w:rsid w:val="00864F4C"/>
    <w:rsid w:val="008654D3"/>
    <w:rsid w:val="00865D8E"/>
    <w:rsid w:val="00866DD5"/>
    <w:rsid w:val="00866F39"/>
    <w:rsid w:val="00867B09"/>
    <w:rsid w:val="00870095"/>
    <w:rsid w:val="008703F3"/>
    <w:rsid w:val="00870777"/>
    <w:rsid w:val="00870AF0"/>
    <w:rsid w:val="00870C58"/>
    <w:rsid w:val="008713CA"/>
    <w:rsid w:val="00872BE9"/>
    <w:rsid w:val="00872FA4"/>
    <w:rsid w:val="00873734"/>
    <w:rsid w:val="00873C3D"/>
    <w:rsid w:val="00873FD1"/>
    <w:rsid w:val="00874226"/>
    <w:rsid w:val="008751FF"/>
    <w:rsid w:val="00875374"/>
    <w:rsid w:val="00875AD5"/>
    <w:rsid w:val="008764F6"/>
    <w:rsid w:val="008773C6"/>
    <w:rsid w:val="0087740D"/>
    <w:rsid w:val="00877C2A"/>
    <w:rsid w:val="00877F77"/>
    <w:rsid w:val="008801D3"/>
    <w:rsid w:val="0088075B"/>
    <w:rsid w:val="00880F61"/>
    <w:rsid w:val="00881076"/>
    <w:rsid w:val="0088144C"/>
    <w:rsid w:val="00881751"/>
    <w:rsid w:val="008824C0"/>
    <w:rsid w:val="0088283F"/>
    <w:rsid w:val="00882E25"/>
    <w:rsid w:val="00883C45"/>
    <w:rsid w:val="00884958"/>
    <w:rsid w:val="008853BC"/>
    <w:rsid w:val="008861AC"/>
    <w:rsid w:val="00886599"/>
    <w:rsid w:val="00887454"/>
    <w:rsid w:val="008875BF"/>
    <w:rsid w:val="00890040"/>
    <w:rsid w:val="00890701"/>
    <w:rsid w:val="00890B4D"/>
    <w:rsid w:val="00890C40"/>
    <w:rsid w:val="008915DC"/>
    <w:rsid w:val="00891D8B"/>
    <w:rsid w:val="008922B9"/>
    <w:rsid w:val="00892FBC"/>
    <w:rsid w:val="0089332B"/>
    <w:rsid w:val="00893335"/>
    <w:rsid w:val="0089394F"/>
    <w:rsid w:val="00894115"/>
    <w:rsid w:val="00894B07"/>
    <w:rsid w:val="008966BA"/>
    <w:rsid w:val="00896FE4"/>
    <w:rsid w:val="0089733C"/>
    <w:rsid w:val="00897363"/>
    <w:rsid w:val="008979AE"/>
    <w:rsid w:val="00897BC2"/>
    <w:rsid w:val="008A0927"/>
    <w:rsid w:val="008A0FD9"/>
    <w:rsid w:val="008A1A05"/>
    <w:rsid w:val="008A1F3E"/>
    <w:rsid w:val="008A2AEA"/>
    <w:rsid w:val="008A2F23"/>
    <w:rsid w:val="008A3146"/>
    <w:rsid w:val="008A337F"/>
    <w:rsid w:val="008A47C8"/>
    <w:rsid w:val="008A50CE"/>
    <w:rsid w:val="008A5617"/>
    <w:rsid w:val="008A777D"/>
    <w:rsid w:val="008A79CC"/>
    <w:rsid w:val="008B0B7B"/>
    <w:rsid w:val="008B16F8"/>
    <w:rsid w:val="008B1C42"/>
    <w:rsid w:val="008B2099"/>
    <w:rsid w:val="008B364E"/>
    <w:rsid w:val="008B3EDE"/>
    <w:rsid w:val="008B4438"/>
    <w:rsid w:val="008B45EF"/>
    <w:rsid w:val="008B4948"/>
    <w:rsid w:val="008B498C"/>
    <w:rsid w:val="008B4A50"/>
    <w:rsid w:val="008B4CC9"/>
    <w:rsid w:val="008B6521"/>
    <w:rsid w:val="008B6587"/>
    <w:rsid w:val="008B698A"/>
    <w:rsid w:val="008B6D88"/>
    <w:rsid w:val="008B6E39"/>
    <w:rsid w:val="008B6F45"/>
    <w:rsid w:val="008B7CE3"/>
    <w:rsid w:val="008C0AA9"/>
    <w:rsid w:val="008C13CC"/>
    <w:rsid w:val="008C1754"/>
    <w:rsid w:val="008C1D11"/>
    <w:rsid w:val="008C293D"/>
    <w:rsid w:val="008C295B"/>
    <w:rsid w:val="008C2EAA"/>
    <w:rsid w:val="008C3052"/>
    <w:rsid w:val="008C3684"/>
    <w:rsid w:val="008C381B"/>
    <w:rsid w:val="008C3A71"/>
    <w:rsid w:val="008C5921"/>
    <w:rsid w:val="008C59CB"/>
    <w:rsid w:val="008C5BD4"/>
    <w:rsid w:val="008C681D"/>
    <w:rsid w:val="008C77CF"/>
    <w:rsid w:val="008C7A4B"/>
    <w:rsid w:val="008C7AD3"/>
    <w:rsid w:val="008D0565"/>
    <w:rsid w:val="008D0D64"/>
    <w:rsid w:val="008D1167"/>
    <w:rsid w:val="008D15B7"/>
    <w:rsid w:val="008D1A76"/>
    <w:rsid w:val="008D2081"/>
    <w:rsid w:val="008D2301"/>
    <w:rsid w:val="008D41E6"/>
    <w:rsid w:val="008D423B"/>
    <w:rsid w:val="008D482B"/>
    <w:rsid w:val="008D48AA"/>
    <w:rsid w:val="008D4DD2"/>
    <w:rsid w:val="008D51E2"/>
    <w:rsid w:val="008D531E"/>
    <w:rsid w:val="008D5908"/>
    <w:rsid w:val="008D5F4A"/>
    <w:rsid w:val="008D7467"/>
    <w:rsid w:val="008D77EF"/>
    <w:rsid w:val="008E0173"/>
    <w:rsid w:val="008E048F"/>
    <w:rsid w:val="008E0A50"/>
    <w:rsid w:val="008E0F21"/>
    <w:rsid w:val="008E18CC"/>
    <w:rsid w:val="008E1A80"/>
    <w:rsid w:val="008E2417"/>
    <w:rsid w:val="008E5F69"/>
    <w:rsid w:val="008E6AB8"/>
    <w:rsid w:val="008E6B02"/>
    <w:rsid w:val="008E6CC6"/>
    <w:rsid w:val="008E77CF"/>
    <w:rsid w:val="008F1B49"/>
    <w:rsid w:val="008F26A2"/>
    <w:rsid w:val="008F3342"/>
    <w:rsid w:val="008F34B2"/>
    <w:rsid w:val="008F387E"/>
    <w:rsid w:val="008F450A"/>
    <w:rsid w:val="008F54E2"/>
    <w:rsid w:val="008F54FA"/>
    <w:rsid w:val="008F57DE"/>
    <w:rsid w:val="008F59D7"/>
    <w:rsid w:val="008F5D78"/>
    <w:rsid w:val="008F5E29"/>
    <w:rsid w:val="008F66F8"/>
    <w:rsid w:val="008F6800"/>
    <w:rsid w:val="008F6E00"/>
    <w:rsid w:val="008F7155"/>
    <w:rsid w:val="00900C3C"/>
    <w:rsid w:val="0090104C"/>
    <w:rsid w:val="00901198"/>
    <w:rsid w:val="0090136B"/>
    <w:rsid w:val="00901909"/>
    <w:rsid w:val="00901ED7"/>
    <w:rsid w:val="009022A5"/>
    <w:rsid w:val="00902CD7"/>
    <w:rsid w:val="0090321C"/>
    <w:rsid w:val="00903724"/>
    <w:rsid w:val="00903D89"/>
    <w:rsid w:val="00904F39"/>
    <w:rsid w:val="009054EE"/>
    <w:rsid w:val="00905A96"/>
    <w:rsid w:val="00905CF0"/>
    <w:rsid w:val="0090621B"/>
    <w:rsid w:val="0090670D"/>
    <w:rsid w:val="009069DC"/>
    <w:rsid w:val="00906FBF"/>
    <w:rsid w:val="009072B0"/>
    <w:rsid w:val="009107E0"/>
    <w:rsid w:val="00910AF0"/>
    <w:rsid w:val="009115D9"/>
    <w:rsid w:val="00911A7D"/>
    <w:rsid w:val="0091200D"/>
    <w:rsid w:val="009120BB"/>
    <w:rsid w:val="0091265A"/>
    <w:rsid w:val="00913B2F"/>
    <w:rsid w:val="0091431A"/>
    <w:rsid w:val="00914D94"/>
    <w:rsid w:val="00916784"/>
    <w:rsid w:val="00916899"/>
    <w:rsid w:val="009172BD"/>
    <w:rsid w:val="00917BC5"/>
    <w:rsid w:val="0092012A"/>
    <w:rsid w:val="00920AED"/>
    <w:rsid w:val="00920E03"/>
    <w:rsid w:val="00921259"/>
    <w:rsid w:val="009213F9"/>
    <w:rsid w:val="00922802"/>
    <w:rsid w:val="00923876"/>
    <w:rsid w:val="00923DAC"/>
    <w:rsid w:val="00924956"/>
    <w:rsid w:val="009249BB"/>
    <w:rsid w:val="00924E1A"/>
    <w:rsid w:val="00925287"/>
    <w:rsid w:val="00925FD1"/>
    <w:rsid w:val="009261AA"/>
    <w:rsid w:val="00926844"/>
    <w:rsid w:val="00926E53"/>
    <w:rsid w:val="00927BE6"/>
    <w:rsid w:val="00927FB7"/>
    <w:rsid w:val="00930053"/>
    <w:rsid w:val="0093018F"/>
    <w:rsid w:val="00930AB0"/>
    <w:rsid w:val="00931BB7"/>
    <w:rsid w:val="00931ECE"/>
    <w:rsid w:val="0093292D"/>
    <w:rsid w:val="00932C7F"/>
    <w:rsid w:val="00932D7E"/>
    <w:rsid w:val="0093313B"/>
    <w:rsid w:val="00933847"/>
    <w:rsid w:val="009339BA"/>
    <w:rsid w:val="00933CE4"/>
    <w:rsid w:val="00933D1A"/>
    <w:rsid w:val="009343E5"/>
    <w:rsid w:val="00934623"/>
    <w:rsid w:val="00934B62"/>
    <w:rsid w:val="00934F50"/>
    <w:rsid w:val="00935F51"/>
    <w:rsid w:val="009364AD"/>
    <w:rsid w:val="009367F4"/>
    <w:rsid w:val="00936BBF"/>
    <w:rsid w:val="00937BF3"/>
    <w:rsid w:val="009401D3"/>
    <w:rsid w:val="009401D7"/>
    <w:rsid w:val="00941106"/>
    <w:rsid w:val="00942F06"/>
    <w:rsid w:val="0094379E"/>
    <w:rsid w:val="0094418D"/>
    <w:rsid w:val="009446F7"/>
    <w:rsid w:val="00944E2D"/>
    <w:rsid w:val="00945A5F"/>
    <w:rsid w:val="0094623B"/>
    <w:rsid w:val="0094688D"/>
    <w:rsid w:val="009469D7"/>
    <w:rsid w:val="00947E9A"/>
    <w:rsid w:val="00950A59"/>
    <w:rsid w:val="00952524"/>
    <w:rsid w:val="00952BFB"/>
    <w:rsid w:val="00953AFE"/>
    <w:rsid w:val="00953D69"/>
    <w:rsid w:val="0095413B"/>
    <w:rsid w:val="00954233"/>
    <w:rsid w:val="00954B11"/>
    <w:rsid w:val="00954EB4"/>
    <w:rsid w:val="0095528B"/>
    <w:rsid w:val="00955709"/>
    <w:rsid w:val="0095765E"/>
    <w:rsid w:val="00957FC0"/>
    <w:rsid w:val="0096103A"/>
    <w:rsid w:val="009614ED"/>
    <w:rsid w:val="009629F3"/>
    <w:rsid w:val="00962EC8"/>
    <w:rsid w:val="00963084"/>
    <w:rsid w:val="009632C5"/>
    <w:rsid w:val="009641F6"/>
    <w:rsid w:val="00965249"/>
    <w:rsid w:val="009655C8"/>
    <w:rsid w:val="009666AE"/>
    <w:rsid w:val="0096743B"/>
    <w:rsid w:val="009704FF"/>
    <w:rsid w:val="00970780"/>
    <w:rsid w:val="00971B56"/>
    <w:rsid w:val="009730C4"/>
    <w:rsid w:val="009732DB"/>
    <w:rsid w:val="0097353F"/>
    <w:rsid w:val="00973B02"/>
    <w:rsid w:val="00973EFC"/>
    <w:rsid w:val="00974465"/>
    <w:rsid w:val="0097460A"/>
    <w:rsid w:val="00974828"/>
    <w:rsid w:val="00974B72"/>
    <w:rsid w:val="00974DA8"/>
    <w:rsid w:val="0097532D"/>
    <w:rsid w:val="00975F34"/>
    <w:rsid w:val="00976736"/>
    <w:rsid w:val="00977330"/>
    <w:rsid w:val="00977A0F"/>
    <w:rsid w:val="009807B3"/>
    <w:rsid w:val="00980D32"/>
    <w:rsid w:val="00980F13"/>
    <w:rsid w:val="00981064"/>
    <w:rsid w:val="00981AD5"/>
    <w:rsid w:val="00981D5D"/>
    <w:rsid w:val="0098244E"/>
    <w:rsid w:val="009827B0"/>
    <w:rsid w:val="00982855"/>
    <w:rsid w:val="00983509"/>
    <w:rsid w:val="00983A54"/>
    <w:rsid w:val="00983E93"/>
    <w:rsid w:val="00983FBA"/>
    <w:rsid w:val="00984272"/>
    <w:rsid w:val="00984294"/>
    <w:rsid w:val="00984364"/>
    <w:rsid w:val="00985667"/>
    <w:rsid w:val="00985B85"/>
    <w:rsid w:val="009868AA"/>
    <w:rsid w:val="00987593"/>
    <w:rsid w:val="009879E6"/>
    <w:rsid w:val="0099099D"/>
    <w:rsid w:val="009910D2"/>
    <w:rsid w:val="00991B6A"/>
    <w:rsid w:val="00992DAA"/>
    <w:rsid w:val="00993D8F"/>
    <w:rsid w:val="00993EB7"/>
    <w:rsid w:val="00995E6C"/>
    <w:rsid w:val="00996A92"/>
    <w:rsid w:val="00996DD8"/>
    <w:rsid w:val="009977AB"/>
    <w:rsid w:val="009A0829"/>
    <w:rsid w:val="009A0E69"/>
    <w:rsid w:val="009A0F15"/>
    <w:rsid w:val="009A1103"/>
    <w:rsid w:val="009A1A63"/>
    <w:rsid w:val="009A26B6"/>
    <w:rsid w:val="009A28DC"/>
    <w:rsid w:val="009A2E7C"/>
    <w:rsid w:val="009A438B"/>
    <w:rsid w:val="009A5B31"/>
    <w:rsid w:val="009A64BB"/>
    <w:rsid w:val="009A7913"/>
    <w:rsid w:val="009A7B42"/>
    <w:rsid w:val="009B00A7"/>
    <w:rsid w:val="009B078F"/>
    <w:rsid w:val="009B0B73"/>
    <w:rsid w:val="009B114A"/>
    <w:rsid w:val="009B17E2"/>
    <w:rsid w:val="009B1B0F"/>
    <w:rsid w:val="009B2AF5"/>
    <w:rsid w:val="009B379C"/>
    <w:rsid w:val="009B386F"/>
    <w:rsid w:val="009B3A6B"/>
    <w:rsid w:val="009B4D49"/>
    <w:rsid w:val="009B5C7F"/>
    <w:rsid w:val="009B6312"/>
    <w:rsid w:val="009B6C8D"/>
    <w:rsid w:val="009B6E08"/>
    <w:rsid w:val="009B6F2A"/>
    <w:rsid w:val="009B73DB"/>
    <w:rsid w:val="009B7535"/>
    <w:rsid w:val="009B7965"/>
    <w:rsid w:val="009B7988"/>
    <w:rsid w:val="009B7AC9"/>
    <w:rsid w:val="009B7E6C"/>
    <w:rsid w:val="009C00A7"/>
    <w:rsid w:val="009C043F"/>
    <w:rsid w:val="009C0647"/>
    <w:rsid w:val="009C06F9"/>
    <w:rsid w:val="009C07BB"/>
    <w:rsid w:val="009C19CC"/>
    <w:rsid w:val="009C1C8D"/>
    <w:rsid w:val="009C1C94"/>
    <w:rsid w:val="009C21E7"/>
    <w:rsid w:val="009C22AC"/>
    <w:rsid w:val="009C4764"/>
    <w:rsid w:val="009C6916"/>
    <w:rsid w:val="009C7057"/>
    <w:rsid w:val="009C7F10"/>
    <w:rsid w:val="009D06F8"/>
    <w:rsid w:val="009D0FB4"/>
    <w:rsid w:val="009D192A"/>
    <w:rsid w:val="009D2111"/>
    <w:rsid w:val="009D3851"/>
    <w:rsid w:val="009D4D0B"/>
    <w:rsid w:val="009D4E98"/>
    <w:rsid w:val="009D6361"/>
    <w:rsid w:val="009D698F"/>
    <w:rsid w:val="009D6B29"/>
    <w:rsid w:val="009D7148"/>
    <w:rsid w:val="009D7B42"/>
    <w:rsid w:val="009E031B"/>
    <w:rsid w:val="009E04DD"/>
    <w:rsid w:val="009E1312"/>
    <w:rsid w:val="009E147A"/>
    <w:rsid w:val="009E1C34"/>
    <w:rsid w:val="009E1F34"/>
    <w:rsid w:val="009E234C"/>
    <w:rsid w:val="009E2520"/>
    <w:rsid w:val="009E2E4B"/>
    <w:rsid w:val="009E326F"/>
    <w:rsid w:val="009E334F"/>
    <w:rsid w:val="009E3398"/>
    <w:rsid w:val="009E43FA"/>
    <w:rsid w:val="009E4648"/>
    <w:rsid w:val="009E4ADC"/>
    <w:rsid w:val="009E5096"/>
    <w:rsid w:val="009E50EE"/>
    <w:rsid w:val="009E56F2"/>
    <w:rsid w:val="009E615C"/>
    <w:rsid w:val="009F001F"/>
    <w:rsid w:val="009F024A"/>
    <w:rsid w:val="009F0546"/>
    <w:rsid w:val="009F089E"/>
    <w:rsid w:val="009F0CDF"/>
    <w:rsid w:val="009F1486"/>
    <w:rsid w:val="009F2215"/>
    <w:rsid w:val="009F317A"/>
    <w:rsid w:val="009F34E4"/>
    <w:rsid w:val="009F46C8"/>
    <w:rsid w:val="009F4D88"/>
    <w:rsid w:val="009F676E"/>
    <w:rsid w:val="009F6C8A"/>
    <w:rsid w:val="009F7412"/>
    <w:rsid w:val="00A002ED"/>
    <w:rsid w:val="00A00554"/>
    <w:rsid w:val="00A01C10"/>
    <w:rsid w:val="00A023F3"/>
    <w:rsid w:val="00A02593"/>
    <w:rsid w:val="00A02BDA"/>
    <w:rsid w:val="00A03021"/>
    <w:rsid w:val="00A03B33"/>
    <w:rsid w:val="00A04035"/>
    <w:rsid w:val="00A05780"/>
    <w:rsid w:val="00A058B9"/>
    <w:rsid w:val="00A05D96"/>
    <w:rsid w:val="00A06E17"/>
    <w:rsid w:val="00A06FCC"/>
    <w:rsid w:val="00A10D00"/>
    <w:rsid w:val="00A11CF1"/>
    <w:rsid w:val="00A11DFB"/>
    <w:rsid w:val="00A1222D"/>
    <w:rsid w:val="00A1232B"/>
    <w:rsid w:val="00A13840"/>
    <w:rsid w:val="00A14A8E"/>
    <w:rsid w:val="00A16BAF"/>
    <w:rsid w:val="00A172C3"/>
    <w:rsid w:val="00A17442"/>
    <w:rsid w:val="00A1799A"/>
    <w:rsid w:val="00A17A4D"/>
    <w:rsid w:val="00A17E70"/>
    <w:rsid w:val="00A210EE"/>
    <w:rsid w:val="00A23B0C"/>
    <w:rsid w:val="00A24F0F"/>
    <w:rsid w:val="00A250F7"/>
    <w:rsid w:val="00A2667E"/>
    <w:rsid w:val="00A26A21"/>
    <w:rsid w:val="00A26F57"/>
    <w:rsid w:val="00A27D28"/>
    <w:rsid w:val="00A3073F"/>
    <w:rsid w:val="00A308BF"/>
    <w:rsid w:val="00A31366"/>
    <w:rsid w:val="00A32208"/>
    <w:rsid w:val="00A322EB"/>
    <w:rsid w:val="00A32B61"/>
    <w:rsid w:val="00A33AD4"/>
    <w:rsid w:val="00A33B49"/>
    <w:rsid w:val="00A34068"/>
    <w:rsid w:val="00A360D4"/>
    <w:rsid w:val="00A3654C"/>
    <w:rsid w:val="00A4012D"/>
    <w:rsid w:val="00A40A58"/>
    <w:rsid w:val="00A40E19"/>
    <w:rsid w:val="00A41224"/>
    <w:rsid w:val="00A4315D"/>
    <w:rsid w:val="00A43C73"/>
    <w:rsid w:val="00A4491E"/>
    <w:rsid w:val="00A458A2"/>
    <w:rsid w:val="00A45B68"/>
    <w:rsid w:val="00A45F4C"/>
    <w:rsid w:val="00A46584"/>
    <w:rsid w:val="00A46B0F"/>
    <w:rsid w:val="00A50011"/>
    <w:rsid w:val="00A50094"/>
    <w:rsid w:val="00A50D20"/>
    <w:rsid w:val="00A50E0F"/>
    <w:rsid w:val="00A51236"/>
    <w:rsid w:val="00A51297"/>
    <w:rsid w:val="00A5142D"/>
    <w:rsid w:val="00A5151A"/>
    <w:rsid w:val="00A523D9"/>
    <w:rsid w:val="00A52543"/>
    <w:rsid w:val="00A539FC"/>
    <w:rsid w:val="00A53B83"/>
    <w:rsid w:val="00A543FC"/>
    <w:rsid w:val="00A545B5"/>
    <w:rsid w:val="00A5478C"/>
    <w:rsid w:val="00A54A17"/>
    <w:rsid w:val="00A54DB3"/>
    <w:rsid w:val="00A554A6"/>
    <w:rsid w:val="00A5558A"/>
    <w:rsid w:val="00A55797"/>
    <w:rsid w:val="00A562C7"/>
    <w:rsid w:val="00A5630D"/>
    <w:rsid w:val="00A56F3D"/>
    <w:rsid w:val="00A57BF8"/>
    <w:rsid w:val="00A606A6"/>
    <w:rsid w:val="00A61457"/>
    <w:rsid w:val="00A61833"/>
    <w:rsid w:val="00A620F3"/>
    <w:rsid w:val="00A623E4"/>
    <w:rsid w:val="00A637D0"/>
    <w:rsid w:val="00A63BD1"/>
    <w:rsid w:val="00A650E2"/>
    <w:rsid w:val="00A65AA3"/>
    <w:rsid w:val="00A65DE1"/>
    <w:rsid w:val="00A665AA"/>
    <w:rsid w:val="00A6686C"/>
    <w:rsid w:val="00A66AF0"/>
    <w:rsid w:val="00A6763E"/>
    <w:rsid w:val="00A7088D"/>
    <w:rsid w:val="00A7188C"/>
    <w:rsid w:val="00A721CA"/>
    <w:rsid w:val="00A7261E"/>
    <w:rsid w:val="00A73301"/>
    <w:rsid w:val="00A7369F"/>
    <w:rsid w:val="00A73F3B"/>
    <w:rsid w:val="00A74673"/>
    <w:rsid w:val="00A74914"/>
    <w:rsid w:val="00A75770"/>
    <w:rsid w:val="00A75FD0"/>
    <w:rsid w:val="00A761B3"/>
    <w:rsid w:val="00A76218"/>
    <w:rsid w:val="00A7665C"/>
    <w:rsid w:val="00A76930"/>
    <w:rsid w:val="00A76C8C"/>
    <w:rsid w:val="00A76FAB"/>
    <w:rsid w:val="00A80128"/>
    <w:rsid w:val="00A8109F"/>
    <w:rsid w:val="00A81852"/>
    <w:rsid w:val="00A81894"/>
    <w:rsid w:val="00A818A4"/>
    <w:rsid w:val="00A81B7F"/>
    <w:rsid w:val="00A83612"/>
    <w:rsid w:val="00A83D99"/>
    <w:rsid w:val="00A84069"/>
    <w:rsid w:val="00A844D9"/>
    <w:rsid w:val="00A845FF"/>
    <w:rsid w:val="00A858F5"/>
    <w:rsid w:val="00A859FF"/>
    <w:rsid w:val="00A85A93"/>
    <w:rsid w:val="00A85AA5"/>
    <w:rsid w:val="00A85F42"/>
    <w:rsid w:val="00A86671"/>
    <w:rsid w:val="00A867B6"/>
    <w:rsid w:val="00A86DE2"/>
    <w:rsid w:val="00A86F04"/>
    <w:rsid w:val="00A87989"/>
    <w:rsid w:val="00A90676"/>
    <w:rsid w:val="00A909E6"/>
    <w:rsid w:val="00A90D89"/>
    <w:rsid w:val="00A90EB8"/>
    <w:rsid w:val="00A91F3D"/>
    <w:rsid w:val="00A92186"/>
    <w:rsid w:val="00A92BB0"/>
    <w:rsid w:val="00A93A54"/>
    <w:rsid w:val="00A94B8D"/>
    <w:rsid w:val="00A9581B"/>
    <w:rsid w:val="00A95F16"/>
    <w:rsid w:val="00A96416"/>
    <w:rsid w:val="00A9751F"/>
    <w:rsid w:val="00A97868"/>
    <w:rsid w:val="00A97A71"/>
    <w:rsid w:val="00A97E30"/>
    <w:rsid w:val="00AA094D"/>
    <w:rsid w:val="00AA1010"/>
    <w:rsid w:val="00AA2526"/>
    <w:rsid w:val="00AA2836"/>
    <w:rsid w:val="00AA2BC3"/>
    <w:rsid w:val="00AA33EB"/>
    <w:rsid w:val="00AA3DBB"/>
    <w:rsid w:val="00AA3EF6"/>
    <w:rsid w:val="00AA561C"/>
    <w:rsid w:val="00AA5958"/>
    <w:rsid w:val="00AA6048"/>
    <w:rsid w:val="00AA6508"/>
    <w:rsid w:val="00AA65AD"/>
    <w:rsid w:val="00AA66B5"/>
    <w:rsid w:val="00AA6865"/>
    <w:rsid w:val="00AA69C8"/>
    <w:rsid w:val="00AA6DA9"/>
    <w:rsid w:val="00AA735A"/>
    <w:rsid w:val="00AA73C6"/>
    <w:rsid w:val="00AA7406"/>
    <w:rsid w:val="00AA76BB"/>
    <w:rsid w:val="00AA780E"/>
    <w:rsid w:val="00AA7BE8"/>
    <w:rsid w:val="00AA7CE2"/>
    <w:rsid w:val="00AB0783"/>
    <w:rsid w:val="00AB0F86"/>
    <w:rsid w:val="00AB1227"/>
    <w:rsid w:val="00AB1991"/>
    <w:rsid w:val="00AB205B"/>
    <w:rsid w:val="00AB22CA"/>
    <w:rsid w:val="00AB23B9"/>
    <w:rsid w:val="00AB24C5"/>
    <w:rsid w:val="00AB2E5B"/>
    <w:rsid w:val="00AB4078"/>
    <w:rsid w:val="00AB413B"/>
    <w:rsid w:val="00AB4A98"/>
    <w:rsid w:val="00AB4F92"/>
    <w:rsid w:val="00AB5CB2"/>
    <w:rsid w:val="00AB664E"/>
    <w:rsid w:val="00AC07DA"/>
    <w:rsid w:val="00AC0A33"/>
    <w:rsid w:val="00AC15FD"/>
    <w:rsid w:val="00AC238B"/>
    <w:rsid w:val="00AC2780"/>
    <w:rsid w:val="00AC32AD"/>
    <w:rsid w:val="00AC34DD"/>
    <w:rsid w:val="00AC45A8"/>
    <w:rsid w:val="00AC48C2"/>
    <w:rsid w:val="00AC6AC6"/>
    <w:rsid w:val="00AC7C34"/>
    <w:rsid w:val="00AD199B"/>
    <w:rsid w:val="00AD2901"/>
    <w:rsid w:val="00AD2F04"/>
    <w:rsid w:val="00AD2F47"/>
    <w:rsid w:val="00AD30A3"/>
    <w:rsid w:val="00AD4921"/>
    <w:rsid w:val="00AD4959"/>
    <w:rsid w:val="00AD5106"/>
    <w:rsid w:val="00AD53E7"/>
    <w:rsid w:val="00AD541A"/>
    <w:rsid w:val="00AD6221"/>
    <w:rsid w:val="00AD6EEF"/>
    <w:rsid w:val="00AD70F7"/>
    <w:rsid w:val="00AD7260"/>
    <w:rsid w:val="00AE0062"/>
    <w:rsid w:val="00AE0374"/>
    <w:rsid w:val="00AE13B8"/>
    <w:rsid w:val="00AE1A73"/>
    <w:rsid w:val="00AE2BF0"/>
    <w:rsid w:val="00AE32A7"/>
    <w:rsid w:val="00AE3876"/>
    <w:rsid w:val="00AE4339"/>
    <w:rsid w:val="00AE4CD1"/>
    <w:rsid w:val="00AE4D90"/>
    <w:rsid w:val="00AE5D2B"/>
    <w:rsid w:val="00AE62A5"/>
    <w:rsid w:val="00AE6549"/>
    <w:rsid w:val="00AE6636"/>
    <w:rsid w:val="00AE6CB1"/>
    <w:rsid w:val="00AE729A"/>
    <w:rsid w:val="00AE73C8"/>
    <w:rsid w:val="00AE7D2A"/>
    <w:rsid w:val="00AF0663"/>
    <w:rsid w:val="00AF069E"/>
    <w:rsid w:val="00AF1953"/>
    <w:rsid w:val="00AF245F"/>
    <w:rsid w:val="00AF24E8"/>
    <w:rsid w:val="00AF377E"/>
    <w:rsid w:val="00AF3912"/>
    <w:rsid w:val="00AF3C89"/>
    <w:rsid w:val="00AF3EBB"/>
    <w:rsid w:val="00AF5537"/>
    <w:rsid w:val="00AF57BC"/>
    <w:rsid w:val="00AF57EE"/>
    <w:rsid w:val="00AF6696"/>
    <w:rsid w:val="00AF7409"/>
    <w:rsid w:val="00AF76C8"/>
    <w:rsid w:val="00AF7996"/>
    <w:rsid w:val="00AF7DDD"/>
    <w:rsid w:val="00B0018F"/>
    <w:rsid w:val="00B00D38"/>
    <w:rsid w:val="00B01A6F"/>
    <w:rsid w:val="00B01C2D"/>
    <w:rsid w:val="00B01F0F"/>
    <w:rsid w:val="00B023BB"/>
    <w:rsid w:val="00B0282B"/>
    <w:rsid w:val="00B02F1F"/>
    <w:rsid w:val="00B034C5"/>
    <w:rsid w:val="00B03EFF"/>
    <w:rsid w:val="00B04924"/>
    <w:rsid w:val="00B04F4E"/>
    <w:rsid w:val="00B05F32"/>
    <w:rsid w:val="00B06118"/>
    <w:rsid w:val="00B0679E"/>
    <w:rsid w:val="00B07518"/>
    <w:rsid w:val="00B10ABA"/>
    <w:rsid w:val="00B11020"/>
    <w:rsid w:val="00B11ED2"/>
    <w:rsid w:val="00B12676"/>
    <w:rsid w:val="00B129EF"/>
    <w:rsid w:val="00B13EC7"/>
    <w:rsid w:val="00B1428E"/>
    <w:rsid w:val="00B143C2"/>
    <w:rsid w:val="00B145DB"/>
    <w:rsid w:val="00B147EB"/>
    <w:rsid w:val="00B14CA2"/>
    <w:rsid w:val="00B14DDE"/>
    <w:rsid w:val="00B14F34"/>
    <w:rsid w:val="00B16026"/>
    <w:rsid w:val="00B1693A"/>
    <w:rsid w:val="00B16E39"/>
    <w:rsid w:val="00B16EF7"/>
    <w:rsid w:val="00B1753C"/>
    <w:rsid w:val="00B20152"/>
    <w:rsid w:val="00B20320"/>
    <w:rsid w:val="00B20B8E"/>
    <w:rsid w:val="00B2111C"/>
    <w:rsid w:val="00B213CC"/>
    <w:rsid w:val="00B21C27"/>
    <w:rsid w:val="00B22562"/>
    <w:rsid w:val="00B233BD"/>
    <w:rsid w:val="00B23916"/>
    <w:rsid w:val="00B23CD8"/>
    <w:rsid w:val="00B23D23"/>
    <w:rsid w:val="00B251F6"/>
    <w:rsid w:val="00B255EC"/>
    <w:rsid w:val="00B256F8"/>
    <w:rsid w:val="00B26369"/>
    <w:rsid w:val="00B263A4"/>
    <w:rsid w:val="00B2691D"/>
    <w:rsid w:val="00B27EEE"/>
    <w:rsid w:val="00B308E1"/>
    <w:rsid w:val="00B308E8"/>
    <w:rsid w:val="00B312EB"/>
    <w:rsid w:val="00B32222"/>
    <w:rsid w:val="00B3269E"/>
    <w:rsid w:val="00B33446"/>
    <w:rsid w:val="00B3410B"/>
    <w:rsid w:val="00B3498F"/>
    <w:rsid w:val="00B35579"/>
    <w:rsid w:val="00B37792"/>
    <w:rsid w:val="00B37FF0"/>
    <w:rsid w:val="00B4044C"/>
    <w:rsid w:val="00B404F7"/>
    <w:rsid w:val="00B4083E"/>
    <w:rsid w:val="00B408EE"/>
    <w:rsid w:val="00B421BC"/>
    <w:rsid w:val="00B42FD1"/>
    <w:rsid w:val="00B43BCC"/>
    <w:rsid w:val="00B4473A"/>
    <w:rsid w:val="00B4525E"/>
    <w:rsid w:val="00B45E88"/>
    <w:rsid w:val="00B468D7"/>
    <w:rsid w:val="00B46F15"/>
    <w:rsid w:val="00B4710B"/>
    <w:rsid w:val="00B4761C"/>
    <w:rsid w:val="00B47D4E"/>
    <w:rsid w:val="00B51FE2"/>
    <w:rsid w:val="00B524F8"/>
    <w:rsid w:val="00B52D6B"/>
    <w:rsid w:val="00B52FF4"/>
    <w:rsid w:val="00B53237"/>
    <w:rsid w:val="00B532BA"/>
    <w:rsid w:val="00B53DC5"/>
    <w:rsid w:val="00B5455E"/>
    <w:rsid w:val="00B54A0D"/>
    <w:rsid w:val="00B54F70"/>
    <w:rsid w:val="00B5517A"/>
    <w:rsid w:val="00B554E3"/>
    <w:rsid w:val="00B55C99"/>
    <w:rsid w:val="00B55DEC"/>
    <w:rsid w:val="00B565E3"/>
    <w:rsid w:val="00B56986"/>
    <w:rsid w:val="00B56D85"/>
    <w:rsid w:val="00B5769F"/>
    <w:rsid w:val="00B57D82"/>
    <w:rsid w:val="00B600B2"/>
    <w:rsid w:val="00B60BFC"/>
    <w:rsid w:val="00B60D38"/>
    <w:rsid w:val="00B60D3C"/>
    <w:rsid w:val="00B60F4F"/>
    <w:rsid w:val="00B61625"/>
    <w:rsid w:val="00B6176F"/>
    <w:rsid w:val="00B61EBA"/>
    <w:rsid w:val="00B62C46"/>
    <w:rsid w:val="00B63055"/>
    <w:rsid w:val="00B63346"/>
    <w:rsid w:val="00B633CB"/>
    <w:rsid w:val="00B6354C"/>
    <w:rsid w:val="00B63829"/>
    <w:rsid w:val="00B63CF1"/>
    <w:rsid w:val="00B64050"/>
    <w:rsid w:val="00B64605"/>
    <w:rsid w:val="00B646EB"/>
    <w:rsid w:val="00B64E49"/>
    <w:rsid w:val="00B6512C"/>
    <w:rsid w:val="00B6587A"/>
    <w:rsid w:val="00B664D8"/>
    <w:rsid w:val="00B669BB"/>
    <w:rsid w:val="00B669ED"/>
    <w:rsid w:val="00B673EC"/>
    <w:rsid w:val="00B67A31"/>
    <w:rsid w:val="00B67CFB"/>
    <w:rsid w:val="00B705DD"/>
    <w:rsid w:val="00B70E3E"/>
    <w:rsid w:val="00B7161B"/>
    <w:rsid w:val="00B725E1"/>
    <w:rsid w:val="00B72961"/>
    <w:rsid w:val="00B735DF"/>
    <w:rsid w:val="00B73A17"/>
    <w:rsid w:val="00B73EF5"/>
    <w:rsid w:val="00B743A6"/>
    <w:rsid w:val="00B744D0"/>
    <w:rsid w:val="00B74BFA"/>
    <w:rsid w:val="00B74C54"/>
    <w:rsid w:val="00B74F1F"/>
    <w:rsid w:val="00B75118"/>
    <w:rsid w:val="00B753AF"/>
    <w:rsid w:val="00B753DD"/>
    <w:rsid w:val="00B75487"/>
    <w:rsid w:val="00B75BA8"/>
    <w:rsid w:val="00B80033"/>
    <w:rsid w:val="00B805A9"/>
    <w:rsid w:val="00B80B30"/>
    <w:rsid w:val="00B81610"/>
    <w:rsid w:val="00B81933"/>
    <w:rsid w:val="00B81AE4"/>
    <w:rsid w:val="00B81C41"/>
    <w:rsid w:val="00B81F1D"/>
    <w:rsid w:val="00B84A8E"/>
    <w:rsid w:val="00B8589F"/>
    <w:rsid w:val="00B86160"/>
    <w:rsid w:val="00B86715"/>
    <w:rsid w:val="00B86FFD"/>
    <w:rsid w:val="00B871F0"/>
    <w:rsid w:val="00B87C0B"/>
    <w:rsid w:val="00B87EA5"/>
    <w:rsid w:val="00B9045F"/>
    <w:rsid w:val="00B9059B"/>
    <w:rsid w:val="00B91171"/>
    <w:rsid w:val="00B9154B"/>
    <w:rsid w:val="00B917BD"/>
    <w:rsid w:val="00B9284B"/>
    <w:rsid w:val="00B92CFE"/>
    <w:rsid w:val="00B93B59"/>
    <w:rsid w:val="00B95032"/>
    <w:rsid w:val="00B96477"/>
    <w:rsid w:val="00B9660F"/>
    <w:rsid w:val="00B96E46"/>
    <w:rsid w:val="00B97259"/>
    <w:rsid w:val="00B975CD"/>
    <w:rsid w:val="00B97C75"/>
    <w:rsid w:val="00BA003C"/>
    <w:rsid w:val="00BA0458"/>
    <w:rsid w:val="00BA06C7"/>
    <w:rsid w:val="00BA0E9A"/>
    <w:rsid w:val="00BA25DF"/>
    <w:rsid w:val="00BA2C82"/>
    <w:rsid w:val="00BA33A4"/>
    <w:rsid w:val="00BA424E"/>
    <w:rsid w:val="00BA42D4"/>
    <w:rsid w:val="00BA48D7"/>
    <w:rsid w:val="00BA4E54"/>
    <w:rsid w:val="00BA527B"/>
    <w:rsid w:val="00BA5902"/>
    <w:rsid w:val="00BA6386"/>
    <w:rsid w:val="00BA6841"/>
    <w:rsid w:val="00BA78B7"/>
    <w:rsid w:val="00BA7DF1"/>
    <w:rsid w:val="00BA7F5A"/>
    <w:rsid w:val="00BB0418"/>
    <w:rsid w:val="00BB0748"/>
    <w:rsid w:val="00BB0B7F"/>
    <w:rsid w:val="00BB175E"/>
    <w:rsid w:val="00BB19C8"/>
    <w:rsid w:val="00BB1FD5"/>
    <w:rsid w:val="00BB2D3A"/>
    <w:rsid w:val="00BB2E44"/>
    <w:rsid w:val="00BB3361"/>
    <w:rsid w:val="00BB3373"/>
    <w:rsid w:val="00BB3889"/>
    <w:rsid w:val="00BB46D1"/>
    <w:rsid w:val="00BB4946"/>
    <w:rsid w:val="00BB58EF"/>
    <w:rsid w:val="00BB5E71"/>
    <w:rsid w:val="00BB75B9"/>
    <w:rsid w:val="00BB7898"/>
    <w:rsid w:val="00BC0806"/>
    <w:rsid w:val="00BC0AFA"/>
    <w:rsid w:val="00BC11C4"/>
    <w:rsid w:val="00BC1A14"/>
    <w:rsid w:val="00BC2087"/>
    <w:rsid w:val="00BC24C2"/>
    <w:rsid w:val="00BC2C8A"/>
    <w:rsid w:val="00BC2E5F"/>
    <w:rsid w:val="00BC35A1"/>
    <w:rsid w:val="00BC3C83"/>
    <w:rsid w:val="00BC4874"/>
    <w:rsid w:val="00BC6044"/>
    <w:rsid w:val="00BC61BC"/>
    <w:rsid w:val="00BC6640"/>
    <w:rsid w:val="00BC742B"/>
    <w:rsid w:val="00BC7918"/>
    <w:rsid w:val="00BD2972"/>
    <w:rsid w:val="00BD3332"/>
    <w:rsid w:val="00BD5ACF"/>
    <w:rsid w:val="00BD7237"/>
    <w:rsid w:val="00BE055C"/>
    <w:rsid w:val="00BE0B59"/>
    <w:rsid w:val="00BE0E6E"/>
    <w:rsid w:val="00BE28FE"/>
    <w:rsid w:val="00BE362A"/>
    <w:rsid w:val="00BE3C39"/>
    <w:rsid w:val="00BE48DC"/>
    <w:rsid w:val="00BE4AD1"/>
    <w:rsid w:val="00BE4C77"/>
    <w:rsid w:val="00BE4EF4"/>
    <w:rsid w:val="00BE51F5"/>
    <w:rsid w:val="00BE5264"/>
    <w:rsid w:val="00BE5701"/>
    <w:rsid w:val="00BE5895"/>
    <w:rsid w:val="00BE625E"/>
    <w:rsid w:val="00BE628A"/>
    <w:rsid w:val="00BE7E89"/>
    <w:rsid w:val="00BF0081"/>
    <w:rsid w:val="00BF0DDE"/>
    <w:rsid w:val="00BF182C"/>
    <w:rsid w:val="00BF23D9"/>
    <w:rsid w:val="00BF24AC"/>
    <w:rsid w:val="00BF26C1"/>
    <w:rsid w:val="00BF2FAA"/>
    <w:rsid w:val="00BF4A59"/>
    <w:rsid w:val="00BF5022"/>
    <w:rsid w:val="00BF5D9D"/>
    <w:rsid w:val="00BF64A3"/>
    <w:rsid w:val="00BF66BB"/>
    <w:rsid w:val="00BF677D"/>
    <w:rsid w:val="00BF6830"/>
    <w:rsid w:val="00BF6BD8"/>
    <w:rsid w:val="00BF7874"/>
    <w:rsid w:val="00BF7A60"/>
    <w:rsid w:val="00C00DFA"/>
    <w:rsid w:val="00C01F0D"/>
    <w:rsid w:val="00C02A51"/>
    <w:rsid w:val="00C02CB9"/>
    <w:rsid w:val="00C03343"/>
    <w:rsid w:val="00C03D3C"/>
    <w:rsid w:val="00C045E0"/>
    <w:rsid w:val="00C04B43"/>
    <w:rsid w:val="00C05831"/>
    <w:rsid w:val="00C05B9F"/>
    <w:rsid w:val="00C063EA"/>
    <w:rsid w:val="00C0656B"/>
    <w:rsid w:val="00C07113"/>
    <w:rsid w:val="00C07243"/>
    <w:rsid w:val="00C106B7"/>
    <w:rsid w:val="00C10B78"/>
    <w:rsid w:val="00C10B84"/>
    <w:rsid w:val="00C1105F"/>
    <w:rsid w:val="00C146A7"/>
    <w:rsid w:val="00C148EE"/>
    <w:rsid w:val="00C14F80"/>
    <w:rsid w:val="00C163B0"/>
    <w:rsid w:val="00C16F4C"/>
    <w:rsid w:val="00C17E5B"/>
    <w:rsid w:val="00C20609"/>
    <w:rsid w:val="00C20BDE"/>
    <w:rsid w:val="00C213E1"/>
    <w:rsid w:val="00C22F02"/>
    <w:rsid w:val="00C2318D"/>
    <w:rsid w:val="00C23463"/>
    <w:rsid w:val="00C24910"/>
    <w:rsid w:val="00C2605D"/>
    <w:rsid w:val="00C26427"/>
    <w:rsid w:val="00C3039B"/>
    <w:rsid w:val="00C30C5F"/>
    <w:rsid w:val="00C31B2E"/>
    <w:rsid w:val="00C321B7"/>
    <w:rsid w:val="00C330D0"/>
    <w:rsid w:val="00C33564"/>
    <w:rsid w:val="00C33CBD"/>
    <w:rsid w:val="00C34772"/>
    <w:rsid w:val="00C35180"/>
    <w:rsid w:val="00C35670"/>
    <w:rsid w:val="00C37996"/>
    <w:rsid w:val="00C37BEB"/>
    <w:rsid w:val="00C37E47"/>
    <w:rsid w:val="00C4052A"/>
    <w:rsid w:val="00C4149F"/>
    <w:rsid w:val="00C41A00"/>
    <w:rsid w:val="00C41B66"/>
    <w:rsid w:val="00C42A32"/>
    <w:rsid w:val="00C43445"/>
    <w:rsid w:val="00C4354D"/>
    <w:rsid w:val="00C43595"/>
    <w:rsid w:val="00C4377F"/>
    <w:rsid w:val="00C43AE1"/>
    <w:rsid w:val="00C43C74"/>
    <w:rsid w:val="00C44ACF"/>
    <w:rsid w:val="00C4504A"/>
    <w:rsid w:val="00C459A3"/>
    <w:rsid w:val="00C45FE5"/>
    <w:rsid w:val="00C46406"/>
    <w:rsid w:val="00C4706C"/>
    <w:rsid w:val="00C47F70"/>
    <w:rsid w:val="00C5039C"/>
    <w:rsid w:val="00C50D2F"/>
    <w:rsid w:val="00C51258"/>
    <w:rsid w:val="00C51272"/>
    <w:rsid w:val="00C519CC"/>
    <w:rsid w:val="00C51E8B"/>
    <w:rsid w:val="00C54AD9"/>
    <w:rsid w:val="00C54BF8"/>
    <w:rsid w:val="00C54E16"/>
    <w:rsid w:val="00C54FC1"/>
    <w:rsid w:val="00C55DA3"/>
    <w:rsid w:val="00C55E88"/>
    <w:rsid w:val="00C55F9C"/>
    <w:rsid w:val="00C564CA"/>
    <w:rsid w:val="00C5659D"/>
    <w:rsid w:val="00C56818"/>
    <w:rsid w:val="00C56EAF"/>
    <w:rsid w:val="00C610CF"/>
    <w:rsid w:val="00C61748"/>
    <w:rsid w:val="00C61D82"/>
    <w:rsid w:val="00C626FE"/>
    <w:rsid w:val="00C62776"/>
    <w:rsid w:val="00C62A90"/>
    <w:rsid w:val="00C62FD1"/>
    <w:rsid w:val="00C635FC"/>
    <w:rsid w:val="00C63847"/>
    <w:rsid w:val="00C63A94"/>
    <w:rsid w:val="00C640D1"/>
    <w:rsid w:val="00C64D30"/>
    <w:rsid w:val="00C6593B"/>
    <w:rsid w:val="00C65C5C"/>
    <w:rsid w:val="00C65F23"/>
    <w:rsid w:val="00C65F6E"/>
    <w:rsid w:val="00C66433"/>
    <w:rsid w:val="00C66BB8"/>
    <w:rsid w:val="00C66C00"/>
    <w:rsid w:val="00C67011"/>
    <w:rsid w:val="00C672AD"/>
    <w:rsid w:val="00C67CEE"/>
    <w:rsid w:val="00C70BDC"/>
    <w:rsid w:val="00C72440"/>
    <w:rsid w:val="00C72E86"/>
    <w:rsid w:val="00C73140"/>
    <w:rsid w:val="00C73269"/>
    <w:rsid w:val="00C73B93"/>
    <w:rsid w:val="00C73F8C"/>
    <w:rsid w:val="00C7457E"/>
    <w:rsid w:val="00C74B4C"/>
    <w:rsid w:val="00C76ECA"/>
    <w:rsid w:val="00C774FC"/>
    <w:rsid w:val="00C8088D"/>
    <w:rsid w:val="00C81A70"/>
    <w:rsid w:val="00C81E2E"/>
    <w:rsid w:val="00C82107"/>
    <w:rsid w:val="00C8259E"/>
    <w:rsid w:val="00C83C3A"/>
    <w:rsid w:val="00C83D66"/>
    <w:rsid w:val="00C84113"/>
    <w:rsid w:val="00C8546C"/>
    <w:rsid w:val="00C85478"/>
    <w:rsid w:val="00C859EF"/>
    <w:rsid w:val="00C85A43"/>
    <w:rsid w:val="00C85CB6"/>
    <w:rsid w:val="00C85E99"/>
    <w:rsid w:val="00C864CB"/>
    <w:rsid w:val="00C873D5"/>
    <w:rsid w:val="00C87A71"/>
    <w:rsid w:val="00C903F5"/>
    <w:rsid w:val="00C90899"/>
    <w:rsid w:val="00C909DF"/>
    <w:rsid w:val="00C90F58"/>
    <w:rsid w:val="00C91111"/>
    <w:rsid w:val="00C91669"/>
    <w:rsid w:val="00C91884"/>
    <w:rsid w:val="00C91A47"/>
    <w:rsid w:val="00C9251B"/>
    <w:rsid w:val="00C92B3C"/>
    <w:rsid w:val="00C92F50"/>
    <w:rsid w:val="00C92FCA"/>
    <w:rsid w:val="00C9368F"/>
    <w:rsid w:val="00C9391C"/>
    <w:rsid w:val="00C93995"/>
    <w:rsid w:val="00C950C4"/>
    <w:rsid w:val="00C95614"/>
    <w:rsid w:val="00C961A8"/>
    <w:rsid w:val="00C963E7"/>
    <w:rsid w:val="00C975EA"/>
    <w:rsid w:val="00CA025A"/>
    <w:rsid w:val="00CA08A3"/>
    <w:rsid w:val="00CA107D"/>
    <w:rsid w:val="00CA1098"/>
    <w:rsid w:val="00CA1615"/>
    <w:rsid w:val="00CA195A"/>
    <w:rsid w:val="00CA1CFF"/>
    <w:rsid w:val="00CA27B5"/>
    <w:rsid w:val="00CA3913"/>
    <w:rsid w:val="00CA3DCD"/>
    <w:rsid w:val="00CA4E28"/>
    <w:rsid w:val="00CA5120"/>
    <w:rsid w:val="00CA5A64"/>
    <w:rsid w:val="00CA5C22"/>
    <w:rsid w:val="00CA6240"/>
    <w:rsid w:val="00CA6697"/>
    <w:rsid w:val="00CA6A62"/>
    <w:rsid w:val="00CA7E77"/>
    <w:rsid w:val="00CB1413"/>
    <w:rsid w:val="00CB211C"/>
    <w:rsid w:val="00CB21DE"/>
    <w:rsid w:val="00CB29F8"/>
    <w:rsid w:val="00CB3509"/>
    <w:rsid w:val="00CB35CC"/>
    <w:rsid w:val="00CB3D7F"/>
    <w:rsid w:val="00CB4678"/>
    <w:rsid w:val="00CB4C48"/>
    <w:rsid w:val="00CB5F77"/>
    <w:rsid w:val="00CB7170"/>
    <w:rsid w:val="00CB763B"/>
    <w:rsid w:val="00CB7933"/>
    <w:rsid w:val="00CB7A88"/>
    <w:rsid w:val="00CB7BFD"/>
    <w:rsid w:val="00CB7CBC"/>
    <w:rsid w:val="00CC0566"/>
    <w:rsid w:val="00CC0FB9"/>
    <w:rsid w:val="00CC1963"/>
    <w:rsid w:val="00CC1A14"/>
    <w:rsid w:val="00CC1D91"/>
    <w:rsid w:val="00CC4900"/>
    <w:rsid w:val="00CC4CFA"/>
    <w:rsid w:val="00CC4FCD"/>
    <w:rsid w:val="00CC5093"/>
    <w:rsid w:val="00CC5462"/>
    <w:rsid w:val="00CC7270"/>
    <w:rsid w:val="00CD02FF"/>
    <w:rsid w:val="00CD0487"/>
    <w:rsid w:val="00CD0D35"/>
    <w:rsid w:val="00CD13F6"/>
    <w:rsid w:val="00CD144B"/>
    <w:rsid w:val="00CD17F5"/>
    <w:rsid w:val="00CD18EC"/>
    <w:rsid w:val="00CD33A0"/>
    <w:rsid w:val="00CD377C"/>
    <w:rsid w:val="00CD62E6"/>
    <w:rsid w:val="00CD789C"/>
    <w:rsid w:val="00CE0D29"/>
    <w:rsid w:val="00CE0E15"/>
    <w:rsid w:val="00CE111A"/>
    <w:rsid w:val="00CE159B"/>
    <w:rsid w:val="00CE1EB7"/>
    <w:rsid w:val="00CE22AE"/>
    <w:rsid w:val="00CE3C93"/>
    <w:rsid w:val="00CE3C96"/>
    <w:rsid w:val="00CE47EF"/>
    <w:rsid w:val="00CE4E57"/>
    <w:rsid w:val="00CE604F"/>
    <w:rsid w:val="00CE7A41"/>
    <w:rsid w:val="00CF037A"/>
    <w:rsid w:val="00CF0892"/>
    <w:rsid w:val="00CF0BF1"/>
    <w:rsid w:val="00CF1345"/>
    <w:rsid w:val="00CF13BD"/>
    <w:rsid w:val="00CF19B6"/>
    <w:rsid w:val="00CF2338"/>
    <w:rsid w:val="00CF2CE7"/>
    <w:rsid w:val="00CF2E43"/>
    <w:rsid w:val="00CF2EAB"/>
    <w:rsid w:val="00CF41A1"/>
    <w:rsid w:val="00CF41CB"/>
    <w:rsid w:val="00CF4A11"/>
    <w:rsid w:val="00CF50D5"/>
    <w:rsid w:val="00CF55AA"/>
    <w:rsid w:val="00CF615E"/>
    <w:rsid w:val="00CF6274"/>
    <w:rsid w:val="00CF6E14"/>
    <w:rsid w:val="00CF7187"/>
    <w:rsid w:val="00CF7515"/>
    <w:rsid w:val="00CF7E56"/>
    <w:rsid w:val="00CF7F0B"/>
    <w:rsid w:val="00D002B8"/>
    <w:rsid w:val="00D00501"/>
    <w:rsid w:val="00D01BAD"/>
    <w:rsid w:val="00D01CAB"/>
    <w:rsid w:val="00D01D2E"/>
    <w:rsid w:val="00D020D5"/>
    <w:rsid w:val="00D0270D"/>
    <w:rsid w:val="00D02DE5"/>
    <w:rsid w:val="00D03299"/>
    <w:rsid w:val="00D033AD"/>
    <w:rsid w:val="00D03C04"/>
    <w:rsid w:val="00D0448F"/>
    <w:rsid w:val="00D0460A"/>
    <w:rsid w:val="00D04F2C"/>
    <w:rsid w:val="00D05DE9"/>
    <w:rsid w:val="00D05E88"/>
    <w:rsid w:val="00D10649"/>
    <w:rsid w:val="00D10CE1"/>
    <w:rsid w:val="00D127B6"/>
    <w:rsid w:val="00D12E18"/>
    <w:rsid w:val="00D13BA1"/>
    <w:rsid w:val="00D1434E"/>
    <w:rsid w:val="00D1445D"/>
    <w:rsid w:val="00D1485E"/>
    <w:rsid w:val="00D1639E"/>
    <w:rsid w:val="00D16AF1"/>
    <w:rsid w:val="00D17DC3"/>
    <w:rsid w:val="00D20AE8"/>
    <w:rsid w:val="00D20BA4"/>
    <w:rsid w:val="00D214DA"/>
    <w:rsid w:val="00D219D1"/>
    <w:rsid w:val="00D21F98"/>
    <w:rsid w:val="00D225B9"/>
    <w:rsid w:val="00D22F8D"/>
    <w:rsid w:val="00D2322A"/>
    <w:rsid w:val="00D232FD"/>
    <w:rsid w:val="00D24128"/>
    <w:rsid w:val="00D305A4"/>
    <w:rsid w:val="00D308CB"/>
    <w:rsid w:val="00D30BEE"/>
    <w:rsid w:val="00D30D45"/>
    <w:rsid w:val="00D31170"/>
    <w:rsid w:val="00D31250"/>
    <w:rsid w:val="00D33150"/>
    <w:rsid w:val="00D335E0"/>
    <w:rsid w:val="00D34348"/>
    <w:rsid w:val="00D34C37"/>
    <w:rsid w:val="00D354F6"/>
    <w:rsid w:val="00D3640A"/>
    <w:rsid w:val="00D3643E"/>
    <w:rsid w:val="00D372F6"/>
    <w:rsid w:val="00D3783B"/>
    <w:rsid w:val="00D406D5"/>
    <w:rsid w:val="00D40E44"/>
    <w:rsid w:val="00D42333"/>
    <w:rsid w:val="00D426D6"/>
    <w:rsid w:val="00D432D4"/>
    <w:rsid w:val="00D4383F"/>
    <w:rsid w:val="00D43C1F"/>
    <w:rsid w:val="00D43E97"/>
    <w:rsid w:val="00D44074"/>
    <w:rsid w:val="00D44588"/>
    <w:rsid w:val="00D44C6B"/>
    <w:rsid w:val="00D44F86"/>
    <w:rsid w:val="00D46118"/>
    <w:rsid w:val="00D46BCF"/>
    <w:rsid w:val="00D475DD"/>
    <w:rsid w:val="00D47720"/>
    <w:rsid w:val="00D50414"/>
    <w:rsid w:val="00D50E3E"/>
    <w:rsid w:val="00D51A0B"/>
    <w:rsid w:val="00D52081"/>
    <w:rsid w:val="00D52829"/>
    <w:rsid w:val="00D531CC"/>
    <w:rsid w:val="00D53221"/>
    <w:rsid w:val="00D533DA"/>
    <w:rsid w:val="00D54463"/>
    <w:rsid w:val="00D550F2"/>
    <w:rsid w:val="00D5677C"/>
    <w:rsid w:val="00D56D44"/>
    <w:rsid w:val="00D57511"/>
    <w:rsid w:val="00D57638"/>
    <w:rsid w:val="00D60395"/>
    <w:rsid w:val="00D605DB"/>
    <w:rsid w:val="00D60642"/>
    <w:rsid w:val="00D6074C"/>
    <w:rsid w:val="00D60B0D"/>
    <w:rsid w:val="00D625C4"/>
    <w:rsid w:val="00D62688"/>
    <w:rsid w:val="00D63CC4"/>
    <w:rsid w:val="00D646E8"/>
    <w:rsid w:val="00D662AF"/>
    <w:rsid w:val="00D667A4"/>
    <w:rsid w:val="00D66F6A"/>
    <w:rsid w:val="00D70CC3"/>
    <w:rsid w:val="00D714A2"/>
    <w:rsid w:val="00D716EA"/>
    <w:rsid w:val="00D71FAB"/>
    <w:rsid w:val="00D71FE2"/>
    <w:rsid w:val="00D72DD9"/>
    <w:rsid w:val="00D732D6"/>
    <w:rsid w:val="00D743C0"/>
    <w:rsid w:val="00D74424"/>
    <w:rsid w:val="00D745C6"/>
    <w:rsid w:val="00D74AF3"/>
    <w:rsid w:val="00D74D51"/>
    <w:rsid w:val="00D74ED3"/>
    <w:rsid w:val="00D76635"/>
    <w:rsid w:val="00D7667F"/>
    <w:rsid w:val="00D779C1"/>
    <w:rsid w:val="00D77DCA"/>
    <w:rsid w:val="00D804F4"/>
    <w:rsid w:val="00D80E56"/>
    <w:rsid w:val="00D80E77"/>
    <w:rsid w:val="00D81BC3"/>
    <w:rsid w:val="00D82154"/>
    <w:rsid w:val="00D82CB9"/>
    <w:rsid w:val="00D8332B"/>
    <w:rsid w:val="00D843D7"/>
    <w:rsid w:val="00D8503D"/>
    <w:rsid w:val="00D8527E"/>
    <w:rsid w:val="00D858ED"/>
    <w:rsid w:val="00D85E1F"/>
    <w:rsid w:val="00D860C5"/>
    <w:rsid w:val="00D861FD"/>
    <w:rsid w:val="00D864F8"/>
    <w:rsid w:val="00D87194"/>
    <w:rsid w:val="00D90216"/>
    <w:rsid w:val="00D9043F"/>
    <w:rsid w:val="00D906D5"/>
    <w:rsid w:val="00D90CD7"/>
    <w:rsid w:val="00D91708"/>
    <w:rsid w:val="00D92A27"/>
    <w:rsid w:val="00D92F67"/>
    <w:rsid w:val="00D93189"/>
    <w:rsid w:val="00D93B8F"/>
    <w:rsid w:val="00D958C5"/>
    <w:rsid w:val="00D95A0C"/>
    <w:rsid w:val="00D95ADF"/>
    <w:rsid w:val="00D95CE5"/>
    <w:rsid w:val="00D960CB"/>
    <w:rsid w:val="00D960F5"/>
    <w:rsid w:val="00D96766"/>
    <w:rsid w:val="00D96A83"/>
    <w:rsid w:val="00D97013"/>
    <w:rsid w:val="00D97641"/>
    <w:rsid w:val="00DA01E5"/>
    <w:rsid w:val="00DA01E9"/>
    <w:rsid w:val="00DA0484"/>
    <w:rsid w:val="00DA0A36"/>
    <w:rsid w:val="00DA0BB2"/>
    <w:rsid w:val="00DA1667"/>
    <w:rsid w:val="00DA1C41"/>
    <w:rsid w:val="00DA2506"/>
    <w:rsid w:val="00DA2C28"/>
    <w:rsid w:val="00DA2E2E"/>
    <w:rsid w:val="00DA2FB4"/>
    <w:rsid w:val="00DA354C"/>
    <w:rsid w:val="00DA432E"/>
    <w:rsid w:val="00DA46EE"/>
    <w:rsid w:val="00DA4C83"/>
    <w:rsid w:val="00DA5EE4"/>
    <w:rsid w:val="00DA6710"/>
    <w:rsid w:val="00DA6CAA"/>
    <w:rsid w:val="00DA7072"/>
    <w:rsid w:val="00DA7280"/>
    <w:rsid w:val="00DA7771"/>
    <w:rsid w:val="00DB0145"/>
    <w:rsid w:val="00DB0623"/>
    <w:rsid w:val="00DB2508"/>
    <w:rsid w:val="00DB2D11"/>
    <w:rsid w:val="00DB2D8B"/>
    <w:rsid w:val="00DB3043"/>
    <w:rsid w:val="00DB331E"/>
    <w:rsid w:val="00DB3CF5"/>
    <w:rsid w:val="00DB413B"/>
    <w:rsid w:val="00DB4CF4"/>
    <w:rsid w:val="00DB4E18"/>
    <w:rsid w:val="00DB50A6"/>
    <w:rsid w:val="00DB5296"/>
    <w:rsid w:val="00DB5C16"/>
    <w:rsid w:val="00DB6245"/>
    <w:rsid w:val="00DB64CC"/>
    <w:rsid w:val="00DB69E3"/>
    <w:rsid w:val="00DB6EE2"/>
    <w:rsid w:val="00DB6F78"/>
    <w:rsid w:val="00DC000A"/>
    <w:rsid w:val="00DC11DF"/>
    <w:rsid w:val="00DC1386"/>
    <w:rsid w:val="00DC298A"/>
    <w:rsid w:val="00DC3096"/>
    <w:rsid w:val="00DC3C76"/>
    <w:rsid w:val="00DC4253"/>
    <w:rsid w:val="00DC45A2"/>
    <w:rsid w:val="00DC476C"/>
    <w:rsid w:val="00DC4CFF"/>
    <w:rsid w:val="00DC4EC3"/>
    <w:rsid w:val="00DC5145"/>
    <w:rsid w:val="00DC521F"/>
    <w:rsid w:val="00DC5C97"/>
    <w:rsid w:val="00DC65D4"/>
    <w:rsid w:val="00DC7D93"/>
    <w:rsid w:val="00DD01FE"/>
    <w:rsid w:val="00DD0665"/>
    <w:rsid w:val="00DD0CA9"/>
    <w:rsid w:val="00DD1A85"/>
    <w:rsid w:val="00DD254A"/>
    <w:rsid w:val="00DD27DD"/>
    <w:rsid w:val="00DD2D1C"/>
    <w:rsid w:val="00DD38ED"/>
    <w:rsid w:val="00DD3B97"/>
    <w:rsid w:val="00DD481C"/>
    <w:rsid w:val="00DD5825"/>
    <w:rsid w:val="00DD6895"/>
    <w:rsid w:val="00DD6FCC"/>
    <w:rsid w:val="00DD786D"/>
    <w:rsid w:val="00DD7C27"/>
    <w:rsid w:val="00DD7DC6"/>
    <w:rsid w:val="00DE0ABE"/>
    <w:rsid w:val="00DE15C2"/>
    <w:rsid w:val="00DE1927"/>
    <w:rsid w:val="00DE1AD5"/>
    <w:rsid w:val="00DE22C7"/>
    <w:rsid w:val="00DE2A57"/>
    <w:rsid w:val="00DE407D"/>
    <w:rsid w:val="00DE4508"/>
    <w:rsid w:val="00DE4694"/>
    <w:rsid w:val="00DE4CF6"/>
    <w:rsid w:val="00DE4DA7"/>
    <w:rsid w:val="00DE58EF"/>
    <w:rsid w:val="00DE598C"/>
    <w:rsid w:val="00DE60DB"/>
    <w:rsid w:val="00DE6159"/>
    <w:rsid w:val="00DE66A6"/>
    <w:rsid w:val="00DE72B1"/>
    <w:rsid w:val="00DE761A"/>
    <w:rsid w:val="00DE7862"/>
    <w:rsid w:val="00DE7AFA"/>
    <w:rsid w:val="00DE7C3B"/>
    <w:rsid w:val="00DE7C69"/>
    <w:rsid w:val="00DF1A01"/>
    <w:rsid w:val="00DF2334"/>
    <w:rsid w:val="00DF2A24"/>
    <w:rsid w:val="00DF34A2"/>
    <w:rsid w:val="00DF3658"/>
    <w:rsid w:val="00DF3E5F"/>
    <w:rsid w:val="00DF41AC"/>
    <w:rsid w:val="00DF479A"/>
    <w:rsid w:val="00DF4B1E"/>
    <w:rsid w:val="00DF5335"/>
    <w:rsid w:val="00DF5D16"/>
    <w:rsid w:val="00DF6C93"/>
    <w:rsid w:val="00DF6DA6"/>
    <w:rsid w:val="00DF6E7C"/>
    <w:rsid w:val="00DF75A3"/>
    <w:rsid w:val="00E006C9"/>
    <w:rsid w:val="00E009DA"/>
    <w:rsid w:val="00E00B93"/>
    <w:rsid w:val="00E01085"/>
    <w:rsid w:val="00E01209"/>
    <w:rsid w:val="00E01707"/>
    <w:rsid w:val="00E0179E"/>
    <w:rsid w:val="00E0192E"/>
    <w:rsid w:val="00E01B75"/>
    <w:rsid w:val="00E01D3F"/>
    <w:rsid w:val="00E02D36"/>
    <w:rsid w:val="00E03368"/>
    <w:rsid w:val="00E034A4"/>
    <w:rsid w:val="00E0478E"/>
    <w:rsid w:val="00E057FC"/>
    <w:rsid w:val="00E05D57"/>
    <w:rsid w:val="00E06554"/>
    <w:rsid w:val="00E065F6"/>
    <w:rsid w:val="00E070F1"/>
    <w:rsid w:val="00E07D1C"/>
    <w:rsid w:val="00E07E0D"/>
    <w:rsid w:val="00E107EE"/>
    <w:rsid w:val="00E10C1E"/>
    <w:rsid w:val="00E10F63"/>
    <w:rsid w:val="00E10F7F"/>
    <w:rsid w:val="00E119A6"/>
    <w:rsid w:val="00E12A31"/>
    <w:rsid w:val="00E12B11"/>
    <w:rsid w:val="00E12B17"/>
    <w:rsid w:val="00E12CE2"/>
    <w:rsid w:val="00E12DC5"/>
    <w:rsid w:val="00E1407A"/>
    <w:rsid w:val="00E1495C"/>
    <w:rsid w:val="00E149A6"/>
    <w:rsid w:val="00E14F22"/>
    <w:rsid w:val="00E15026"/>
    <w:rsid w:val="00E15C20"/>
    <w:rsid w:val="00E1625A"/>
    <w:rsid w:val="00E16986"/>
    <w:rsid w:val="00E17902"/>
    <w:rsid w:val="00E2063B"/>
    <w:rsid w:val="00E20E8B"/>
    <w:rsid w:val="00E211C9"/>
    <w:rsid w:val="00E214C0"/>
    <w:rsid w:val="00E22413"/>
    <w:rsid w:val="00E22DDA"/>
    <w:rsid w:val="00E23BD6"/>
    <w:rsid w:val="00E24DB1"/>
    <w:rsid w:val="00E25179"/>
    <w:rsid w:val="00E251C3"/>
    <w:rsid w:val="00E2542F"/>
    <w:rsid w:val="00E2639F"/>
    <w:rsid w:val="00E26C50"/>
    <w:rsid w:val="00E26CF9"/>
    <w:rsid w:val="00E2718C"/>
    <w:rsid w:val="00E276E7"/>
    <w:rsid w:val="00E30C8D"/>
    <w:rsid w:val="00E31065"/>
    <w:rsid w:val="00E31F05"/>
    <w:rsid w:val="00E3319D"/>
    <w:rsid w:val="00E33849"/>
    <w:rsid w:val="00E33E84"/>
    <w:rsid w:val="00E34B83"/>
    <w:rsid w:val="00E34C15"/>
    <w:rsid w:val="00E351F3"/>
    <w:rsid w:val="00E352D2"/>
    <w:rsid w:val="00E35581"/>
    <w:rsid w:val="00E35BBB"/>
    <w:rsid w:val="00E35BF5"/>
    <w:rsid w:val="00E36775"/>
    <w:rsid w:val="00E36782"/>
    <w:rsid w:val="00E370AE"/>
    <w:rsid w:val="00E400A2"/>
    <w:rsid w:val="00E411BE"/>
    <w:rsid w:val="00E41A68"/>
    <w:rsid w:val="00E41E0D"/>
    <w:rsid w:val="00E42E0C"/>
    <w:rsid w:val="00E42FB2"/>
    <w:rsid w:val="00E4334F"/>
    <w:rsid w:val="00E435D1"/>
    <w:rsid w:val="00E43D1E"/>
    <w:rsid w:val="00E44496"/>
    <w:rsid w:val="00E4486D"/>
    <w:rsid w:val="00E4524C"/>
    <w:rsid w:val="00E45DFD"/>
    <w:rsid w:val="00E46059"/>
    <w:rsid w:val="00E4632C"/>
    <w:rsid w:val="00E46514"/>
    <w:rsid w:val="00E469A6"/>
    <w:rsid w:val="00E46B41"/>
    <w:rsid w:val="00E47AD8"/>
    <w:rsid w:val="00E511CC"/>
    <w:rsid w:val="00E515E0"/>
    <w:rsid w:val="00E5161F"/>
    <w:rsid w:val="00E53136"/>
    <w:rsid w:val="00E536BB"/>
    <w:rsid w:val="00E53BE3"/>
    <w:rsid w:val="00E53F9C"/>
    <w:rsid w:val="00E54413"/>
    <w:rsid w:val="00E54454"/>
    <w:rsid w:val="00E54BE5"/>
    <w:rsid w:val="00E54E31"/>
    <w:rsid w:val="00E55956"/>
    <w:rsid w:val="00E564AB"/>
    <w:rsid w:val="00E56826"/>
    <w:rsid w:val="00E56AC3"/>
    <w:rsid w:val="00E5763A"/>
    <w:rsid w:val="00E576A4"/>
    <w:rsid w:val="00E579AF"/>
    <w:rsid w:val="00E60791"/>
    <w:rsid w:val="00E60F94"/>
    <w:rsid w:val="00E61469"/>
    <w:rsid w:val="00E61A5C"/>
    <w:rsid w:val="00E63397"/>
    <w:rsid w:val="00E63B89"/>
    <w:rsid w:val="00E63E6A"/>
    <w:rsid w:val="00E640C4"/>
    <w:rsid w:val="00E64448"/>
    <w:rsid w:val="00E655F0"/>
    <w:rsid w:val="00E65A9A"/>
    <w:rsid w:val="00E667A9"/>
    <w:rsid w:val="00E673FB"/>
    <w:rsid w:val="00E674B4"/>
    <w:rsid w:val="00E67AF6"/>
    <w:rsid w:val="00E67FA6"/>
    <w:rsid w:val="00E703AD"/>
    <w:rsid w:val="00E70BEE"/>
    <w:rsid w:val="00E71CB7"/>
    <w:rsid w:val="00E721E9"/>
    <w:rsid w:val="00E72758"/>
    <w:rsid w:val="00E7335C"/>
    <w:rsid w:val="00E736CD"/>
    <w:rsid w:val="00E73CB1"/>
    <w:rsid w:val="00E750E5"/>
    <w:rsid w:val="00E75463"/>
    <w:rsid w:val="00E76A63"/>
    <w:rsid w:val="00E76B67"/>
    <w:rsid w:val="00E8084B"/>
    <w:rsid w:val="00E80D62"/>
    <w:rsid w:val="00E80E31"/>
    <w:rsid w:val="00E81298"/>
    <w:rsid w:val="00E8129C"/>
    <w:rsid w:val="00E816EE"/>
    <w:rsid w:val="00E82249"/>
    <w:rsid w:val="00E823CE"/>
    <w:rsid w:val="00E82566"/>
    <w:rsid w:val="00E82860"/>
    <w:rsid w:val="00E82BDE"/>
    <w:rsid w:val="00E82DE1"/>
    <w:rsid w:val="00E82DF7"/>
    <w:rsid w:val="00E839B3"/>
    <w:rsid w:val="00E8539B"/>
    <w:rsid w:val="00E85BCE"/>
    <w:rsid w:val="00E85BE8"/>
    <w:rsid w:val="00E871B6"/>
    <w:rsid w:val="00E874AD"/>
    <w:rsid w:val="00E87849"/>
    <w:rsid w:val="00E87D23"/>
    <w:rsid w:val="00E87D43"/>
    <w:rsid w:val="00E87D8D"/>
    <w:rsid w:val="00E9113B"/>
    <w:rsid w:val="00E91302"/>
    <w:rsid w:val="00E91938"/>
    <w:rsid w:val="00E91AD2"/>
    <w:rsid w:val="00E91FB1"/>
    <w:rsid w:val="00E9272C"/>
    <w:rsid w:val="00E9377F"/>
    <w:rsid w:val="00E9563D"/>
    <w:rsid w:val="00E963C6"/>
    <w:rsid w:val="00E96C22"/>
    <w:rsid w:val="00E97866"/>
    <w:rsid w:val="00E97873"/>
    <w:rsid w:val="00EA0739"/>
    <w:rsid w:val="00EA0D78"/>
    <w:rsid w:val="00EA10ED"/>
    <w:rsid w:val="00EA1127"/>
    <w:rsid w:val="00EA168B"/>
    <w:rsid w:val="00EA1FA4"/>
    <w:rsid w:val="00EA22CF"/>
    <w:rsid w:val="00EA22EA"/>
    <w:rsid w:val="00EA2C2C"/>
    <w:rsid w:val="00EA2C47"/>
    <w:rsid w:val="00EA2D6F"/>
    <w:rsid w:val="00EA300A"/>
    <w:rsid w:val="00EA413F"/>
    <w:rsid w:val="00EA489C"/>
    <w:rsid w:val="00EA53D9"/>
    <w:rsid w:val="00EA54AA"/>
    <w:rsid w:val="00EA5CDC"/>
    <w:rsid w:val="00EA62F2"/>
    <w:rsid w:val="00EA7432"/>
    <w:rsid w:val="00EA751E"/>
    <w:rsid w:val="00EA7EDE"/>
    <w:rsid w:val="00EB086D"/>
    <w:rsid w:val="00EB122C"/>
    <w:rsid w:val="00EB2AA0"/>
    <w:rsid w:val="00EB2B5B"/>
    <w:rsid w:val="00EB3593"/>
    <w:rsid w:val="00EB38C3"/>
    <w:rsid w:val="00EB4048"/>
    <w:rsid w:val="00EB49AF"/>
    <w:rsid w:val="00EB6680"/>
    <w:rsid w:val="00EB691E"/>
    <w:rsid w:val="00EB695E"/>
    <w:rsid w:val="00EB6A78"/>
    <w:rsid w:val="00EB6B6A"/>
    <w:rsid w:val="00EC0274"/>
    <w:rsid w:val="00EC0A8A"/>
    <w:rsid w:val="00EC0CEB"/>
    <w:rsid w:val="00EC0E6D"/>
    <w:rsid w:val="00EC0FBF"/>
    <w:rsid w:val="00EC1933"/>
    <w:rsid w:val="00EC218A"/>
    <w:rsid w:val="00EC2438"/>
    <w:rsid w:val="00EC32CE"/>
    <w:rsid w:val="00EC3885"/>
    <w:rsid w:val="00EC3B90"/>
    <w:rsid w:val="00EC4D4C"/>
    <w:rsid w:val="00EC5E10"/>
    <w:rsid w:val="00EC6098"/>
    <w:rsid w:val="00EC6111"/>
    <w:rsid w:val="00EC6828"/>
    <w:rsid w:val="00EC6B36"/>
    <w:rsid w:val="00EC73DE"/>
    <w:rsid w:val="00ED08AA"/>
    <w:rsid w:val="00ED0B84"/>
    <w:rsid w:val="00ED0BEC"/>
    <w:rsid w:val="00ED0D94"/>
    <w:rsid w:val="00ED3118"/>
    <w:rsid w:val="00ED49A1"/>
    <w:rsid w:val="00ED5832"/>
    <w:rsid w:val="00ED5DAA"/>
    <w:rsid w:val="00ED76A1"/>
    <w:rsid w:val="00EE0145"/>
    <w:rsid w:val="00EE01AB"/>
    <w:rsid w:val="00EE1D91"/>
    <w:rsid w:val="00EE2290"/>
    <w:rsid w:val="00EE30B2"/>
    <w:rsid w:val="00EE35BA"/>
    <w:rsid w:val="00EE3789"/>
    <w:rsid w:val="00EE3B9E"/>
    <w:rsid w:val="00EE3C93"/>
    <w:rsid w:val="00EE5090"/>
    <w:rsid w:val="00EE50E6"/>
    <w:rsid w:val="00EE694C"/>
    <w:rsid w:val="00EE6B7D"/>
    <w:rsid w:val="00EF1661"/>
    <w:rsid w:val="00EF1D0E"/>
    <w:rsid w:val="00EF30E5"/>
    <w:rsid w:val="00EF32D5"/>
    <w:rsid w:val="00EF343B"/>
    <w:rsid w:val="00EF344A"/>
    <w:rsid w:val="00EF3528"/>
    <w:rsid w:val="00EF3EC9"/>
    <w:rsid w:val="00EF4270"/>
    <w:rsid w:val="00EF4EB8"/>
    <w:rsid w:val="00EF5290"/>
    <w:rsid w:val="00EF5ADF"/>
    <w:rsid w:val="00EF7C58"/>
    <w:rsid w:val="00F00483"/>
    <w:rsid w:val="00F004B0"/>
    <w:rsid w:val="00F00AF3"/>
    <w:rsid w:val="00F0198B"/>
    <w:rsid w:val="00F01FB2"/>
    <w:rsid w:val="00F01FD9"/>
    <w:rsid w:val="00F01FF2"/>
    <w:rsid w:val="00F020A7"/>
    <w:rsid w:val="00F031E0"/>
    <w:rsid w:val="00F03726"/>
    <w:rsid w:val="00F0402A"/>
    <w:rsid w:val="00F0422F"/>
    <w:rsid w:val="00F04272"/>
    <w:rsid w:val="00F05F09"/>
    <w:rsid w:val="00F06699"/>
    <w:rsid w:val="00F066B7"/>
    <w:rsid w:val="00F06F0B"/>
    <w:rsid w:val="00F07716"/>
    <w:rsid w:val="00F10912"/>
    <w:rsid w:val="00F10A12"/>
    <w:rsid w:val="00F1136A"/>
    <w:rsid w:val="00F114EA"/>
    <w:rsid w:val="00F11E15"/>
    <w:rsid w:val="00F14AC9"/>
    <w:rsid w:val="00F14D57"/>
    <w:rsid w:val="00F1523F"/>
    <w:rsid w:val="00F1593F"/>
    <w:rsid w:val="00F15966"/>
    <w:rsid w:val="00F15D60"/>
    <w:rsid w:val="00F15F28"/>
    <w:rsid w:val="00F16018"/>
    <w:rsid w:val="00F161B3"/>
    <w:rsid w:val="00F16B34"/>
    <w:rsid w:val="00F170A4"/>
    <w:rsid w:val="00F17AA9"/>
    <w:rsid w:val="00F20094"/>
    <w:rsid w:val="00F20660"/>
    <w:rsid w:val="00F217B8"/>
    <w:rsid w:val="00F21C74"/>
    <w:rsid w:val="00F220F4"/>
    <w:rsid w:val="00F238F2"/>
    <w:rsid w:val="00F239FE"/>
    <w:rsid w:val="00F23D2F"/>
    <w:rsid w:val="00F24C65"/>
    <w:rsid w:val="00F24F1F"/>
    <w:rsid w:val="00F256C8"/>
    <w:rsid w:val="00F25BA8"/>
    <w:rsid w:val="00F27104"/>
    <w:rsid w:val="00F307A3"/>
    <w:rsid w:val="00F3131E"/>
    <w:rsid w:val="00F33172"/>
    <w:rsid w:val="00F332DF"/>
    <w:rsid w:val="00F333FC"/>
    <w:rsid w:val="00F335C6"/>
    <w:rsid w:val="00F34B6D"/>
    <w:rsid w:val="00F34B80"/>
    <w:rsid w:val="00F34E79"/>
    <w:rsid w:val="00F34EAC"/>
    <w:rsid w:val="00F35C91"/>
    <w:rsid w:val="00F35DC8"/>
    <w:rsid w:val="00F36402"/>
    <w:rsid w:val="00F36EE4"/>
    <w:rsid w:val="00F372FF"/>
    <w:rsid w:val="00F376C8"/>
    <w:rsid w:val="00F412B6"/>
    <w:rsid w:val="00F41582"/>
    <w:rsid w:val="00F42D2F"/>
    <w:rsid w:val="00F433C8"/>
    <w:rsid w:val="00F43405"/>
    <w:rsid w:val="00F43EC4"/>
    <w:rsid w:val="00F44519"/>
    <w:rsid w:val="00F44C95"/>
    <w:rsid w:val="00F4593A"/>
    <w:rsid w:val="00F462D1"/>
    <w:rsid w:val="00F46C8D"/>
    <w:rsid w:val="00F46FC1"/>
    <w:rsid w:val="00F47080"/>
    <w:rsid w:val="00F47C87"/>
    <w:rsid w:val="00F500D6"/>
    <w:rsid w:val="00F50151"/>
    <w:rsid w:val="00F5199F"/>
    <w:rsid w:val="00F52038"/>
    <w:rsid w:val="00F5271F"/>
    <w:rsid w:val="00F52BEE"/>
    <w:rsid w:val="00F54377"/>
    <w:rsid w:val="00F546C5"/>
    <w:rsid w:val="00F5537D"/>
    <w:rsid w:val="00F556BC"/>
    <w:rsid w:val="00F557EC"/>
    <w:rsid w:val="00F55B1C"/>
    <w:rsid w:val="00F57D13"/>
    <w:rsid w:val="00F60655"/>
    <w:rsid w:val="00F60C3E"/>
    <w:rsid w:val="00F60E97"/>
    <w:rsid w:val="00F61286"/>
    <w:rsid w:val="00F625B2"/>
    <w:rsid w:val="00F62C4E"/>
    <w:rsid w:val="00F64614"/>
    <w:rsid w:val="00F64B0C"/>
    <w:rsid w:val="00F64D1B"/>
    <w:rsid w:val="00F65220"/>
    <w:rsid w:val="00F65E1F"/>
    <w:rsid w:val="00F66519"/>
    <w:rsid w:val="00F67BAF"/>
    <w:rsid w:val="00F700AA"/>
    <w:rsid w:val="00F7028B"/>
    <w:rsid w:val="00F70B51"/>
    <w:rsid w:val="00F715E7"/>
    <w:rsid w:val="00F72714"/>
    <w:rsid w:val="00F72DA7"/>
    <w:rsid w:val="00F73020"/>
    <w:rsid w:val="00F736CD"/>
    <w:rsid w:val="00F73C99"/>
    <w:rsid w:val="00F745B6"/>
    <w:rsid w:val="00F7488B"/>
    <w:rsid w:val="00F748EB"/>
    <w:rsid w:val="00F750C2"/>
    <w:rsid w:val="00F755B5"/>
    <w:rsid w:val="00F756D5"/>
    <w:rsid w:val="00F763E7"/>
    <w:rsid w:val="00F771B5"/>
    <w:rsid w:val="00F77632"/>
    <w:rsid w:val="00F77E2E"/>
    <w:rsid w:val="00F800C7"/>
    <w:rsid w:val="00F80187"/>
    <w:rsid w:val="00F8038A"/>
    <w:rsid w:val="00F80878"/>
    <w:rsid w:val="00F81B8E"/>
    <w:rsid w:val="00F81DCC"/>
    <w:rsid w:val="00F828BE"/>
    <w:rsid w:val="00F82E2E"/>
    <w:rsid w:val="00F83004"/>
    <w:rsid w:val="00F830C1"/>
    <w:rsid w:val="00F84253"/>
    <w:rsid w:val="00F84CA8"/>
    <w:rsid w:val="00F84CF8"/>
    <w:rsid w:val="00F86378"/>
    <w:rsid w:val="00F86399"/>
    <w:rsid w:val="00F864B9"/>
    <w:rsid w:val="00F869CC"/>
    <w:rsid w:val="00F87596"/>
    <w:rsid w:val="00F9069F"/>
    <w:rsid w:val="00F91927"/>
    <w:rsid w:val="00F94088"/>
    <w:rsid w:val="00F943CF"/>
    <w:rsid w:val="00F94C05"/>
    <w:rsid w:val="00F94D2E"/>
    <w:rsid w:val="00F963C6"/>
    <w:rsid w:val="00F96776"/>
    <w:rsid w:val="00FA0C0D"/>
    <w:rsid w:val="00FA0F33"/>
    <w:rsid w:val="00FA1523"/>
    <w:rsid w:val="00FA1B8F"/>
    <w:rsid w:val="00FA22B6"/>
    <w:rsid w:val="00FA2535"/>
    <w:rsid w:val="00FA39EA"/>
    <w:rsid w:val="00FA3B40"/>
    <w:rsid w:val="00FA3CBD"/>
    <w:rsid w:val="00FA4A6B"/>
    <w:rsid w:val="00FA4C0B"/>
    <w:rsid w:val="00FA683F"/>
    <w:rsid w:val="00FA769B"/>
    <w:rsid w:val="00FB096A"/>
    <w:rsid w:val="00FB0ED5"/>
    <w:rsid w:val="00FB1082"/>
    <w:rsid w:val="00FB1DA8"/>
    <w:rsid w:val="00FB2403"/>
    <w:rsid w:val="00FB247F"/>
    <w:rsid w:val="00FB3503"/>
    <w:rsid w:val="00FB3CCD"/>
    <w:rsid w:val="00FB4046"/>
    <w:rsid w:val="00FB4297"/>
    <w:rsid w:val="00FB43E5"/>
    <w:rsid w:val="00FB4A4D"/>
    <w:rsid w:val="00FB4E78"/>
    <w:rsid w:val="00FB7E28"/>
    <w:rsid w:val="00FC0284"/>
    <w:rsid w:val="00FC051A"/>
    <w:rsid w:val="00FC0571"/>
    <w:rsid w:val="00FC0A02"/>
    <w:rsid w:val="00FC1C84"/>
    <w:rsid w:val="00FC240C"/>
    <w:rsid w:val="00FC269A"/>
    <w:rsid w:val="00FC29AC"/>
    <w:rsid w:val="00FC3461"/>
    <w:rsid w:val="00FC3EE1"/>
    <w:rsid w:val="00FC47A7"/>
    <w:rsid w:val="00FC4B5C"/>
    <w:rsid w:val="00FC4BB0"/>
    <w:rsid w:val="00FC54D4"/>
    <w:rsid w:val="00FC5CB4"/>
    <w:rsid w:val="00FC6525"/>
    <w:rsid w:val="00FC76B2"/>
    <w:rsid w:val="00FC7AF7"/>
    <w:rsid w:val="00FC7C99"/>
    <w:rsid w:val="00FC7E63"/>
    <w:rsid w:val="00FD0B0E"/>
    <w:rsid w:val="00FD1B16"/>
    <w:rsid w:val="00FD1BF4"/>
    <w:rsid w:val="00FD1CEC"/>
    <w:rsid w:val="00FD242B"/>
    <w:rsid w:val="00FD2E92"/>
    <w:rsid w:val="00FD308D"/>
    <w:rsid w:val="00FD33DB"/>
    <w:rsid w:val="00FD41CC"/>
    <w:rsid w:val="00FD459B"/>
    <w:rsid w:val="00FD5A53"/>
    <w:rsid w:val="00FD64A6"/>
    <w:rsid w:val="00FD7EEA"/>
    <w:rsid w:val="00FE0533"/>
    <w:rsid w:val="00FE0932"/>
    <w:rsid w:val="00FE0A63"/>
    <w:rsid w:val="00FE0F87"/>
    <w:rsid w:val="00FE14CD"/>
    <w:rsid w:val="00FE20FC"/>
    <w:rsid w:val="00FE2441"/>
    <w:rsid w:val="00FE256C"/>
    <w:rsid w:val="00FE27D4"/>
    <w:rsid w:val="00FE2B2D"/>
    <w:rsid w:val="00FE38E8"/>
    <w:rsid w:val="00FE39D8"/>
    <w:rsid w:val="00FE4E7B"/>
    <w:rsid w:val="00FE4E9F"/>
    <w:rsid w:val="00FE5644"/>
    <w:rsid w:val="00FE5821"/>
    <w:rsid w:val="00FE64D9"/>
    <w:rsid w:val="00FF0080"/>
    <w:rsid w:val="00FF0BCB"/>
    <w:rsid w:val="00FF0C65"/>
    <w:rsid w:val="00FF24FB"/>
    <w:rsid w:val="00FF2667"/>
    <w:rsid w:val="00FF3060"/>
    <w:rsid w:val="00FF3BEF"/>
    <w:rsid w:val="00FF3DF0"/>
    <w:rsid w:val="00FF4667"/>
    <w:rsid w:val="00FF4F5D"/>
    <w:rsid w:val="00FF565F"/>
    <w:rsid w:val="00FF5A25"/>
    <w:rsid w:val="00FF5FDE"/>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aliases w:val="RR level 1"/>
    <w:basedOn w:val="Normal"/>
    <w:next w:val="Normal"/>
    <w:link w:val="Heading1Char"/>
    <w:qFormat/>
    <w:pPr>
      <w:keepNext/>
      <w:outlineLvl w:val="0"/>
    </w:pPr>
    <w:rPr>
      <w:b/>
    </w:rPr>
  </w:style>
  <w:style w:type="paragraph" w:styleId="Heading2">
    <w:name w:val="heading 2"/>
    <w:basedOn w:val="Normal"/>
    <w:next w:val="Normal"/>
    <w:qFormat/>
    <w:pPr>
      <w:keepNext/>
      <w:ind w:right="-331"/>
      <w:jc w:val="center"/>
      <w:outlineLvl w:val="1"/>
    </w:pPr>
    <w:rPr>
      <w:b/>
      <w:sz w:val="28"/>
    </w:rPr>
  </w:style>
  <w:style w:type="paragraph" w:styleId="Heading3">
    <w:name w:val="heading 3"/>
    <w:basedOn w:val="Normal"/>
    <w:next w:val="Normal"/>
    <w:qFormat/>
    <w:pPr>
      <w:keepNext/>
      <w:ind w:right="-331"/>
      <w:outlineLvl w:val="2"/>
    </w:pPr>
    <w:rPr>
      <w:b/>
    </w:rPr>
  </w:style>
  <w:style w:type="paragraph" w:styleId="Heading4">
    <w:name w:val="heading 4"/>
    <w:basedOn w:val="Normal"/>
    <w:next w:val="Normal"/>
    <w:qFormat/>
    <w:pPr>
      <w:keepNext/>
      <w:spacing w:after="120"/>
      <w:outlineLvl w:val="3"/>
    </w:pPr>
    <w:rPr>
      <w:b/>
      <w:sz w:val="1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 w:val="left" w:pos="1422"/>
        <w:tab w:val="right" w:pos="7920"/>
      </w:tabs>
      <w:ind w:left="1422"/>
      <w:outlineLvl w:val="6"/>
    </w:pPr>
    <w:rPr>
      <w:b/>
    </w:rPr>
  </w:style>
  <w:style w:type="paragraph" w:styleId="Heading8">
    <w:name w:val="heading 8"/>
    <w:basedOn w:val="Normal"/>
    <w:next w:val="Normal"/>
    <w:qFormat/>
    <w:pPr>
      <w:keepNext/>
      <w:jc w:val="center"/>
      <w:outlineLvl w:val="7"/>
    </w:pPr>
    <w:rPr>
      <w:sz w:val="18"/>
      <w:u w:val="single"/>
    </w:rPr>
  </w:style>
  <w:style w:type="paragraph" w:styleId="Heading9">
    <w:name w:val="heading 9"/>
    <w:basedOn w:val="Normal"/>
    <w:next w:val="Normal"/>
    <w:qFormat/>
    <w:pPr>
      <w:keepNext/>
      <w:jc w:val="center"/>
      <w:outlineLvl w:val="8"/>
    </w:pPr>
    <w:rPr>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lang w:val="en-US"/>
    </w:rPr>
  </w:style>
  <w:style w:type="paragraph" w:styleId="BodyTextIndent2">
    <w:name w:val="Body Text Indent 2"/>
    <w:basedOn w:val="Normal"/>
    <w:pPr>
      <w:ind w:left="720" w:hanging="720"/>
    </w:pPr>
  </w:style>
  <w:style w:type="paragraph" w:styleId="BlockText">
    <w:name w:val="Block Text"/>
    <w:basedOn w:val="Normal"/>
    <w:pPr>
      <w:ind w:left="720" w:right="-331"/>
    </w:pPr>
  </w:style>
  <w:style w:type="paragraph" w:styleId="BodyText">
    <w:name w:val="Body Text"/>
    <w:basedOn w:val="Normal"/>
    <w:pPr>
      <w:spacing w:after="240"/>
      <w:jc w:val="center"/>
    </w:pPr>
    <w:rPr>
      <w:sz w:val="20"/>
    </w:rPr>
  </w:style>
  <w:style w:type="paragraph" w:styleId="BodyTextIndent3">
    <w:name w:val="Body Text Indent 3"/>
    <w:basedOn w:val="Normal"/>
    <w:pPr>
      <w:spacing w:after="240"/>
      <w:ind w:left="1440"/>
    </w:pPr>
  </w:style>
  <w:style w:type="paragraph" w:styleId="Caption">
    <w:name w:val="caption"/>
    <w:basedOn w:val="Normal"/>
    <w:next w:val="Normal"/>
    <w:qFormat/>
    <w:pPr>
      <w:jc w:val="center"/>
    </w:pPr>
    <w:rPr>
      <w:b/>
      <w:sz w:val="28"/>
    </w:rPr>
  </w:style>
  <w:style w:type="paragraph" w:styleId="BodyText2">
    <w:name w:val="Body Text 2"/>
    <w:basedOn w:val="Normal"/>
    <w:rPr>
      <w:color w:val="FF0000"/>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customStyle="1" w:styleId="Bodyindent">
    <w:name w:val="Body indent"/>
    <w:basedOn w:val="Normal"/>
    <w:pPr>
      <w:widowControl w:val="0"/>
      <w:spacing w:before="140" w:line="290" w:lineRule="atLeast"/>
      <w:ind w:left="680"/>
    </w:pPr>
    <w:rPr>
      <w:rFonts w:ascii="Sabon" w:hAnsi="Sabon"/>
      <w:color w:val="000000"/>
      <w:sz w:val="21"/>
      <w:lang w:val="en-US"/>
    </w:rPr>
  </w:style>
  <w:style w:type="paragraph" w:customStyle="1" w:styleId="Bullets">
    <w:name w:val="Bullets"/>
    <w:basedOn w:val="Normal"/>
    <w:pPr>
      <w:numPr>
        <w:numId w:val="1"/>
      </w:numPr>
      <w:tabs>
        <w:tab w:val="left" w:pos="3062"/>
      </w:tabs>
      <w:spacing w:before="30" w:line="264" w:lineRule="auto"/>
    </w:pPr>
    <w:rPr>
      <w:rFonts w:ascii="Times" w:hAnsi="Times"/>
      <w:sz w:val="21"/>
    </w:rPr>
  </w:style>
  <w:style w:type="paragraph" w:customStyle="1" w:styleId="Body">
    <w:name w:val="Body"/>
    <w:basedOn w:val="Normal"/>
    <w:pPr>
      <w:widowControl w:val="0"/>
      <w:spacing w:before="140" w:line="290" w:lineRule="atLeast"/>
      <w:ind w:left="680" w:hanging="454"/>
    </w:pPr>
    <w:rPr>
      <w:rFonts w:ascii="Sabon" w:hAnsi="Sabon"/>
      <w:color w:val="000000"/>
      <w:sz w:val="21"/>
      <w:lang w:val="en-US"/>
    </w:rPr>
  </w:style>
  <w:style w:type="paragraph" w:customStyle="1" w:styleId="BodyText1">
    <w:name w:val="Body Text1"/>
    <w:basedOn w:val="Normal"/>
    <w:link w:val="BodytextChar"/>
    <w:pPr>
      <w:spacing w:before="140" w:after="140"/>
      <w:ind w:left="397"/>
    </w:pPr>
  </w:style>
  <w:style w:type="character" w:customStyle="1" w:styleId="Bodytextemphasised">
    <w:name w:val="Body text (emphasised)"/>
    <w:rPr>
      <w:rFonts w:ascii="Arial" w:hAnsi="Arial"/>
      <w:b/>
      <w:noProof w:val="0"/>
      <w:sz w:val="24"/>
      <w:szCs w:val="24"/>
      <w:lang w:val="en-GB" w:eastAsia="en-GB" w:bidi="ar-SA"/>
    </w:rPr>
  </w:style>
  <w:style w:type="paragraph" w:customStyle="1" w:styleId="Bodytextnumbered">
    <w:name w:val="Body text (numbered)"/>
    <w:basedOn w:val="BodyText1"/>
    <w:pPr>
      <w:numPr>
        <w:numId w:val="2"/>
      </w:numPr>
    </w:pPr>
  </w:style>
  <w:style w:type="paragraph" w:customStyle="1" w:styleId="Bullet1">
    <w:name w:val="Bullet 1"/>
    <w:basedOn w:val="Normal"/>
    <w:link w:val="Bullet1CharChar"/>
    <w:pPr>
      <w:numPr>
        <w:numId w:val="3"/>
      </w:numPr>
      <w:spacing w:before="100"/>
    </w:pPr>
  </w:style>
  <w:style w:type="paragraph" w:styleId="BalloonText">
    <w:name w:val="Balloon Text"/>
    <w:basedOn w:val="Normal"/>
    <w:rPr>
      <w:rFonts w:ascii="Tahoma" w:hAnsi="Tahoma"/>
      <w:sz w:val="16"/>
    </w:rPr>
  </w:style>
  <w:style w:type="paragraph" w:styleId="CommentSubject">
    <w:name w:val="annotation subject"/>
    <w:basedOn w:val="CommentText"/>
    <w:next w:val="CommentText"/>
    <w:rPr>
      <w:rFonts w:ascii="Times New Roman" w:hAnsi="Times New Roman"/>
      <w:b/>
    </w:rPr>
  </w:style>
  <w:style w:type="paragraph" w:styleId="CommentText">
    <w:name w:val="annotation text"/>
    <w:basedOn w:val="Normal"/>
    <w:semiHidden/>
    <w:rPr>
      <w:sz w:val="20"/>
    </w:rPr>
  </w:style>
  <w:style w:type="paragraph" w:styleId="NormalWeb">
    <w:name w:val="Normal (Web)"/>
    <w:basedOn w:val="Normal"/>
    <w:pPr>
      <w:spacing w:before="100" w:after="100"/>
    </w:pPr>
    <w:rPr>
      <w:rFonts w:ascii="Times New Roman" w:hAnsi="Times New Roman"/>
    </w:rPr>
  </w:style>
  <w:style w:type="paragraph" w:customStyle="1" w:styleId="ReportHeading">
    <w:name w:val="Report Heading"/>
    <w:basedOn w:val="Normal"/>
    <w:rsid w:val="005B07C9"/>
    <w:pPr>
      <w:overflowPunct w:val="0"/>
      <w:autoSpaceDE w:val="0"/>
      <w:autoSpaceDN w:val="0"/>
      <w:adjustRightInd w:val="0"/>
      <w:jc w:val="center"/>
      <w:textAlignment w:val="baseline"/>
    </w:pPr>
    <w:rPr>
      <w:b/>
      <w:color w:val="000000"/>
      <w:u w:val="single"/>
      <w:lang w:val="en-US"/>
    </w:rPr>
  </w:style>
  <w:style w:type="table" w:styleId="TableGrid">
    <w:name w:val="Table Grid"/>
    <w:basedOn w:val="TableNormal"/>
    <w:rsid w:val="00AF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Char">
    <w:name w:val="Bullet 1 Char Char"/>
    <w:link w:val="Bullet1"/>
    <w:rsid w:val="00462F54"/>
    <w:rPr>
      <w:rFonts w:ascii="Arial" w:hAnsi="Arial"/>
      <w:sz w:val="24"/>
      <w:lang w:eastAsia="en-US"/>
    </w:rPr>
  </w:style>
  <w:style w:type="character" w:styleId="Hyperlink">
    <w:name w:val="Hyperlink"/>
    <w:rsid w:val="00D0270D"/>
    <w:rPr>
      <w:color w:val="0000FF"/>
      <w:u w:val="single"/>
    </w:rPr>
  </w:style>
  <w:style w:type="table" w:styleId="TableGrid8">
    <w:name w:val="Table Grid 8"/>
    <w:basedOn w:val="TableNormal"/>
    <w:rsid w:val="00B404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dytextChar">
    <w:name w:val="Body text Char"/>
    <w:link w:val="BodyText1"/>
    <w:rsid w:val="006F63AC"/>
    <w:rPr>
      <w:rFonts w:ascii="Arial" w:hAnsi="Arial"/>
      <w:sz w:val="24"/>
      <w:lang w:val="en-GB" w:eastAsia="en-US" w:bidi="ar-SA"/>
    </w:rPr>
  </w:style>
  <w:style w:type="character" w:styleId="Strong">
    <w:name w:val="Strong"/>
    <w:qFormat/>
    <w:rsid w:val="008C5921"/>
    <w:rPr>
      <w:rFonts w:cs="Times New Roman"/>
      <w:b/>
      <w:bCs/>
    </w:rPr>
  </w:style>
  <w:style w:type="paragraph" w:customStyle="1" w:styleId="00-Normal-BB">
    <w:name w:val="00-Normal-BB"/>
    <w:rsid w:val="008C5921"/>
    <w:pPr>
      <w:jc w:val="both"/>
    </w:pPr>
    <w:rPr>
      <w:rFonts w:ascii="Arial" w:eastAsia="Calibri" w:hAnsi="Arial"/>
      <w:sz w:val="22"/>
      <w:lang w:eastAsia="en-US"/>
    </w:rPr>
  </w:style>
  <w:style w:type="paragraph" w:customStyle="1" w:styleId="01-NormInd1-BB">
    <w:name w:val="01-NormInd1-BB"/>
    <w:basedOn w:val="00-Normal-BB"/>
    <w:rsid w:val="008C5921"/>
    <w:pPr>
      <w:ind w:left="720"/>
    </w:pPr>
  </w:style>
  <w:style w:type="table" w:styleId="TableProfessional">
    <w:name w:val="Table Professional"/>
    <w:basedOn w:val="TableNormal"/>
    <w:rsid w:val="009C6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nlinenormal">
    <w:name w:val="inlinenormal"/>
    <w:basedOn w:val="Normal"/>
    <w:rsid w:val="00935F51"/>
    <w:pPr>
      <w:autoSpaceDN w:val="0"/>
      <w:spacing w:before="120" w:after="60" w:line="264" w:lineRule="auto"/>
    </w:pPr>
    <w:rPr>
      <w:rFonts w:cs="Arial"/>
      <w:szCs w:val="24"/>
      <w:lang w:eastAsia="en-GB"/>
    </w:rPr>
  </w:style>
  <w:style w:type="character" w:styleId="Emphasis">
    <w:name w:val="Emphasis"/>
    <w:qFormat/>
    <w:rsid w:val="00935F51"/>
    <w:rPr>
      <w:i/>
      <w:iCs/>
    </w:rPr>
  </w:style>
  <w:style w:type="character" w:styleId="FollowedHyperlink">
    <w:name w:val="FollowedHyperlink"/>
    <w:rsid w:val="0035771D"/>
    <w:rPr>
      <w:color w:val="800080"/>
      <w:u w:val="single"/>
    </w:rPr>
  </w:style>
  <w:style w:type="character" w:customStyle="1" w:styleId="FooterChar">
    <w:name w:val="Footer Char"/>
    <w:link w:val="Footer"/>
    <w:locked/>
    <w:rsid w:val="00F96776"/>
    <w:rPr>
      <w:rFonts w:ascii="Arial" w:hAnsi="Arial"/>
      <w:sz w:val="24"/>
      <w:lang w:val="en-GB" w:eastAsia="en-US" w:bidi="ar-SA"/>
    </w:rPr>
  </w:style>
  <w:style w:type="paragraph" w:styleId="ListParagraph">
    <w:name w:val="List Paragraph"/>
    <w:basedOn w:val="Normal"/>
    <w:uiPriority w:val="34"/>
    <w:qFormat/>
    <w:rsid w:val="00F96776"/>
    <w:pPr>
      <w:ind w:left="720"/>
      <w:contextualSpacing/>
    </w:pPr>
    <w:rPr>
      <w:rFonts w:eastAsia="Calibri"/>
    </w:rPr>
  </w:style>
  <w:style w:type="paragraph" w:styleId="NoSpacing">
    <w:name w:val="No Spacing"/>
    <w:uiPriority w:val="1"/>
    <w:qFormat/>
    <w:rsid w:val="0008007D"/>
    <w:rPr>
      <w:rFonts w:ascii="Arial" w:hAnsi="Arial"/>
      <w:sz w:val="24"/>
      <w:lang w:eastAsia="en-US"/>
    </w:rPr>
  </w:style>
  <w:style w:type="character" w:customStyle="1" w:styleId="Heading1Char">
    <w:name w:val="Heading 1 Char"/>
    <w:aliases w:val="RR level 1 Char"/>
    <w:basedOn w:val="DefaultParagraphFont"/>
    <w:link w:val="Heading1"/>
    <w:rsid w:val="00E07E0D"/>
    <w:rPr>
      <w:rFonts w:ascii="Arial" w:hAnsi="Arial"/>
      <w:b/>
      <w:sz w:val="24"/>
      <w:lang w:eastAsia="en-US"/>
    </w:rPr>
  </w:style>
  <w:style w:type="character" w:styleId="CommentReference">
    <w:name w:val="annotation reference"/>
    <w:basedOn w:val="DefaultParagraphFont"/>
    <w:rsid w:val="006B4B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aliases w:val="RR level 1"/>
    <w:basedOn w:val="Normal"/>
    <w:next w:val="Normal"/>
    <w:link w:val="Heading1Char"/>
    <w:qFormat/>
    <w:pPr>
      <w:keepNext/>
      <w:outlineLvl w:val="0"/>
    </w:pPr>
    <w:rPr>
      <w:b/>
    </w:rPr>
  </w:style>
  <w:style w:type="paragraph" w:styleId="Heading2">
    <w:name w:val="heading 2"/>
    <w:basedOn w:val="Normal"/>
    <w:next w:val="Normal"/>
    <w:qFormat/>
    <w:pPr>
      <w:keepNext/>
      <w:ind w:right="-331"/>
      <w:jc w:val="center"/>
      <w:outlineLvl w:val="1"/>
    </w:pPr>
    <w:rPr>
      <w:b/>
      <w:sz w:val="28"/>
    </w:rPr>
  </w:style>
  <w:style w:type="paragraph" w:styleId="Heading3">
    <w:name w:val="heading 3"/>
    <w:basedOn w:val="Normal"/>
    <w:next w:val="Normal"/>
    <w:qFormat/>
    <w:pPr>
      <w:keepNext/>
      <w:ind w:right="-331"/>
      <w:outlineLvl w:val="2"/>
    </w:pPr>
    <w:rPr>
      <w:b/>
    </w:rPr>
  </w:style>
  <w:style w:type="paragraph" w:styleId="Heading4">
    <w:name w:val="heading 4"/>
    <w:basedOn w:val="Normal"/>
    <w:next w:val="Normal"/>
    <w:qFormat/>
    <w:pPr>
      <w:keepNext/>
      <w:spacing w:after="120"/>
      <w:outlineLvl w:val="3"/>
    </w:pPr>
    <w:rPr>
      <w:b/>
      <w:sz w:val="1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 w:val="left" w:pos="1422"/>
        <w:tab w:val="right" w:pos="7920"/>
      </w:tabs>
      <w:ind w:left="1422"/>
      <w:outlineLvl w:val="6"/>
    </w:pPr>
    <w:rPr>
      <w:b/>
    </w:rPr>
  </w:style>
  <w:style w:type="paragraph" w:styleId="Heading8">
    <w:name w:val="heading 8"/>
    <w:basedOn w:val="Normal"/>
    <w:next w:val="Normal"/>
    <w:qFormat/>
    <w:pPr>
      <w:keepNext/>
      <w:jc w:val="center"/>
      <w:outlineLvl w:val="7"/>
    </w:pPr>
    <w:rPr>
      <w:sz w:val="18"/>
      <w:u w:val="single"/>
    </w:rPr>
  </w:style>
  <w:style w:type="paragraph" w:styleId="Heading9">
    <w:name w:val="heading 9"/>
    <w:basedOn w:val="Normal"/>
    <w:next w:val="Normal"/>
    <w:qFormat/>
    <w:pPr>
      <w:keepNext/>
      <w:jc w:val="center"/>
      <w:outlineLvl w:val="8"/>
    </w:pPr>
    <w:rPr>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lang w:val="en-US"/>
    </w:rPr>
  </w:style>
  <w:style w:type="paragraph" w:styleId="BodyTextIndent2">
    <w:name w:val="Body Text Indent 2"/>
    <w:basedOn w:val="Normal"/>
    <w:pPr>
      <w:ind w:left="720" w:hanging="720"/>
    </w:pPr>
  </w:style>
  <w:style w:type="paragraph" w:styleId="BlockText">
    <w:name w:val="Block Text"/>
    <w:basedOn w:val="Normal"/>
    <w:pPr>
      <w:ind w:left="720" w:right="-331"/>
    </w:pPr>
  </w:style>
  <w:style w:type="paragraph" w:styleId="BodyText">
    <w:name w:val="Body Text"/>
    <w:basedOn w:val="Normal"/>
    <w:pPr>
      <w:spacing w:after="240"/>
      <w:jc w:val="center"/>
    </w:pPr>
    <w:rPr>
      <w:sz w:val="20"/>
    </w:rPr>
  </w:style>
  <w:style w:type="paragraph" w:styleId="BodyTextIndent3">
    <w:name w:val="Body Text Indent 3"/>
    <w:basedOn w:val="Normal"/>
    <w:pPr>
      <w:spacing w:after="240"/>
      <w:ind w:left="1440"/>
    </w:pPr>
  </w:style>
  <w:style w:type="paragraph" w:styleId="Caption">
    <w:name w:val="caption"/>
    <w:basedOn w:val="Normal"/>
    <w:next w:val="Normal"/>
    <w:qFormat/>
    <w:pPr>
      <w:jc w:val="center"/>
    </w:pPr>
    <w:rPr>
      <w:b/>
      <w:sz w:val="28"/>
    </w:rPr>
  </w:style>
  <w:style w:type="paragraph" w:styleId="BodyText2">
    <w:name w:val="Body Text 2"/>
    <w:basedOn w:val="Normal"/>
    <w:rPr>
      <w:color w:val="FF0000"/>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customStyle="1" w:styleId="Bodyindent">
    <w:name w:val="Body indent"/>
    <w:basedOn w:val="Normal"/>
    <w:pPr>
      <w:widowControl w:val="0"/>
      <w:spacing w:before="140" w:line="290" w:lineRule="atLeast"/>
      <w:ind w:left="680"/>
    </w:pPr>
    <w:rPr>
      <w:rFonts w:ascii="Sabon" w:hAnsi="Sabon"/>
      <w:color w:val="000000"/>
      <w:sz w:val="21"/>
      <w:lang w:val="en-US"/>
    </w:rPr>
  </w:style>
  <w:style w:type="paragraph" w:customStyle="1" w:styleId="Bullets">
    <w:name w:val="Bullets"/>
    <w:basedOn w:val="Normal"/>
    <w:pPr>
      <w:numPr>
        <w:numId w:val="1"/>
      </w:numPr>
      <w:tabs>
        <w:tab w:val="left" w:pos="3062"/>
      </w:tabs>
      <w:spacing w:before="30" w:line="264" w:lineRule="auto"/>
    </w:pPr>
    <w:rPr>
      <w:rFonts w:ascii="Times" w:hAnsi="Times"/>
      <w:sz w:val="21"/>
    </w:rPr>
  </w:style>
  <w:style w:type="paragraph" w:customStyle="1" w:styleId="Body">
    <w:name w:val="Body"/>
    <w:basedOn w:val="Normal"/>
    <w:pPr>
      <w:widowControl w:val="0"/>
      <w:spacing w:before="140" w:line="290" w:lineRule="atLeast"/>
      <w:ind w:left="680" w:hanging="454"/>
    </w:pPr>
    <w:rPr>
      <w:rFonts w:ascii="Sabon" w:hAnsi="Sabon"/>
      <w:color w:val="000000"/>
      <w:sz w:val="21"/>
      <w:lang w:val="en-US"/>
    </w:rPr>
  </w:style>
  <w:style w:type="paragraph" w:customStyle="1" w:styleId="BodyText1">
    <w:name w:val="Body Text1"/>
    <w:basedOn w:val="Normal"/>
    <w:link w:val="BodytextChar"/>
    <w:pPr>
      <w:spacing w:before="140" w:after="140"/>
      <w:ind w:left="397"/>
    </w:pPr>
  </w:style>
  <w:style w:type="character" w:customStyle="1" w:styleId="Bodytextemphasised">
    <w:name w:val="Body text (emphasised)"/>
    <w:rPr>
      <w:rFonts w:ascii="Arial" w:hAnsi="Arial"/>
      <w:b/>
      <w:noProof w:val="0"/>
      <w:sz w:val="24"/>
      <w:szCs w:val="24"/>
      <w:lang w:val="en-GB" w:eastAsia="en-GB" w:bidi="ar-SA"/>
    </w:rPr>
  </w:style>
  <w:style w:type="paragraph" w:customStyle="1" w:styleId="Bodytextnumbered">
    <w:name w:val="Body text (numbered)"/>
    <w:basedOn w:val="BodyText1"/>
    <w:pPr>
      <w:numPr>
        <w:numId w:val="2"/>
      </w:numPr>
    </w:pPr>
  </w:style>
  <w:style w:type="paragraph" w:customStyle="1" w:styleId="Bullet1">
    <w:name w:val="Bullet 1"/>
    <w:basedOn w:val="Normal"/>
    <w:link w:val="Bullet1CharChar"/>
    <w:pPr>
      <w:numPr>
        <w:numId w:val="3"/>
      </w:numPr>
      <w:spacing w:before="100"/>
    </w:pPr>
  </w:style>
  <w:style w:type="paragraph" w:styleId="BalloonText">
    <w:name w:val="Balloon Text"/>
    <w:basedOn w:val="Normal"/>
    <w:rPr>
      <w:rFonts w:ascii="Tahoma" w:hAnsi="Tahoma"/>
      <w:sz w:val="16"/>
    </w:rPr>
  </w:style>
  <w:style w:type="paragraph" w:styleId="CommentSubject">
    <w:name w:val="annotation subject"/>
    <w:basedOn w:val="CommentText"/>
    <w:next w:val="CommentText"/>
    <w:rPr>
      <w:rFonts w:ascii="Times New Roman" w:hAnsi="Times New Roman"/>
      <w:b/>
    </w:rPr>
  </w:style>
  <w:style w:type="paragraph" w:styleId="CommentText">
    <w:name w:val="annotation text"/>
    <w:basedOn w:val="Normal"/>
    <w:semiHidden/>
    <w:rPr>
      <w:sz w:val="20"/>
    </w:rPr>
  </w:style>
  <w:style w:type="paragraph" w:styleId="NormalWeb">
    <w:name w:val="Normal (Web)"/>
    <w:basedOn w:val="Normal"/>
    <w:pPr>
      <w:spacing w:before="100" w:after="100"/>
    </w:pPr>
    <w:rPr>
      <w:rFonts w:ascii="Times New Roman" w:hAnsi="Times New Roman"/>
    </w:rPr>
  </w:style>
  <w:style w:type="paragraph" w:customStyle="1" w:styleId="ReportHeading">
    <w:name w:val="Report Heading"/>
    <w:basedOn w:val="Normal"/>
    <w:rsid w:val="005B07C9"/>
    <w:pPr>
      <w:overflowPunct w:val="0"/>
      <w:autoSpaceDE w:val="0"/>
      <w:autoSpaceDN w:val="0"/>
      <w:adjustRightInd w:val="0"/>
      <w:jc w:val="center"/>
      <w:textAlignment w:val="baseline"/>
    </w:pPr>
    <w:rPr>
      <w:b/>
      <w:color w:val="000000"/>
      <w:u w:val="single"/>
      <w:lang w:val="en-US"/>
    </w:rPr>
  </w:style>
  <w:style w:type="table" w:styleId="TableGrid">
    <w:name w:val="Table Grid"/>
    <w:basedOn w:val="TableNormal"/>
    <w:rsid w:val="00AF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Char">
    <w:name w:val="Bullet 1 Char Char"/>
    <w:link w:val="Bullet1"/>
    <w:rsid w:val="00462F54"/>
    <w:rPr>
      <w:rFonts w:ascii="Arial" w:hAnsi="Arial"/>
      <w:sz w:val="24"/>
      <w:lang w:eastAsia="en-US"/>
    </w:rPr>
  </w:style>
  <w:style w:type="character" w:styleId="Hyperlink">
    <w:name w:val="Hyperlink"/>
    <w:rsid w:val="00D0270D"/>
    <w:rPr>
      <w:color w:val="0000FF"/>
      <w:u w:val="single"/>
    </w:rPr>
  </w:style>
  <w:style w:type="table" w:styleId="TableGrid8">
    <w:name w:val="Table Grid 8"/>
    <w:basedOn w:val="TableNormal"/>
    <w:rsid w:val="00B404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dytextChar">
    <w:name w:val="Body text Char"/>
    <w:link w:val="BodyText1"/>
    <w:rsid w:val="006F63AC"/>
    <w:rPr>
      <w:rFonts w:ascii="Arial" w:hAnsi="Arial"/>
      <w:sz w:val="24"/>
      <w:lang w:val="en-GB" w:eastAsia="en-US" w:bidi="ar-SA"/>
    </w:rPr>
  </w:style>
  <w:style w:type="character" w:styleId="Strong">
    <w:name w:val="Strong"/>
    <w:qFormat/>
    <w:rsid w:val="008C5921"/>
    <w:rPr>
      <w:rFonts w:cs="Times New Roman"/>
      <w:b/>
      <w:bCs/>
    </w:rPr>
  </w:style>
  <w:style w:type="paragraph" w:customStyle="1" w:styleId="00-Normal-BB">
    <w:name w:val="00-Normal-BB"/>
    <w:rsid w:val="008C5921"/>
    <w:pPr>
      <w:jc w:val="both"/>
    </w:pPr>
    <w:rPr>
      <w:rFonts w:ascii="Arial" w:eastAsia="Calibri" w:hAnsi="Arial"/>
      <w:sz w:val="22"/>
      <w:lang w:eastAsia="en-US"/>
    </w:rPr>
  </w:style>
  <w:style w:type="paragraph" w:customStyle="1" w:styleId="01-NormInd1-BB">
    <w:name w:val="01-NormInd1-BB"/>
    <w:basedOn w:val="00-Normal-BB"/>
    <w:rsid w:val="008C5921"/>
    <w:pPr>
      <w:ind w:left="720"/>
    </w:pPr>
  </w:style>
  <w:style w:type="table" w:styleId="TableProfessional">
    <w:name w:val="Table Professional"/>
    <w:basedOn w:val="TableNormal"/>
    <w:rsid w:val="009C6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nlinenormal">
    <w:name w:val="inlinenormal"/>
    <w:basedOn w:val="Normal"/>
    <w:rsid w:val="00935F51"/>
    <w:pPr>
      <w:autoSpaceDN w:val="0"/>
      <w:spacing w:before="120" w:after="60" w:line="264" w:lineRule="auto"/>
    </w:pPr>
    <w:rPr>
      <w:rFonts w:cs="Arial"/>
      <w:szCs w:val="24"/>
      <w:lang w:eastAsia="en-GB"/>
    </w:rPr>
  </w:style>
  <w:style w:type="character" w:styleId="Emphasis">
    <w:name w:val="Emphasis"/>
    <w:qFormat/>
    <w:rsid w:val="00935F51"/>
    <w:rPr>
      <w:i/>
      <w:iCs/>
    </w:rPr>
  </w:style>
  <w:style w:type="character" w:styleId="FollowedHyperlink">
    <w:name w:val="FollowedHyperlink"/>
    <w:rsid w:val="0035771D"/>
    <w:rPr>
      <w:color w:val="800080"/>
      <w:u w:val="single"/>
    </w:rPr>
  </w:style>
  <w:style w:type="character" w:customStyle="1" w:styleId="FooterChar">
    <w:name w:val="Footer Char"/>
    <w:link w:val="Footer"/>
    <w:locked/>
    <w:rsid w:val="00F96776"/>
    <w:rPr>
      <w:rFonts w:ascii="Arial" w:hAnsi="Arial"/>
      <w:sz w:val="24"/>
      <w:lang w:val="en-GB" w:eastAsia="en-US" w:bidi="ar-SA"/>
    </w:rPr>
  </w:style>
  <w:style w:type="paragraph" w:styleId="ListParagraph">
    <w:name w:val="List Paragraph"/>
    <w:basedOn w:val="Normal"/>
    <w:uiPriority w:val="34"/>
    <w:qFormat/>
    <w:rsid w:val="00F96776"/>
    <w:pPr>
      <w:ind w:left="720"/>
      <w:contextualSpacing/>
    </w:pPr>
    <w:rPr>
      <w:rFonts w:eastAsia="Calibri"/>
    </w:rPr>
  </w:style>
  <w:style w:type="paragraph" w:styleId="NoSpacing">
    <w:name w:val="No Spacing"/>
    <w:uiPriority w:val="1"/>
    <w:qFormat/>
    <w:rsid w:val="0008007D"/>
    <w:rPr>
      <w:rFonts w:ascii="Arial" w:hAnsi="Arial"/>
      <w:sz w:val="24"/>
      <w:lang w:eastAsia="en-US"/>
    </w:rPr>
  </w:style>
  <w:style w:type="character" w:customStyle="1" w:styleId="Heading1Char">
    <w:name w:val="Heading 1 Char"/>
    <w:aliases w:val="RR level 1 Char"/>
    <w:basedOn w:val="DefaultParagraphFont"/>
    <w:link w:val="Heading1"/>
    <w:rsid w:val="00E07E0D"/>
    <w:rPr>
      <w:rFonts w:ascii="Arial" w:hAnsi="Arial"/>
      <w:b/>
      <w:sz w:val="24"/>
      <w:lang w:eastAsia="en-US"/>
    </w:rPr>
  </w:style>
  <w:style w:type="character" w:styleId="CommentReference">
    <w:name w:val="annotation reference"/>
    <w:basedOn w:val="DefaultParagraphFont"/>
    <w:rsid w:val="006B4B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82">
      <w:bodyDiv w:val="1"/>
      <w:marLeft w:val="0"/>
      <w:marRight w:val="0"/>
      <w:marTop w:val="0"/>
      <w:marBottom w:val="0"/>
      <w:divBdr>
        <w:top w:val="none" w:sz="0" w:space="0" w:color="auto"/>
        <w:left w:val="none" w:sz="0" w:space="0" w:color="auto"/>
        <w:bottom w:val="none" w:sz="0" w:space="0" w:color="auto"/>
        <w:right w:val="none" w:sz="0" w:space="0" w:color="auto"/>
      </w:divBdr>
    </w:div>
    <w:div w:id="217789227">
      <w:bodyDiv w:val="1"/>
      <w:marLeft w:val="0"/>
      <w:marRight w:val="0"/>
      <w:marTop w:val="0"/>
      <w:marBottom w:val="0"/>
      <w:divBdr>
        <w:top w:val="none" w:sz="0" w:space="0" w:color="auto"/>
        <w:left w:val="none" w:sz="0" w:space="0" w:color="auto"/>
        <w:bottom w:val="none" w:sz="0" w:space="0" w:color="auto"/>
        <w:right w:val="none" w:sz="0" w:space="0" w:color="auto"/>
      </w:divBdr>
    </w:div>
    <w:div w:id="239946874">
      <w:bodyDiv w:val="1"/>
      <w:marLeft w:val="0"/>
      <w:marRight w:val="0"/>
      <w:marTop w:val="0"/>
      <w:marBottom w:val="0"/>
      <w:divBdr>
        <w:top w:val="none" w:sz="0" w:space="0" w:color="auto"/>
        <w:left w:val="none" w:sz="0" w:space="0" w:color="auto"/>
        <w:bottom w:val="none" w:sz="0" w:space="0" w:color="auto"/>
        <w:right w:val="none" w:sz="0" w:space="0" w:color="auto"/>
      </w:divBdr>
    </w:div>
    <w:div w:id="253366966">
      <w:bodyDiv w:val="1"/>
      <w:marLeft w:val="0"/>
      <w:marRight w:val="0"/>
      <w:marTop w:val="0"/>
      <w:marBottom w:val="0"/>
      <w:divBdr>
        <w:top w:val="none" w:sz="0" w:space="0" w:color="auto"/>
        <w:left w:val="none" w:sz="0" w:space="0" w:color="auto"/>
        <w:bottom w:val="none" w:sz="0" w:space="0" w:color="auto"/>
        <w:right w:val="none" w:sz="0" w:space="0" w:color="auto"/>
      </w:divBdr>
    </w:div>
    <w:div w:id="283582808">
      <w:bodyDiv w:val="1"/>
      <w:marLeft w:val="0"/>
      <w:marRight w:val="0"/>
      <w:marTop w:val="0"/>
      <w:marBottom w:val="0"/>
      <w:divBdr>
        <w:top w:val="none" w:sz="0" w:space="0" w:color="auto"/>
        <w:left w:val="none" w:sz="0" w:space="0" w:color="auto"/>
        <w:bottom w:val="none" w:sz="0" w:space="0" w:color="auto"/>
        <w:right w:val="none" w:sz="0" w:space="0" w:color="auto"/>
      </w:divBdr>
    </w:div>
    <w:div w:id="479926902">
      <w:bodyDiv w:val="1"/>
      <w:marLeft w:val="0"/>
      <w:marRight w:val="0"/>
      <w:marTop w:val="0"/>
      <w:marBottom w:val="0"/>
      <w:divBdr>
        <w:top w:val="none" w:sz="0" w:space="0" w:color="auto"/>
        <w:left w:val="none" w:sz="0" w:space="0" w:color="auto"/>
        <w:bottom w:val="none" w:sz="0" w:space="0" w:color="auto"/>
        <w:right w:val="none" w:sz="0" w:space="0" w:color="auto"/>
      </w:divBdr>
    </w:div>
    <w:div w:id="659239871">
      <w:bodyDiv w:val="1"/>
      <w:marLeft w:val="0"/>
      <w:marRight w:val="0"/>
      <w:marTop w:val="0"/>
      <w:marBottom w:val="0"/>
      <w:divBdr>
        <w:top w:val="none" w:sz="0" w:space="0" w:color="auto"/>
        <w:left w:val="none" w:sz="0" w:space="0" w:color="auto"/>
        <w:bottom w:val="none" w:sz="0" w:space="0" w:color="auto"/>
        <w:right w:val="none" w:sz="0" w:space="0" w:color="auto"/>
      </w:divBdr>
    </w:div>
    <w:div w:id="689768704">
      <w:bodyDiv w:val="1"/>
      <w:marLeft w:val="0"/>
      <w:marRight w:val="0"/>
      <w:marTop w:val="0"/>
      <w:marBottom w:val="0"/>
      <w:divBdr>
        <w:top w:val="none" w:sz="0" w:space="0" w:color="auto"/>
        <w:left w:val="none" w:sz="0" w:space="0" w:color="auto"/>
        <w:bottom w:val="none" w:sz="0" w:space="0" w:color="auto"/>
        <w:right w:val="none" w:sz="0" w:space="0" w:color="auto"/>
      </w:divBdr>
    </w:div>
    <w:div w:id="730614933">
      <w:bodyDiv w:val="1"/>
      <w:marLeft w:val="0"/>
      <w:marRight w:val="0"/>
      <w:marTop w:val="0"/>
      <w:marBottom w:val="0"/>
      <w:divBdr>
        <w:top w:val="none" w:sz="0" w:space="0" w:color="auto"/>
        <w:left w:val="none" w:sz="0" w:space="0" w:color="auto"/>
        <w:bottom w:val="none" w:sz="0" w:space="0" w:color="auto"/>
        <w:right w:val="none" w:sz="0" w:space="0" w:color="auto"/>
      </w:divBdr>
    </w:div>
    <w:div w:id="787969580">
      <w:bodyDiv w:val="1"/>
      <w:marLeft w:val="0"/>
      <w:marRight w:val="0"/>
      <w:marTop w:val="0"/>
      <w:marBottom w:val="0"/>
      <w:divBdr>
        <w:top w:val="none" w:sz="0" w:space="0" w:color="auto"/>
        <w:left w:val="none" w:sz="0" w:space="0" w:color="auto"/>
        <w:bottom w:val="none" w:sz="0" w:space="0" w:color="auto"/>
        <w:right w:val="none" w:sz="0" w:space="0" w:color="auto"/>
      </w:divBdr>
    </w:div>
    <w:div w:id="840586717">
      <w:bodyDiv w:val="1"/>
      <w:marLeft w:val="0"/>
      <w:marRight w:val="0"/>
      <w:marTop w:val="0"/>
      <w:marBottom w:val="0"/>
      <w:divBdr>
        <w:top w:val="none" w:sz="0" w:space="0" w:color="auto"/>
        <w:left w:val="none" w:sz="0" w:space="0" w:color="auto"/>
        <w:bottom w:val="none" w:sz="0" w:space="0" w:color="auto"/>
        <w:right w:val="none" w:sz="0" w:space="0" w:color="auto"/>
      </w:divBdr>
    </w:div>
    <w:div w:id="932007430">
      <w:bodyDiv w:val="1"/>
      <w:marLeft w:val="0"/>
      <w:marRight w:val="0"/>
      <w:marTop w:val="0"/>
      <w:marBottom w:val="0"/>
      <w:divBdr>
        <w:top w:val="none" w:sz="0" w:space="0" w:color="auto"/>
        <w:left w:val="none" w:sz="0" w:space="0" w:color="auto"/>
        <w:bottom w:val="none" w:sz="0" w:space="0" w:color="auto"/>
        <w:right w:val="none" w:sz="0" w:space="0" w:color="auto"/>
      </w:divBdr>
    </w:div>
    <w:div w:id="1021398007">
      <w:bodyDiv w:val="1"/>
      <w:marLeft w:val="0"/>
      <w:marRight w:val="0"/>
      <w:marTop w:val="0"/>
      <w:marBottom w:val="0"/>
      <w:divBdr>
        <w:top w:val="none" w:sz="0" w:space="0" w:color="auto"/>
        <w:left w:val="none" w:sz="0" w:space="0" w:color="auto"/>
        <w:bottom w:val="none" w:sz="0" w:space="0" w:color="auto"/>
        <w:right w:val="none" w:sz="0" w:space="0" w:color="auto"/>
      </w:divBdr>
    </w:div>
    <w:div w:id="1167743119">
      <w:bodyDiv w:val="1"/>
      <w:marLeft w:val="0"/>
      <w:marRight w:val="0"/>
      <w:marTop w:val="0"/>
      <w:marBottom w:val="0"/>
      <w:divBdr>
        <w:top w:val="none" w:sz="0" w:space="0" w:color="auto"/>
        <w:left w:val="none" w:sz="0" w:space="0" w:color="auto"/>
        <w:bottom w:val="none" w:sz="0" w:space="0" w:color="auto"/>
        <w:right w:val="none" w:sz="0" w:space="0" w:color="auto"/>
      </w:divBdr>
    </w:div>
    <w:div w:id="1245409338">
      <w:bodyDiv w:val="1"/>
      <w:marLeft w:val="0"/>
      <w:marRight w:val="0"/>
      <w:marTop w:val="0"/>
      <w:marBottom w:val="0"/>
      <w:divBdr>
        <w:top w:val="none" w:sz="0" w:space="0" w:color="auto"/>
        <w:left w:val="none" w:sz="0" w:space="0" w:color="auto"/>
        <w:bottom w:val="none" w:sz="0" w:space="0" w:color="auto"/>
        <w:right w:val="none" w:sz="0" w:space="0" w:color="auto"/>
      </w:divBdr>
      <w:divsChild>
        <w:div w:id="194319120">
          <w:marLeft w:val="0"/>
          <w:marRight w:val="0"/>
          <w:marTop w:val="0"/>
          <w:marBottom w:val="0"/>
          <w:divBdr>
            <w:top w:val="none" w:sz="0" w:space="0" w:color="auto"/>
            <w:left w:val="none" w:sz="0" w:space="0" w:color="auto"/>
            <w:bottom w:val="none" w:sz="0" w:space="0" w:color="auto"/>
            <w:right w:val="none" w:sz="0" w:space="0" w:color="auto"/>
          </w:divBdr>
        </w:div>
      </w:divsChild>
    </w:div>
    <w:div w:id="1470634422">
      <w:bodyDiv w:val="1"/>
      <w:marLeft w:val="0"/>
      <w:marRight w:val="0"/>
      <w:marTop w:val="0"/>
      <w:marBottom w:val="0"/>
      <w:divBdr>
        <w:top w:val="none" w:sz="0" w:space="0" w:color="auto"/>
        <w:left w:val="none" w:sz="0" w:space="0" w:color="auto"/>
        <w:bottom w:val="none" w:sz="0" w:space="0" w:color="auto"/>
        <w:right w:val="none" w:sz="0" w:space="0" w:color="auto"/>
      </w:divBdr>
    </w:div>
    <w:div w:id="1643387827">
      <w:bodyDiv w:val="1"/>
      <w:marLeft w:val="0"/>
      <w:marRight w:val="0"/>
      <w:marTop w:val="0"/>
      <w:marBottom w:val="0"/>
      <w:divBdr>
        <w:top w:val="none" w:sz="0" w:space="0" w:color="auto"/>
        <w:left w:val="none" w:sz="0" w:space="0" w:color="auto"/>
        <w:bottom w:val="none" w:sz="0" w:space="0" w:color="auto"/>
        <w:right w:val="none" w:sz="0" w:space="0" w:color="auto"/>
      </w:divBdr>
    </w:div>
    <w:div w:id="1722973078">
      <w:bodyDiv w:val="1"/>
      <w:marLeft w:val="0"/>
      <w:marRight w:val="0"/>
      <w:marTop w:val="0"/>
      <w:marBottom w:val="0"/>
      <w:divBdr>
        <w:top w:val="none" w:sz="0" w:space="0" w:color="auto"/>
        <w:left w:val="none" w:sz="0" w:space="0" w:color="auto"/>
        <w:bottom w:val="none" w:sz="0" w:space="0" w:color="auto"/>
        <w:right w:val="none" w:sz="0" w:space="0" w:color="auto"/>
      </w:divBdr>
    </w:div>
    <w:div w:id="1798252226">
      <w:bodyDiv w:val="1"/>
      <w:marLeft w:val="0"/>
      <w:marRight w:val="0"/>
      <w:marTop w:val="0"/>
      <w:marBottom w:val="0"/>
      <w:divBdr>
        <w:top w:val="none" w:sz="0" w:space="0" w:color="auto"/>
        <w:left w:val="none" w:sz="0" w:space="0" w:color="auto"/>
        <w:bottom w:val="none" w:sz="0" w:space="0" w:color="auto"/>
        <w:right w:val="none" w:sz="0" w:space="0" w:color="auto"/>
      </w:divBdr>
      <w:divsChild>
        <w:div w:id="1263609217">
          <w:marLeft w:val="0"/>
          <w:marRight w:val="0"/>
          <w:marTop w:val="0"/>
          <w:marBottom w:val="0"/>
          <w:divBdr>
            <w:top w:val="none" w:sz="0" w:space="0" w:color="auto"/>
            <w:left w:val="none" w:sz="0" w:space="0" w:color="auto"/>
            <w:bottom w:val="none" w:sz="0" w:space="0" w:color="auto"/>
            <w:right w:val="none" w:sz="0" w:space="0" w:color="auto"/>
          </w:divBdr>
        </w:div>
      </w:divsChild>
    </w:div>
    <w:div w:id="1835535374">
      <w:bodyDiv w:val="1"/>
      <w:marLeft w:val="0"/>
      <w:marRight w:val="0"/>
      <w:marTop w:val="0"/>
      <w:marBottom w:val="0"/>
      <w:divBdr>
        <w:top w:val="none" w:sz="0" w:space="0" w:color="auto"/>
        <w:left w:val="none" w:sz="0" w:space="0" w:color="auto"/>
        <w:bottom w:val="none" w:sz="0" w:space="0" w:color="auto"/>
        <w:right w:val="none" w:sz="0" w:space="0" w:color="auto"/>
      </w:divBdr>
    </w:div>
    <w:div w:id="1900549444">
      <w:bodyDiv w:val="1"/>
      <w:marLeft w:val="0"/>
      <w:marRight w:val="0"/>
      <w:marTop w:val="0"/>
      <w:marBottom w:val="0"/>
      <w:divBdr>
        <w:top w:val="none" w:sz="0" w:space="0" w:color="auto"/>
        <w:left w:val="none" w:sz="0" w:space="0" w:color="auto"/>
        <w:bottom w:val="none" w:sz="0" w:space="0" w:color="auto"/>
        <w:right w:val="none" w:sz="0" w:space="0" w:color="auto"/>
      </w:divBdr>
    </w:div>
    <w:div w:id="20965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frc.org.uk/auditorsresponsibilit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lancsfirerescue.org.uk/wp-content/uploads/2018/04/Integrated-Risk-Management-Pla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sfirerescue.org.uk/wp-content/uploads/2018/04/Integrated-Risk-Management-Pla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lancsfirerescue.org.uk/wp-content/uploads/2018/04/Code-of-Corporate-Governance.pdf"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840C-7FD3-4B84-940C-6A835EB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7564652B</Template>
  <TotalTime>0</TotalTime>
  <Pages>69</Pages>
  <Words>23410</Words>
  <Characters>133443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LANCASHIRE POLICE AUTHORITY</vt:lpstr>
    </vt:vector>
  </TitlesOfParts>
  <Company>Lancashire County Council</Company>
  <LinksUpToDate>false</LinksUpToDate>
  <CharactersWithSpaces>156540</CharactersWithSpaces>
  <SharedDoc>false</SharedDoc>
  <HLinks>
    <vt:vector size="12" baseType="variant">
      <vt:variant>
        <vt:i4>7209068</vt:i4>
      </vt:variant>
      <vt:variant>
        <vt:i4>9</vt:i4>
      </vt:variant>
      <vt:variant>
        <vt:i4>0</vt:i4>
      </vt:variant>
      <vt:variant>
        <vt:i4>5</vt:i4>
      </vt:variant>
      <vt:variant>
        <vt:lpwstr>http://www.lancsfirerescue.org.uk/wp-content/uploads/2011/01/Final-IRMP-sept-update.pdf</vt:lpwstr>
      </vt:variant>
      <vt:variant>
        <vt:lpwstr/>
      </vt:variant>
      <vt:variant>
        <vt:i4>2359411</vt:i4>
      </vt:variant>
      <vt:variant>
        <vt:i4>6</vt:i4>
      </vt:variant>
      <vt:variant>
        <vt:i4>0</vt:i4>
      </vt:variant>
      <vt:variant>
        <vt:i4>5</vt:i4>
      </vt:variant>
      <vt:variant>
        <vt:lpwstr>http://www.lancsfirerescue.org.uk/downloads/policies/organisational/corpgov.pdf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POLICE AUTHORITY</dc:title>
  <dc:creator>Claire Cartmel</dc:creator>
  <cp:lastModifiedBy>SHQ - Mattinson, Keith</cp:lastModifiedBy>
  <cp:revision>2</cp:revision>
  <cp:lastPrinted>2018-07-03T10:32:00Z</cp:lastPrinted>
  <dcterms:created xsi:type="dcterms:W3CDTF">2018-07-25T07:18:00Z</dcterms:created>
  <dcterms:modified xsi:type="dcterms:W3CDTF">2018-07-25T07:18:00Z</dcterms:modified>
</cp:coreProperties>
</file>