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F35F4D" w14:textId="77777777" w:rsidR="008C5335" w:rsidRPr="00042537" w:rsidRDefault="008C5335" w:rsidP="00042537">
      <w:pPr>
        <w:pStyle w:val="Default"/>
        <w:ind w:right="936"/>
        <w:jc w:val="center"/>
        <w:rPr>
          <w:sz w:val="32"/>
          <w:szCs w:val="32"/>
          <w:u w:val="single"/>
        </w:rPr>
      </w:pPr>
    </w:p>
    <w:p w14:paraId="719BF5A5" w14:textId="77777777" w:rsidR="0007389E" w:rsidRDefault="00516433" w:rsidP="00042537">
      <w:pPr>
        <w:jc w:val="center"/>
        <w:rPr>
          <w:rFonts w:ascii="Arial" w:hAnsi="Arial" w:cs="Arial"/>
        </w:rPr>
      </w:pPr>
      <w:r>
        <w:rPr>
          <w:noProof/>
        </w:rPr>
        <w:drawing>
          <wp:anchor distT="0" distB="0" distL="114300" distR="114300" simplePos="0" relativeHeight="251668480" behindDoc="0" locked="0" layoutInCell="1" allowOverlap="1" wp14:anchorId="22F42277" wp14:editId="0ADAEF4C">
            <wp:simplePos x="0" y="0"/>
            <wp:positionH relativeFrom="column">
              <wp:posOffset>1864360</wp:posOffset>
            </wp:positionH>
            <wp:positionV relativeFrom="paragraph">
              <wp:posOffset>3189605</wp:posOffset>
            </wp:positionV>
            <wp:extent cx="1873250" cy="1247775"/>
            <wp:effectExtent l="0" t="0" r="0"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732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2537">
        <w:rPr>
          <w:noProof/>
          <w:sz w:val="32"/>
          <w:szCs w:val="32"/>
          <w:u w:val="single"/>
        </w:rPr>
        <mc:AlternateContent>
          <mc:Choice Requires="wps">
            <w:drawing>
              <wp:anchor distT="0" distB="0" distL="114300" distR="114300" simplePos="0" relativeHeight="251653120" behindDoc="0" locked="0" layoutInCell="1" allowOverlap="1" wp14:anchorId="0C1AF5B4" wp14:editId="0150AB9F">
                <wp:simplePos x="0" y="0"/>
                <wp:positionH relativeFrom="column">
                  <wp:posOffset>988060</wp:posOffset>
                </wp:positionH>
                <wp:positionV relativeFrom="paragraph">
                  <wp:posOffset>4551680</wp:posOffset>
                </wp:positionV>
                <wp:extent cx="3705225" cy="112522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125220"/>
                        </a:xfrm>
                        <a:prstGeom prst="rect">
                          <a:avLst/>
                        </a:prstGeom>
                        <a:solidFill>
                          <a:srgbClr val="FFFFFF"/>
                        </a:solidFill>
                        <a:ln w="9525">
                          <a:noFill/>
                          <a:miter lim="800000"/>
                          <a:headEnd/>
                          <a:tailEnd/>
                        </a:ln>
                      </wps:spPr>
                      <wps:txbx>
                        <w:txbxContent>
                          <w:p w14:paraId="5BE6328C" w14:textId="77777777" w:rsidR="00042537" w:rsidRDefault="00042537" w:rsidP="00042537">
                            <w:pPr>
                              <w:pStyle w:val="Heading1"/>
                              <w:jc w:val="center"/>
                            </w:pPr>
                            <w:r w:rsidRPr="00042537">
                              <w:t>Annual Statement of Assurance 2018-19</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C1AF5B4" id="_x0000_t202" coordsize="21600,21600" o:spt="202" path="m,l,21600r21600,l21600,xe">
                <v:stroke joinstyle="miter"/>
                <v:path gradientshapeok="t" o:connecttype="rect"/>
              </v:shapetype>
              <v:shape id="Text Box 2" o:spid="_x0000_s1026" type="#_x0000_t202" style="position:absolute;left:0;text-align:left;margin-left:77.8pt;margin-top:358.4pt;width:291.75pt;height:88.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" stroked="f">
                <v:textbox>
                  <w:txbxContent>
                    <w:p w14:paraId="5BE6328C" w14:textId="77777777" w:rsidR="00042537" w:rsidRDefault="00042537" w:rsidP="00042537">
                      <w:pPr>
                        <w:pStyle w:val="Heading1"/>
                        <w:jc w:val="center"/>
                      </w:pPr>
                      <w:r w:rsidRPr="00042537">
                        <w:t>Annual Statement of Assurance 2018-19</w:t>
                      </w:r>
                    </w:p>
                  </w:txbxContent>
                </v:textbox>
              </v:shape>
            </w:pict>
          </mc:Fallback>
        </mc:AlternateContent>
      </w:r>
      <w:r w:rsidR="0007389E">
        <w:rPr>
          <w:rFonts w:ascii="Arial" w:hAnsi="Arial" w:cs="Arial"/>
        </w:rPr>
        <w:br w:type="page"/>
      </w:r>
    </w:p>
    <w:p w14:paraId="072BB1B5" w14:textId="29835CAD" w:rsidR="00BF01C1" w:rsidRDefault="004E6D1E" w:rsidP="00F530B0">
      <w:pPr>
        <w:pStyle w:val="TOC1"/>
        <w:tabs>
          <w:tab w:val="right" w:leader="dot" w:pos="9540"/>
        </w:tabs>
        <w:rPr>
          <w:rFonts w:cstheme="minorBidi"/>
          <w:noProof/>
        </w:rPr>
      </w:pPr>
      <w:r w:rsidRPr="00897ECD">
        <w:rPr>
          <w:rFonts w:ascii="Arial" w:hAnsi="Arial" w:cs="Arial"/>
        </w:rPr>
        <w:lastRenderedPageBreak/>
        <w:fldChar w:fldCharType="begin"/>
      </w:r>
      <w:r w:rsidRPr="00897ECD">
        <w:rPr>
          <w:rFonts w:ascii="Arial" w:hAnsi="Arial" w:cs="Arial"/>
        </w:rPr>
        <w:instrText xml:space="preserve"> TOC \o "1-3" \h \z \u </w:instrText>
      </w:r>
      <w:r w:rsidRPr="00897ECD">
        <w:rPr>
          <w:rFonts w:ascii="Arial" w:hAnsi="Arial" w:cs="Arial"/>
        </w:rPr>
        <w:fldChar w:fldCharType="separate"/>
      </w:r>
      <w:hyperlink w:anchor="_Toc21616109" w:history="1">
        <w:r w:rsidR="00BF01C1" w:rsidRPr="00B6396F">
          <w:rPr>
            <w:rStyle w:val="Hyperlink"/>
            <w:rFonts w:ascii="Arial" w:hAnsi="Arial" w:cs="Arial"/>
            <w:noProof/>
          </w:rPr>
          <w:t>1. Introduction</w:t>
        </w:r>
        <w:r w:rsidR="00BF01C1">
          <w:rPr>
            <w:noProof/>
            <w:webHidden/>
          </w:rPr>
          <w:tab/>
        </w:r>
        <w:r w:rsidR="00BF01C1">
          <w:rPr>
            <w:noProof/>
            <w:webHidden/>
          </w:rPr>
          <w:fldChar w:fldCharType="begin"/>
        </w:r>
        <w:r w:rsidR="00BF01C1">
          <w:rPr>
            <w:noProof/>
            <w:webHidden/>
          </w:rPr>
          <w:instrText xml:space="preserve"> PAGEREF _Toc21616109 \h </w:instrText>
        </w:r>
        <w:r w:rsidR="00BF01C1">
          <w:rPr>
            <w:noProof/>
            <w:webHidden/>
          </w:rPr>
        </w:r>
        <w:r w:rsidR="00BF01C1">
          <w:rPr>
            <w:noProof/>
            <w:webHidden/>
          </w:rPr>
          <w:fldChar w:fldCharType="separate"/>
        </w:r>
        <w:r w:rsidR="00B602CB">
          <w:rPr>
            <w:noProof/>
            <w:webHidden/>
          </w:rPr>
          <w:t>3</w:t>
        </w:r>
        <w:r w:rsidR="00BF01C1">
          <w:rPr>
            <w:noProof/>
            <w:webHidden/>
          </w:rPr>
          <w:fldChar w:fldCharType="end"/>
        </w:r>
      </w:hyperlink>
    </w:p>
    <w:p w14:paraId="324D1C7C" w14:textId="4D5FA5D7" w:rsidR="00BF01C1" w:rsidRDefault="00B602CB" w:rsidP="00F530B0">
      <w:pPr>
        <w:pStyle w:val="TOC2"/>
        <w:tabs>
          <w:tab w:val="right" w:leader="dot" w:pos="9540"/>
        </w:tabs>
        <w:rPr>
          <w:rFonts w:cstheme="minorBidi"/>
          <w:noProof/>
        </w:rPr>
      </w:pPr>
      <w:hyperlink w:anchor="_Toc21616110" w:history="1">
        <w:r w:rsidR="00BF01C1" w:rsidRPr="00B6396F">
          <w:rPr>
            <w:rStyle w:val="Hyperlink"/>
            <w:rFonts w:ascii="Arial" w:hAnsi="Arial" w:cs="Arial"/>
            <w:noProof/>
          </w:rPr>
          <w:t>Lancashire Combined Fire Authority</w:t>
        </w:r>
        <w:r w:rsidR="00BF01C1">
          <w:rPr>
            <w:noProof/>
            <w:webHidden/>
          </w:rPr>
          <w:tab/>
        </w:r>
        <w:r w:rsidR="00BF01C1">
          <w:rPr>
            <w:noProof/>
            <w:webHidden/>
          </w:rPr>
          <w:fldChar w:fldCharType="begin"/>
        </w:r>
        <w:r w:rsidR="00BF01C1">
          <w:rPr>
            <w:noProof/>
            <w:webHidden/>
          </w:rPr>
          <w:instrText xml:space="preserve"> PAGEREF _Toc21616110 \h </w:instrText>
        </w:r>
        <w:r w:rsidR="00BF01C1">
          <w:rPr>
            <w:noProof/>
            <w:webHidden/>
          </w:rPr>
        </w:r>
        <w:r w:rsidR="00BF01C1">
          <w:rPr>
            <w:noProof/>
            <w:webHidden/>
          </w:rPr>
          <w:fldChar w:fldCharType="separate"/>
        </w:r>
        <w:r>
          <w:rPr>
            <w:noProof/>
            <w:webHidden/>
          </w:rPr>
          <w:t>3</w:t>
        </w:r>
        <w:r w:rsidR="00BF01C1">
          <w:rPr>
            <w:noProof/>
            <w:webHidden/>
          </w:rPr>
          <w:fldChar w:fldCharType="end"/>
        </w:r>
      </w:hyperlink>
    </w:p>
    <w:p w14:paraId="534A8F92" w14:textId="22D4B187" w:rsidR="00BF01C1" w:rsidRDefault="00B602CB" w:rsidP="00F530B0">
      <w:pPr>
        <w:pStyle w:val="TOC2"/>
        <w:tabs>
          <w:tab w:val="right" w:leader="dot" w:pos="9540"/>
        </w:tabs>
        <w:rPr>
          <w:rFonts w:cstheme="minorBidi"/>
          <w:noProof/>
        </w:rPr>
      </w:pPr>
      <w:hyperlink w:anchor="_Toc21616111" w:history="1">
        <w:r w:rsidR="00BF01C1" w:rsidRPr="00B6396F">
          <w:rPr>
            <w:rStyle w:val="Hyperlink"/>
            <w:rFonts w:ascii="Arial" w:hAnsi="Arial" w:cs="Arial"/>
            <w:noProof/>
          </w:rPr>
          <w:t>The County of Lancashire</w:t>
        </w:r>
        <w:r w:rsidR="00BF01C1">
          <w:rPr>
            <w:noProof/>
            <w:webHidden/>
          </w:rPr>
          <w:tab/>
        </w:r>
        <w:r w:rsidR="00BF01C1">
          <w:rPr>
            <w:noProof/>
            <w:webHidden/>
          </w:rPr>
          <w:fldChar w:fldCharType="begin"/>
        </w:r>
        <w:r w:rsidR="00BF01C1">
          <w:rPr>
            <w:noProof/>
            <w:webHidden/>
          </w:rPr>
          <w:instrText xml:space="preserve"> PAGEREF _Toc21616111 \h </w:instrText>
        </w:r>
        <w:r w:rsidR="00BF01C1">
          <w:rPr>
            <w:noProof/>
            <w:webHidden/>
          </w:rPr>
        </w:r>
        <w:r w:rsidR="00BF01C1">
          <w:rPr>
            <w:noProof/>
            <w:webHidden/>
          </w:rPr>
          <w:fldChar w:fldCharType="separate"/>
        </w:r>
        <w:r>
          <w:rPr>
            <w:noProof/>
            <w:webHidden/>
          </w:rPr>
          <w:t>4</w:t>
        </w:r>
        <w:r w:rsidR="00BF01C1">
          <w:rPr>
            <w:noProof/>
            <w:webHidden/>
          </w:rPr>
          <w:fldChar w:fldCharType="end"/>
        </w:r>
      </w:hyperlink>
    </w:p>
    <w:p w14:paraId="6E72BBAA" w14:textId="4B89A749" w:rsidR="00BF01C1" w:rsidRDefault="00B602CB" w:rsidP="00F530B0">
      <w:pPr>
        <w:pStyle w:val="TOC2"/>
        <w:tabs>
          <w:tab w:val="right" w:leader="dot" w:pos="9540"/>
        </w:tabs>
        <w:rPr>
          <w:rFonts w:cstheme="minorBidi"/>
          <w:noProof/>
        </w:rPr>
      </w:pPr>
      <w:hyperlink w:anchor="_Toc21616112" w:history="1">
        <w:r w:rsidR="00BF01C1" w:rsidRPr="00B6396F">
          <w:rPr>
            <w:rStyle w:val="Hyperlink"/>
            <w:rFonts w:ascii="Arial" w:hAnsi="Arial" w:cs="Arial"/>
            <w:noProof/>
          </w:rPr>
          <w:t>Lancashire Fire and Rescue Service (LFRS)</w:t>
        </w:r>
        <w:r w:rsidR="00BF01C1">
          <w:rPr>
            <w:noProof/>
            <w:webHidden/>
          </w:rPr>
          <w:tab/>
        </w:r>
        <w:r w:rsidR="00BF01C1">
          <w:rPr>
            <w:noProof/>
            <w:webHidden/>
          </w:rPr>
          <w:fldChar w:fldCharType="begin"/>
        </w:r>
        <w:r w:rsidR="00BF01C1">
          <w:rPr>
            <w:noProof/>
            <w:webHidden/>
          </w:rPr>
          <w:instrText xml:space="preserve"> PAGEREF _Toc21616112 \h </w:instrText>
        </w:r>
        <w:r w:rsidR="00BF01C1">
          <w:rPr>
            <w:noProof/>
            <w:webHidden/>
          </w:rPr>
        </w:r>
        <w:r w:rsidR="00BF01C1">
          <w:rPr>
            <w:noProof/>
            <w:webHidden/>
          </w:rPr>
          <w:fldChar w:fldCharType="separate"/>
        </w:r>
        <w:r>
          <w:rPr>
            <w:noProof/>
            <w:webHidden/>
          </w:rPr>
          <w:t>5</w:t>
        </w:r>
        <w:r w:rsidR="00BF01C1">
          <w:rPr>
            <w:noProof/>
            <w:webHidden/>
          </w:rPr>
          <w:fldChar w:fldCharType="end"/>
        </w:r>
      </w:hyperlink>
    </w:p>
    <w:p w14:paraId="42964A9D" w14:textId="03287B73" w:rsidR="00BF01C1" w:rsidRDefault="00B602CB" w:rsidP="00F530B0">
      <w:pPr>
        <w:pStyle w:val="TOC1"/>
        <w:tabs>
          <w:tab w:val="right" w:leader="dot" w:pos="9540"/>
        </w:tabs>
        <w:rPr>
          <w:rFonts w:cstheme="minorBidi"/>
          <w:noProof/>
        </w:rPr>
      </w:pPr>
      <w:hyperlink w:anchor="_Toc21616113" w:history="1">
        <w:r w:rsidR="00BF01C1" w:rsidRPr="00B6396F">
          <w:rPr>
            <w:rStyle w:val="Hyperlink"/>
            <w:rFonts w:ascii="Arial" w:hAnsi="Arial" w:cs="Arial"/>
            <w:noProof/>
          </w:rPr>
          <w:t>2. Financial Assurance</w:t>
        </w:r>
        <w:r w:rsidR="00BF01C1">
          <w:rPr>
            <w:noProof/>
            <w:webHidden/>
          </w:rPr>
          <w:tab/>
        </w:r>
        <w:r w:rsidR="00BF01C1">
          <w:rPr>
            <w:noProof/>
            <w:webHidden/>
          </w:rPr>
          <w:fldChar w:fldCharType="begin"/>
        </w:r>
        <w:r w:rsidR="00BF01C1">
          <w:rPr>
            <w:noProof/>
            <w:webHidden/>
          </w:rPr>
          <w:instrText xml:space="preserve"> PAGEREF _Toc21616113 \h </w:instrText>
        </w:r>
        <w:r w:rsidR="00BF01C1">
          <w:rPr>
            <w:noProof/>
            <w:webHidden/>
          </w:rPr>
        </w:r>
        <w:r w:rsidR="00BF01C1">
          <w:rPr>
            <w:noProof/>
            <w:webHidden/>
          </w:rPr>
          <w:fldChar w:fldCharType="separate"/>
        </w:r>
        <w:r>
          <w:rPr>
            <w:noProof/>
            <w:webHidden/>
          </w:rPr>
          <w:t>6</w:t>
        </w:r>
        <w:r w:rsidR="00BF01C1">
          <w:rPr>
            <w:noProof/>
            <w:webHidden/>
          </w:rPr>
          <w:fldChar w:fldCharType="end"/>
        </w:r>
      </w:hyperlink>
    </w:p>
    <w:p w14:paraId="1AB94B92" w14:textId="0BA2D74A" w:rsidR="00BF01C1" w:rsidRDefault="00B602CB" w:rsidP="00F530B0">
      <w:pPr>
        <w:pStyle w:val="TOC1"/>
        <w:tabs>
          <w:tab w:val="right" w:leader="dot" w:pos="9540"/>
        </w:tabs>
        <w:rPr>
          <w:rFonts w:cstheme="minorBidi"/>
          <w:noProof/>
        </w:rPr>
      </w:pPr>
      <w:hyperlink w:anchor="_Toc21616114" w:history="1">
        <w:r w:rsidR="00BF01C1" w:rsidRPr="00B6396F">
          <w:rPr>
            <w:rStyle w:val="Hyperlink"/>
            <w:rFonts w:ascii="Arial" w:hAnsi="Arial" w:cs="Arial"/>
            <w:noProof/>
          </w:rPr>
          <w:t>3. Assurance on Governance</w:t>
        </w:r>
        <w:r w:rsidR="00BF01C1">
          <w:rPr>
            <w:noProof/>
            <w:webHidden/>
          </w:rPr>
          <w:tab/>
        </w:r>
        <w:r w:rsidR="00BF01C1">
          <w:rPr>
            <w:noProof/>
            <w:webHidden/>
          </w:rPr>
          <w:fldChar w:fldCharType="begin"/>
        </w:r>
        <w:r w:rsidR="00BF01C1">
          <w:rPr>
            <w:noProof/>
            <w:webHidden/>
          </w:rPr>
          <w:instrText xml:space="preserve"> PAGEREF _Toc21616114 \h </w:instrText>
        </w:r>
        <w:r w:rsidR="00BF01C1">
          <w:rPr>
            <w:noProof/>
            <w:webHidden/>
          </w:rPr>
        </w:r>
        <w:r w:rsidR="00BF01C1">
          <w:rPr>
            <w:noProof/>
            <w:webHidden/>
          </w:rPr>
          <w:fldChar w:fldCharType="separate"/>
        </w:r>
        <w:r>
          <w:rPr>
            <w:noProof/>
            <w:webHidden/>
          </w:rPr>
          <w:t>7</w:t>
        </w:r>
        <w:r w:rsidR="00BF01C1">
          <w:rPr>
            <w:noProof/>
            <w:webHidden/>
          </w:rPr>
          <w:fldChar w:fldCharType="end"/>
        </w:r>
      </w:hyperlink>
    </w:p>
    <w:p w14:paraId="5194CE0B" w14:textId="3D654235" w:rsidR="00BF01C1" w:rsidRDefault="00B602CB" w:rsidP="00F530B0">
      <w:pPr>
        <w:pStyle w:val="TOC1"/>
        <w:tabs>
          <w:tab w:val="right" w:leader="dot" w:pos="9540"/>
        </w:tabs>
        <w:rPr>
          <w:rFonts w:cstheme="minorBidi"/>
          <w:noProof/>
        </w:rPr>
      </w:pPr>
      <w:hyperlink w:anchor="_Toc21616115" w:history="1">
        <w:r w:rsidR="00BF01C1" w:rsidRPr="00B6396F">
          <w:rPr>
            <w:rStyle w:val="Hyperlink"/>
            <w:rFonts w:ascii="Arial" w:hAnsi="Arial" w:cs="Arial"/>
            <w:noProof/>
          </w:rPr>
          <w:t>4. Operational Assurance</w:t>
        </w:r>
        <w:r w:rsidR="00BF01C1">
          <w:rPr>
            <w:noProof/>
            <w:webHidden/>
          </w:rPr>
          <w:tab/>
        </w:r>
        <w:r w:rsidR="00BF01C1">
          <w:rPr>
            <w:noProof/>
            <w:webHidden/>
          </w:rPr>
          <w:fldChar w:fldCharType="begin"/>
        </w:r>
        <w:r w:rsidR="00BF01C1">
          <w:rPr>
            <w:noProof/>
            <w:webHidden/>
          </w:rPr>
          <w:instrText xml:space="preserve"> PAGEREF _Toc21616115 \h </w:instrText>
        </w:r>
        <w:r w:rsidR="00BF01C1">
          <w:rPr>
            <w:noProof/>
            <w:webHidden/>
          </w:rPr>
        </w:r>
        <w:r w:rsidR="00BF01C1">
          <w:rPr>
            <w:noProof/>
            <w:webHidden/>
          </w:rPr>
          <w:fldChar w:fldCharType="separate"/>
        </w:r>
        <w:r>
          <w:rPr>
            <w:noProof/>
            <w:webHidden/>
          </w:rPr>
          <w:t>8</w:t>
        </w:r>
        <w:r w:rsidR="00BF01C1">
          <w:rPr>
            <w:noProof/>
            <w:webHidden/>
          </w:rPr>
          <w:fldChar w:fldCharType="end"/>
        </w:r>
      </w:hyperlink>
    </w:p>
    <w:p w14:paraId="54B16A11" w14:textId="3E090F30" w:rsidR="00BF01C1" w:rsidRDefault="00B602CB" w:rsidP="00F530B0">
      <w:pPr>
        <w:pStyle w:val="TOC2"/>
        <w:tabs>
          <w:tab w:val="right" w:leader="dot" w:pos="9540"/>
        </w:tabs>
        <w:rPr>
          <w:rFonts w:cstheme="minorBidi"/>
          <w:noProof/>
        </w:rPr>
      </w:pPr>
      <w:hyperlink w:anchor="_Toc21616116" w:history="1">
        <w:r w:rsidR="00BF01C1" w:rsidRPr="00B6396F">
          <w:rPr>
            <w:rStyle w:val="Hyperlink"/>
            <w:rFonts w:ascii="Arial" w:hAnsi="Arial" w:cs="Arial"/>
            <w:noProof/>
          </w:rPr>
          <w:t>Integrated Risk Management Plan (IRMP)</w:t>
        </w:r>
        <w:r w:rsidR="00BF01C1">
          <w:rPr>
            <w:noProof/>
            <w:webHidden/>
          </w:rPr>
          <w:tab/>
        </w:r>
        <w:r w:rsidR="00BF01C1">
          <w:rPr>
            <w:noProof/>
            <w:webHidden/>
          </w:rPr>
          <w:fldChar w:fldCharType="begin"/>
        </w:r>
        <w:r w:rsidR="00BF01C1">
          <w:rPr>
            <w:noProof/>
            <w:webHidden/>
          </w:rPr>
          <w:instrText xml:space="preserve"> PAGEREF _Toc21616116 \h </w:instrText>
        </w:r>
        <w:r w:rsidR="00BF01C1">
          <w:rPr>
            <w:noProof/>
            <w:webHidden/>
          </w:rPr>
        </w:r>
        <w:r w:rsidR="00BF01C1">
          <w:rPr>
            <w:noProof/>
            <w:webHidden/>
          </w:rPr>
          <w:fldChar w:fldCharType="separate"/>
        </w:r>
        <w:r>
          <w:rPr>
            <w:noProof/>
            <w:webHidden/>
          </w:rPr>
          <w:t>9</w:t>
        </w:r>
        <w:r w:rsidR="00BF01C1">
          <w:rPr>
            <w:noProof/>
            <w:webHidden/>
          </w:rPr>
          <w:fldChar w:fldCharType="end"/>
        </w:r>
      </w:hyperlink>
    </w:p>
    <w:p w14:paraId="353EE17F" w14:textId="01E93331" w:rsidR="00BF01C1" w:rsidRDefault="00B602CB" w:rsidP="00F530B0">
      <w:pPr>
        <w:pStyle w:val="TOC3"/>
        <w:tabs>
          <w:tab w:val="right" w:leader="dot" w:pos="9540"/>
        </w:tabs>
        <w:rPr>
          <w:rFonts w:cstheme="minorBidi"/>
          <w:noProof/>
        </w:rPr>
      </w:pPr>
      <w:hyperlink w:anchor="_Toc21616117" w:history="1">
        <w:r w:rsidR="00BF01C1" w:rsidRPr="00B6396F">
          <w:rPr>
            <w:rStyle w:val="Hyperlink"/>
            <w:rFonts w:ascii="Arial" w:hAnsi="Arial" w:cs="Arial"/>
            <w:i/>
            <w:noProof/>
          </w:rPr>
          <w:t>Planning &amp; Performance</w:t>
        </w:r>
        <w:r w:rsidR="00BF01C1">
          <w:rPr>
            <w:noProof/>
            <w:webHidden/>
          </w:rPr>
          <w:tab/>
        </w:r>
        <w:r w:rsidR="00BF01C1">
          <w:rPr>
            <w:noProof/>
            <w:webHidden/>
          </w:rPr>
          <w:fldChar w:fldCharType="begin"/>
        </w:r>
        <w:r w:rsidR="00BF01C1">
          <w:rPr>
            <w:noProof/>
            <w:webHidden/>
          </w:rPr>
          <w:instrText xml:space="preserve"> PAGEREF _Toc21616117 \h </w:instrText>
        </w:r>
        <w:r w:rsidR="00BF01C1">
          <w:rPr>
            <w:noProof/>
            <w:webHidden/>
          </w:rPr>
        </w:r>
        <w:r w:rsidR="00BF01C1">
          <w:rPr>
            <w:noProof/>
            <w:webHidden/>
          </w:rPr>
          <w:fldChar w:fldCharType="separate"/>
        </w:r>
        <w:r>
          <w:rPr>
            <w:noProof/>
            <w:webHidden/>
          </w:rPr>
          <w:t>9</w:t>
        </w:r>
        <w:r w:rsidR="00BF01C1">
          <w:rPr>
            <w:noProof/>
            <w:webHidden/>
          </w:rPr>
          <w:fldChar w:fldCharType="end"/>
        </w:r>
      </w:hyperlink>
    </w:p>
    <w:p w14:paraId="485D9E60" w14:textId="236DF7B6" w:rsidR="00BF01C1" w:rsidRDefault="00B602CB" w:rsidP="00F530B0">
      <w:pPr>
        <w:pStyle w:val="TOC3"/>
        <w:tabs>
          <w:tab w:val="right" w:leader="dot" w:pos="9540"/>
        </w:tabs>
        <w:rPr>
          <w:rFonts w:cstheme="minorBidi"/>
          <w:noProof/>
        </w:rPr>
      </w:pPr>
      <w:hyperlink w:anchor="_Toc21616118" w:history="1">
        <w:r w:rsidR="00BF01C1" w:rsidRPr="00B6396F">
          <w:rPr>
            <w:rStyle w:val="Hyperlink"/>
            <w:rFonts w:ascii="Arial" w:hAnsi="Arial" w:cs="Arial"/>
            <w:i/>
            <w:noProof/>
          </w:rPr>
          <w:t>Consultation</w:t>
        </w:r>
        <w:r w:rsidR="00BF01C1">
          <w:rPr>
            <w:noProof/>
            <w:webHidden/>
          </w:rPr>
          <w:tab/>
        </w:r>
        <w:r w:rsidR="00BF01C1">
          <w:rPr>
            <w:noProof/>
            <w:webHidden/>
          </w:rPr>
          <w:fldChar w:fldCharType="begin"/>
        </w:r>
        <w:r w:rsidR="00BF01C1">
          <w:rPr>
            <w:noProof/>
            <w:webHidden/>
          </w:rPr>
          <w:instrText xml:space="preserve"> PAGEREF _Toc21616118 \h </w:instrText>
        </w:r>
        <w:r w:rsidR="00BF01C1">
          <w:rPr>
            <w:noProof/>
            <w:webHidden/>
          </w:rPr>
        </w:r>
        <w:r w:rsidR="00BF01C1">
          <w:rPr>
            <w:noProof/>
            <w:webHidden/>
          </w:rPr>
          <w:fldChar w:fldCharType="separate"/>
        </w:r>
        <w:r>
          <w:rPr>
            <w:noProof/>
            <w:webHidden/>
          </w:rPr>
          <w:t>9</w:t>
        </w:r>
        <w:r w:rsidR="00BF01C1">
          <w:rPr>
            <w:noProof/>
            <w:webHidden/>
          </w:rPr>
          <w:fldChar w:fldCharType="end"/>
        </w:r>
      </w:hyperlink>
    </w:p>
    <w:p w14:paraId="4A91AF87" w14:textId="3222D373" w:rsidR="00BF01C1" w:rsidRDefault="00B602CB" w:rsidP="00F530B0">
      <w:pPr>
        <w:pStyle w:val="TOC3"/>
        <w:tabs>
          <w:tab w:val="right" w:leader="dot" w:pos="9540"/>
        </w:tabs>
        <w:rPr>
          <w:rFonts w:cstheme="minorBidi"/>
          <w:noProof/>
        </w:rPr>
      </w:pPr>
      <w:hyperlink w:anchor="_Toc21616119" w:history="1">
        <w:r w:rsidR="00BF01C1" w:rsidRPr="00B6396F">
          <w:rPr>
            <w:rStyle w:val="Hyperlink"/>
            <w:rFonts w:ascii="Arial" w:hAnsi="Arial" w:cs="Arial"/>
            <w:i/>
            <w:noProof/>
          </w:rPr>
          <w:t>Community Risk Management</w:t>
        </w:r>
        <w:r w:rsidR="00BF01C1">
          <w:rPr>
            <w:noProof/>
            <w:webHidden/>
          </w:rPr>
          <w:tab/>
        </w:r>
        <w:r w:rsidR="00BF01C1">
          <w:rPr>
            <w:noProof/>
            <w:webHidden/>
          </w:rPr>
          <w:fldChar w:fldCharType="begin"/>
        </w:r>
        <w:r w:rsidR="00BF01C1">
          <w:rPr>
            <w:noProof/>
            <w:webHidden/>
          </w:rPr>
          <w:instrText xml:space="preserve"> PAGEREF _Toc21616119 \h </w:instrText>
        </w:r>
        <w:r w:rsidR="00BF01C1">
          <w:rPr>
            <w:noProof/>
            <w:webHidden/>
          </w:rPr>
        </w:r>
        <w:r w:rsidR="00BF01C1">
          <w:rPr>
            <w:noProof/>
            <w:webHidden/>
          </w:rPr>
          <w:fldChar w:fldCharType="separate"/>
        </w:r>
        <w:r>
          <w:rPr>
            <w:noProof/>
            <w:webHidden/>
          </w:rPr>
          <w:t>10</w:t>
        </w:r>
        <w:r w:rsidR="00BF01C1">
          <w:rPr>
            <w:noProof/>
            <w:webHidden/>
          </w:rPr>
          <w:fldChar w:fldCharType="end"/>
        </w:r>
      </w:hyperlink>
    </w:p>
    <w:p w14:paraId="5207A209" w14:textId="6D26615E" w:rsidR="00BF01C1" w:rsidRDefault="00B602CB" w:rsidP="00F530B0">
      <w:pPr>
        <w:pStyle w:val="TOC2"/>
        <w:tabs>
          <w:tab w:val="right" w:leader="dot" w:pos="9540"/>
        </w:tabs>
        <w:rPr>
          <w:rFonts w:cstheme="minorBidi"/>
          <w:noProof/>
        </w:rPr>
      </w:pPr>
      <w:hyperlink w:anchor="_Toc21616120" w:history="1">
        <w:r w:rsidR="00BF01C1" w:rsidRPr="00B6396F">
          <w:rPr>
            <w:rStyle w:val="Hyperlink"/>
            <w:rFonts w:ascii="Arial" w:eastAsiaTheme="majorEastAsia" w:hAnsi="Arial" w:cs="Arial"/>
            <w:b/>
            <w:bCs/>
            <w:i/>
            <w:iCs/>
            <w:noProof/>
          </w:rPr>
          <w:t>Prevention, Protection and Response</w:t>
        </w:r>
        <w:r w:rsidR="00BF01C1">
          <w:rPr>
            <w:noProof/>
            <w:webHidden/>
          </w:rPr>
          <w:tab/>
        </w:r>
        <w:r w:rsidR="00BF01C1">
          <w:rPr>
            <w:noProof/>
            <w:webHidden/>
          </w:rPr>
          <w:fldChar w:fldCharType="begin"/>
        </w:r>
        <w:r w:rsidR="00BF01C1">
          <w:rPr>
            <w:noProof/>
            <w:webHidden/>
          </w:rPr>
          <w:instrText xml:space="preserve"> PAGEREF _Toc21616120 \h </w:instrText>
        </w:r>
        <w:r w:rsidR="00BF01C1">
          <w:rPr>
            <w:noProof/>
            <w:webHidden/>
          </w:rPr>
        </w:r>
        <w:r w:rsidR="00BF01C1">
          <w:rPr>
            <w:noProof/>
            <w:webHidden/>
          </w:rPr>
          <w:fldChar w:fldCharType="separate"/>
        </w:r>
        <w:r>
          <w:rPr>
            <w:noProof/>
            <w:webHidden/>
          </w:rPr>
          <w:t>11</w:t>
        </w:r>
        <w:r w:rsidR="00BF01C1">
          <w:rPr>
            <w:noProof/>
            <w:webHidden/>
          </w:rPr>
          <w:fldChar w:fldCharType="end"/>
        </w:r>
      </w:hyperlink>
    </w:p>
    <w:p w14:paraId="09E024DD" w14:textId="6092B9D6" w:rsidR="00BF01C1" w:rsidRDefault="00B602CB" w:rsidP="00F530B0">
      <w:pPr>
        <w:pStyle w:val="TOC3"/>
        <w:tabs>
          <w:tab w:val="right" w:leader="dot" w:pos="9540"/>
        </w:tabs>
        <w:rPr>
          <w:rFonts w:cstheme="minorBidi"/>
          <w:noProof/>
        </w:rPr>
      </w:pPr>
      <w:hyperlink w:anchor="_Toc21616121" w:history="1">
        <w:r w:rsidR="00BF01C1" w:rsidRPr="00B6396F">
          <w:rPr>
            <w:rStyle w:val="Hyperlink"/>
            <w:rFonts w:ascii="Arial" w:hAnsi="Arial" w:cs="Arial"/>
            <w:i/>
            <w:noProof/>
          </w:rPr>
          <w:t>Mutual Aid Agreements</w:t>
        </w:r>
        <w:r w:rsidR="00BF01C1">
          <w:rPr>
            <w:noProof/>
            <w:webHidden/>
          </w:rPr>
          <w:tab/>
        </w:r>
        <w:r w:rsidR="00BF01C1">
          <w:rPr>
            <w:noProof/>
            <w:webHidden/>
          </w:rPr>
          <w:fldChar w:fldCharType="begin"/>
        </w:r>
        <w:r w:rsidR="00BF01C1">
          <w:rPr>
            <w:noProof/>
            <w:webHidden/>
          </w:rPr>
          <w:instrText xml:space="preserve"> PAGEREF _Toc21616121 \h </w:instrText>
        </w:r>
        <w:r w:rsidR="00BF01C1">
          <w:rPr>
            <w:noProof/>
            <w:webHidden/>
          </w:rPr>
        </w:r>
        <w:r w:rsidR="00BF01C1">
          <w:rPr>
            <w:noProof/>
            <w:webHidden/>
          </w:rPr>
          <w:fldChar w:fldCharType="separate"/>
        </w:r>
        <w:r>
          <w:rPr>
            <w:noProof/>
            <w:webHidden/>
          </w:rPr>
          <w:t>11</w:t>
        </w:r>
        <w:r w:rsidR="00BF01C1">
          <w:rPr>
            <w:noProof/>
            <w:webHidden/>
          </w:rPr>
          <w:fldChar w:fldCharType="end"/>
        </w:r>
      </w:hyperlink>
    </w:p>
    <w:p w14:paraId="76F2F3D8" w14:textId="56DBCF39" w:rsidR="00BF01C1" w:rsidRDefault="00B602CB" w:rsidP="00F530B0">
      <w:pPr>
        <w:pStyle w:val="TOC3"/>
        <w:tabs>
          <w:tab w:val="right" w:leader="dot" w:pos="9540"/>
        </w:tabs>
        <w:rPr>
          <w:rFonts w:cstheme="minorBidi"/>
          <w:noProof/>
        </w:rPr>
      </w:pPr>
      <w:hyperlink w:anchor="_Toc21616122" w:history="1">
        <w:r w:rsidR="00BF01C1" w:rsidRPr="00B6396F">
          <w:rPr>
            <w:rStyle w:val="Hyperlink"/>
            <w:rFonts w:ascii="Arial" w:hAnsi="Arial" w:cs="Arial"/>
            <w:i/>
            <w:noProof/>
          </w:rPr>
          <w:t>National Resilience</w:t>
        </w:r>
        <w:r w:rsidR="00BF01C1">
          <w:rPr>
            <w:noProof/>
            <w:webHidden/>
          </w:rPr>
          <w:tab/>
        </w:r>
        <w:r w:rsidR="00BF01C1">
          <w:rPr>
            <w:noProof/>
            <w:webHidden/>
          </w:rPr>
          <w:fldChar w:fldCharType="begin"/>
        </w:r>
        <w:r w:rsidR="00BF01C1">
          <w:rPr>
            <w:noProof/>
            <w:webHidden/>
          </w:rPr>
          <w:instrText xml:space="preserve"> PAGEREF _Toc21616122 \h </w:instrText>
        </w:r>
        <w:r w:rsidR="00BF01C1">
          <w:rPr>
            <w:noProof/>
            <w:webHidden/>
          </w:rPr>
        </w:r>
        <w:r w:rsidR="00BF01C1">
          <w:rPr>
            <w:noProof/>
            <w:webHidden/>
          </w:rPr>
          <w:fldChar w:fldCharType="separate"/>
        </w:r>
        <w:r>
          <w:rPr>
            <w:noProof/>
            <w:webHidden/>
          </w:rPr>
          <w:t>11</w:t>
        </w:r>
        <w:r w:rsidR="00BF01C1">
          <w:rPr>
            <w:noProof/>
            <w:webHidden/>
          </w:rPr>
          <w:fldChar w:fldCharType="end"/>
        </w:r>
      </w:hyperlink>
    </w:p>
    <w:p w14:paraId="6181A332" w14:textId="0DED7C15" w:rsidR="00BF01C1" w:rsidRDefault="00B602CB" w:rsidP="00F530B0">
      <w:pPr>
        <w:pStyle w:val="TOC3"/>
        <w:tabs>
          <w:tab w:val="right" w:leader="dot" w:pos="9540"/>
        </w:tabs>
        <w:rPr>
          <w:rFonts w:cstheme="minorBidi"/>
          <w:noProof/>
        </w:rPr>
      </w:pPr>
      <w:hyperlink w:anchor="_Toc21616123" w:history="1">
        <w:r w:rsidR="00BF01C1" w:rsidRPr="00B6396F">
          <w:rPr>
            <w:rStyle w:val="Hyperlink"/>
            <w:rFonts w:ascii="Arial" w:hAnsi="Arial" w:cs="Arial"/>
            <w:i/>
            <w:noProof/>
          </w:rPr>
          <w:t>Business Continuity</w:t>
        </w:r>
        <w:r w:rsidR="00BF01C1">
          <w:rPr>
            <w:noProof/>
            <w:webHidden/>
          </w:rPr>
          <w:tab/>
        </w:r>
        <w:r w:rsidR="00BF01C1">
          <w:rPr>
            <w:noProof/>
            <w:webHidden/>
          </w:rPr>
          <w:fldChar w:fldCharType="begin"/>
        </w:r>
        <w:r w:rsidR="00BF01C1">
          <w:rPr>
            <w:noProof/>
            <w:webHidden/>
          </w:rPr>
          <w:instrText xml:space="preserve"> PAGEREF _Toc21616123 \h </w:instrText>
        </w:r>
        <w:r w:rsidR="00BF01C1">
          <w:rPr>
            <w:noProof/>
            <w:webHidden/>
          </w:rPr>
        </w:r>
        <w:r w:rsidR="00BF01C1">
          <w:rPr>
            <w:noProof/>
            <w:webHidden/>
          </w:rPr>
          <w:fldChar w:fldCharType="separate"/>
        </w:r>
        <w:r>
          <w:rPr>
            <w:noProof/>
            <w:webHidden/>
          </w:rPr>
          <w:t>12</w:t>
        </w:r>
        <w:r w:rsidR="00BF01C1">
          <w:rPr>
            <w:noProof/>
            <w:webHidden/>
          </w:rPr>
          <w:fldChar w:fldCharType="end"/>
        </w:r>
      </w:hyperlink>
    </w:p>
    <w:p w14:paraId="455EAD93" w14:textId="116FD578" w:rsidR="00BF01C1" w:rsidRDefault="00B602CB" w:rsidP="00F530B0">
      <w:pPr>
        <w:pStyle w:val="TOC2"/>
        <w:tabs>
          <w:tab w:val="right" w:leader="dot" w:pos="9540"/>
        </w:tabs>
        <w:rPr>
          <w:rFonts w:cstheme="minorBidi"/>
          <w:noProof/>
        </w:rPr>
      </w:pPr>
      <w:hyperlink w:anchor="_Toc21616124" w:history="1">
        <w:r w:rsidR="00BF01C1" w:rsidRPr="00B6396F">
          <w:rPr>
            <w:rStyle w:val="Hyperlink"/>
            <w:rFonts w:ascii="Arial" w:hAnsi="Arial" w:cs="Arial"/>
            <w:noProof/>
          </w:rPr>
          <w:t>Safety, Health &amp; Environment</w:t>
        </w:r>
        <w:r w:rsidR="00BF01C1">
          <w:rPr>
            <w:noProof/>
            <w:webHidden/>
          </w:rPr>
          <w:tab/>
        </w:r>
        <w:r w:rsidR="00BF01C1">
          <w:rPr>
            <w:noProof/>
            <w:webHidden/>
          </w:rPr>
          <w:fldChar w:fldCharType="begin"/>
        </w:r>
        <w:r w:rsidR="00BF01C1">
          <w:rPr>
            <w:noProof/>
            <w:webHidden/>
          </w:rPr>
          <w:instrText xml:space="preserve"> PAGEREF _Toc21616124 \h </w:instrText>
        </w:r>
        <w:r w:rsidR="00BF01C1">
          <w:rPr>
            <w:noProof/>
            <w:webHidden/>
          </w:rPr>
        </w:r>
        <w:r w:rsidR="00BF01C1">
          <w:rPr>
            <w:noProof/>
            <w:webHidden/>
          </w:rPr>
          <w:fldChar w:fldCharType="separate"/>
        </w:r>
        <w:r>
          <w:rPr>
            <w:noProof/>
            <w:webHidden/>
          </w:rPr>
          <w:t>13</w:t>
        </w:r>
        <w:r w:rsidR="00BF01C1">
          <w:rPr>
            <w:noProof/>
            <w:webHidden/>
          </w:rPr>
          <w:fldChar w:fldCharType="end"/>
        </w:r>
      </w:hyperlink>
    </w:p>
    <w:p w14:paraId="5C35B645" w14:textId="2E07E22E" w:rsidR="00BF01C1" w:rsidRDefault="00B602CB" w:rsidP="00F530B0">
      <w:pPr>
        <w:pStyle w:val="TOC2"/>
        <w:tabs>
          <w:tab w:val="right" w:leader="dot" w:pos="9540"/>
        </w:tabs>
        <w:rPr>
          <w:rFonts w:cstheme="minorBidi"/>
          <w:noProof/>
        </w:rPr>
      </w:pPr>
      <w:hyperlink w:anchor="_Toc21616125" w:history="1">
        <w:r w:rsidR="00BF01C1" w:rsidRPr="00B6396F">
          <w:rPr>
            <w:rStyle w:val="Hyperlink"/>
            <w:rFonts w:ascii="Arial" w:eastAsia="Times New Roman" w:hAnsi="Arial" w:cs="Arial"/>
            <w:b/>
            <w:bCs/>
            <w:i/>
            <w:iCs/>
            <w:noProof/>
          </w:rPr>
          <w:t>Training and Development</w:t>
        </w:r>
        <w:r w:rsidR="00BF01C1">
          <w:rPr>
            <w:noProof/>
            <w:webHidden/>
          </w:rPr>
          <w:tab/>
        </w:r>
        <w:r w:rsidR="00BF01C1">
          <w:rPr>
            <w:noProof/>
            <w:webHidden/>
          </w:rPr>
          <w:fldChar w:fldCharType="begin"/>
        </w:r>
        <w:r w:rsidR="00BF01C1">
          <w:rPr>
            <w:noProof/>
            <w:webHidden/>
          </w:rPr>
          <w:instrText xml:space="preserve"> PAGEREF _Toc21616125 \h </w:instrText>
        </w:r>
        <w:r w:rsidR="00BF01C1">
          <w:rPr>
            <w:noProof/>
            <w:webHidden/>
          </w:rPr>
        </w:r>
        <w:r w:rsidR="00BF01C1">
          <w:rPr>
            <w:noProof/>
            <w:webHidden/>
          </w:rPr>
          <w:fldChar w:fldCharType="separate"/>
        </w:r>
        <w:r>
          <w:rPr>
            <w:noProof/>
            <w:webHidden/>
          </w:rPr>
          <w:t>14</w:t>
        </w:r>
        <w:r w:rsidR="00BF01C1">
          <w:rPr>
            <w:noProof/>
            <w:webHidden/>
          </w:rPr>
          <w:fldChar w:fldCharType="end"/>
        </w:r>
      </w:hyperlink>
    </w:p>
    <w:p w14:paraId="139E550D" w14:textId="7130C60D" w:rsidR="00BF01C1" w:rsidRDefault="00B602CB" w:rsidP="00F530B0">
      <w:pPr>
        <w:pStyle w:val="TOC1"/>
        <w:tabs>
          <w:tab w:val="right" w:leader="dot" w:pos="9540"/>
        </w:tabs>
        <w:rPr>
          <w:rFonts w:cstheme="minorBidi"/>
          <w:noProof/>
        </w:rPr>
      </w:pPr>
      <w:hyperlink w:anchor="_Toc21616126" w:history="1">
        <w:r w:rsidR="00BF01C1" w:rsidRPr="00B6396F">
          <w:rPr>
            <w:rStyle w:val="Hyperlink"/>
            <w:rFonts w:ascii="Arial" w:hAnsi="Arial" w:cs="Arial"/>
            <w:noProof/>
          </w:rPr>
          <w:t>5. Assurance Declaration</w:t>
        </w:r>
        <w:r w:rsidR="00BF01C1">
          <w:rPr>
            <w:noProof/>
            <w:webHidden/>
          </w:rPr>
          <w:tab/>
        </w:r>
        <w:r w:rsidR="00BF01C1">
          <w:rPr>
            <w:noProof/>
            <w:webHidden/>
          </w:rPr>
          <w:fldChar w:fldCharType="begin"/>
        </w:r>
        <w:r w:rsidR="00BF01C1">
          <w:rPr>
            <w:noProof/>
            <w:webHidden/>
          </w:rPr>
          <w:instrText xml:space="preserve"> PAGEREF _Toc21616126 \h </w:instrText>
        </w:r>
        <w:r w:rsidR="00BF01C1">
          <w:rPr>
            <w:noProof/>
            <w:webHidden/>
          </w:rPr>
        </w:r>
        <w:r w:rsidR="00BF01C1">
          <w:rPr>
            <w:noProof/>
            <w:webHidden/>
          </w:rPr>
          <w:fldChar w:fldCharType="separate"/>
        </w:r>
        <w:r>
          <w:rPr>
            <w:noProof/>
            <w:webHidden/>
          </w:rPr>
          <w:t>14</w:t>
        </w:r>
        <w:r w:rsidR="00BF01C1">
          <w:rPr>
            <w:noProof/>
            <w:webHidden/>
          </w:rPr>
          <w:fldChar w:fldCharType="end"/>
        </w:r>
      </w:hyperlink>
    </w:p>
    <w:p w14:paraId="3C31A159" w14:textId="77777777" w:rsidR="004E6D1E" w:rsidRPr="00897ECD" w:rsidRDefault="004E6D1E" w:rsidP="00F530B0">
      <w:pPr>
        <w:tabs>
          <w:tab w:val="right" w:leader="dot" w:pos="9072"/>
          <w:tab w:val="right" w:leader="dot" w:pos="9356"/>
          <w:tab w:val="right" w:leader="dot" w:pos="9540"/>
        </w:tabs>
        <w:ind w:right="936"/>
        <w:rPr>
          <w:rFonts w:ascii="Arial" w:hAnsi="Arial" w:cs="Arial"/>
        </w:rPr>
      </w:pPr>
      <w:r w:rsidRPr="00897ECD">
        <w:rPr>
          <w:rFonts w:ascii="Arial" w:hAnsi="Arial" w:cs="Arial"/>
        </w:rPr>
        <w:fldChar w:fldCharType="end"/>
      </w:r>
    </w:p>
    <w:p w14:paraId="5707B410" w14:textId="2892C1B2" w:rsidR="00BF01C1" w:rsidRDefault="007D7D46" w:rsidP="00F530B0">
      <w:pPr>
        <w:pStyle w:val="TableofFigures"/>
        <w:tabs>
          <w:tab w:val="right" w:leader="dot" w:pos="9540"/>
        </w:tabs>
        <w:rPr>
          <w:rFonts w:cstheme="minorBidi"/>
          <w:noProof/>
        </w:rPr>
      </w:pPr>
      <w:r w:rsidRPr="00897ECD">
        <w:rPr>
          <w:rFonts w:ascii="Arial" w:hAnsi="Arial" w:cs="Arial"/>
          <w:u w:val="single"/>
        </w:rPr>
        <w:fldChar w:fldCharType="begin"/>
      </w:r>
      <w:r w:rsidRPr="00897ECD">
        <w:rPr>
          <w:rFonts w:ascii="Arial" w:hAnsi="Arial" w:cs="Arial"/>
          <w:u w:val="single"/>
        </w:rPr>
        <w:instrText xml:space="preserve"> TOC \h \z \c "Figure" </w:instrText>
      </w:r>
      <w:r w:rsidRPr="00897ECD">
        <w:rPr>
          <w:rFonts w:ascii="Arial" w:hAnsi="Arial" w:cs="Arial"/>
          <w:u w:val="single"/>
        </w:rPr>
        <w:fldChar w:fldCharType="separate"/>
      </w:r>
      <w:hyperlink w:anchor="_Toc21616127" w:history="1">
        <w:r w:rsidR="00BF01C1" w:rsidRPr="00E4127C">
          <w:rPr>
            <w:rStyle w:val="Hyperlink"/>
            <w:noProof/>
          </w:rPr>
          <w:t>Figure 1 - Combined Fire Authority structure</w:t>
        </w:r>
        <w:r w:rsidR="00BF01C1">
          <w:rPr>
            <w:noProof/>
            <w:webHidden/>
          </w:rPr>
          <w:tab/>
        </w:r>
        <w:r w:rsidR="00BF01C1">
          <w:rPr>
            <w:noProof/>
            <w:webHidden/>
          </w:rPr>
          <w:fldChar w:fldCharType="begin"/>
        </w:r>
        <w:r w:rsidR="00BF01C1">
          <w:rPr>
            <w:noProof/>
            <w:webHidden/>
          </w:rPr>
          <w:instrText xml:space="preserve"> PAGEREF _Toc21616127 \h </w:instrText>
        </w:r>
        <w:r w:rsidR="00BF01C1">
          <w:rPr>
            <w:noProof/>
            <w:webHidden/>
          </w:rPr>
        </w:r>
        <w:r w:rsidR="00BF01C1">
          <w:rPr>
            <w:noProof/>
            <w:webHidden/>
          </w:rPr>
          <w:fldChar w:fldCharType="separate"/>
        </w:r>
        <w:r w:rsidR="00B602CB">
          <w:rPr>
            <w:noProof/>
            <w:webHidden/>
          </w:rPr>
          <w:t>4</w:t>
        </w:r>
        <w:r w:rsidR="00BF01C1">
          <w:rPr>
            <w:noProof/>
            <w:webHidden/>
          </w:rPr>
          <w:fldChar w:fldCharType="end"/>
        </w:r>
      </w:hyperlink>
    </w:p>
    <w:p w14:paraId="5D93B6C2" w14:textId="04A410C1" w:rsidR="00BF01C1" w:rsidRDefault="00B602CB" w:rsidP="00F530B0">
      <w:pPr>
        <w:pStyle w:val="TableofFigures"/>
        <w:tabs>
          <w:tab w:val="right" w:leader="dot" w:pos="9540"/>
        </w:tabs>
        <w:rPr>
          <w:rFonts w:cstheme="minorBidi"/>
          <w:noProof/>
        </w:rPr>
      </w:pPr>
      <w:hyperlink w:anchor="_Toc21616128" w:history="1">
        <w:r w:rsidR="00BF01C1" w:rsidRPr="00E4127C">
          <w:rPr>
            <w:rStyle w:val="Hyperlink"/>
            <w:noProof/>
          </w:rPr>
          <w:t>Figure 2 - Service Delivery Areas and Fire Station locations</w:t>
        </w:r>
        <w:r w:rsidR="00BF01C1">
          <w:rPr>
            <w:noProof/>
            <w:webHidden/>
          </w:rPr>
          <w:tab/>
        </w:r>
        <w:r w:rsidR="00BF01C1">
          <w:rPr>
            <w:noProof/>
            <w:webHidden/>
          </w:rPr>
          <w:fldChar w:fldCharType="begin"/>
        </w:r>
        <w:r w:rsidR="00BF01C1">
          <w:rPr>
            <w:noProof/>
            <w:webHidden/>
          </w:rPr>
          <w:instrText xml:space="preserve"> PAGEREF _Toc21616128 \h </w:instrText>
        </w:r>
        <w:r w:rsidR="00BF01C1">
          <w:rPr>
            <w:noProof/>
            <w:webHidden/>
          </w:rPr>
        </w:r>
        <w:r w:rsidR="00BF01C1">
          <w:rPr>
            <w:noProof/>
            <w:webHidden/>
          </w:rPr>
          <w:fldChar w:fldCharType="separate"/>
        </w:r>
        <w:r>
          <w:rPr>
            <w:noProof/>
            <w:webHidden/>
          </w:rPr>
          <w:t>6</w:t>
        </w:r>
        <w:r w:rsidR="00BF01C1">
          <w:rPr>
            <w:noProof/>
            <w:webHidden/>
          </w:rPr>
          <w:fldChar w:fldCharType="end"/>
        </w:r>
      </w:hyperlink>
    </w:p>
    <w:p w14:paraId="06D70E5E" w14:textId="58C524D3" w:rsidR="00BF01C1" w:rsidRDefault="00B602CB" w:rsidP="00F530B0">
      <w:pPr>
        <w:pStyle w:val="TableofFigures"/>
        <w:tabs>
          <w:tab w:val="right" w:leader="dot" w:pos="9540"/>
        </w:tabs>
        <w:rPr>
          <w:rFonts w:cstheme="minorBidi"/>
          <w:noProof/>
        </w:rPr>
      </w:pPr>
      <w:hyperlink w:anchor="_Toc21616129" w:history="1">
        <w:r w:rsidR="00BF01C1" w:rsidRPr="00E4127C">
          <w:rPr>
            <w:rStyle w:val="Hyperlink"/>
            <w:noProof/>
          </w:rPr>
          <w:t>Figure 3 - Changes in Fire Risk 2009-2019</w:t>
        </w:r>
        <w:r w:rsidR="00BF01C1">
          <w:rPr>
            <w:noProof/>
            <w:webHidden/>
          </w:rPr>
          <w:tab/>
        </w:r>
        <w:r w:rsidR="00BF01C1">
          <w:rPr>
            <w:noProof/>
            <w:webHidden/>
          </w:rPr>
          <w:fldChar w:fldCharType="begin"/>
        </w:r>
        <w:r w:rsidR="00BF01C1">
          <w:rPr>
            <w:noProof/>
            <w:webHidden/>
          </w:rPr>
          <w:instrText xml:space="preserve"> PAGEREF _Toc21616129 \h </w:instrText>
        </w:r>
        <w:r w:rsidR="00BF01C1">
          <w:rPr>
            <w:noProof/>
            <w:webHidden/>
          </w:rPr>
        </w:r>
        <w:r w:rsidR="00BF01C1">
          <w:rPr>
            <w:noProof/>
            <w:webHidden/>
          </w:rPr>
          <w:fldChar w:fldCharType="separate"/>
        </w:r>
        <w:r>
          <w:rPr>
            <w:noProof/>
            <w:webHidden/>
          </w:rPr>
          <w:t>10</w:t>
        </w:r>
        <w:r w:rsidR="00BF01C1">
          <w:rPr>
            <w:noProof/>
            <w:webHidden/>
          </w:rPr>
          <w:fldChar w:fldCharType="end"/>
        </w:r>
      </w:hyperlink>
    </w:p>
    <w:p w14:paraId="034ED01E" w14:textId="77777777" w:rsidR="005F30E7" w:rsidRPr="00701EEC" w:rsidRDefault="007D7D46" w:rsidP="00F530B0">
      <w:pPr>
        <w:pStyle w:val="Heading1"/>
        <w:tabs>
          <w:tab w:val="right" w:leader="dot" w:pos="9072"/>
          <w:tab w:val="right" w:leader="dot" w:pos="9356"/>
          <w:tab w:val="right" w:leader="dot" w:pos="9540"/>
        </w:tabs>
        <w:ind w:right="936"/>
        <w:rPr>
          <w:rFonts w:cs="Arial"/>
        </w:rPr>
      </w:pPr>
      <w:r w:rsidRPr="00897ECD">
        <w:rPr>
          <w:rFonts w:cs="Arial"/>
          <w:sz w:val="22"/>
          <w:szCs w:val="22"/>
          <w:u w:val="single"/>
        </w:rPr>
        <w:fldChar w:fldCharType="end"/>
      </w:r>
      <w:r w:rsidR="00701EEC" w:rsidRPr="00701EEC">
        <w:rPr>
          <w:rFonts w:cs="Arial"/>
          <w:u w:val="single"/>
        </w:rPr>
        <w:br w:type="page"/>
      </w:r>
      <w:bookmarkStart w:id="0" w:name="_Toc21616109"/>
      <w:r w:rsidR="005F30E7" w:rsidRPr="00701EEC">
        <w:rPr>
          <w:rFonts w:cs="Arial"/>
        </w:rPr>
        <w:lastRenderedPageBreak/>
        <w:t>1. Introduction</w:t>
      </w:r>
      <w:bookmarkEnd w:id="0"/>
      <w:r w:rsidR="005F30E7" w:rsidRPr="00701EEC">
        <w:rPr>
          <w:rFonts w:cs="Arial"/>
        </w:rPr>
        <w:t xml:space="preserve"> </w:t>
      </w:r>
    </w:p>
    <w:p w14:paraId="0192C992" w14:textId="77777777" w:rsidR="005F30E7" w:rsidRDefault="005F30E7" w:rsidP="004B094C">
      <w:pPr>
        <w:pStyle w:val="CM11"/>
        <w:spacing w:after="375" w:line="360" w:lineRule="auto"/>
        <w:ind w:right="-34"/>
        <w:rPr>
          <w:sz w:val="22"/>
          <w:szCs w:val="22"/>
        </w:rPr>
      </w:pPr>
      <w:r>
        <w:rPr>
          <w:sz w:val="22"/>
          <w:szCs w:val="22"/>
        </w:rPr>
        <w:t>The Fire and Rescue Nati</w:t>
      </w:r>
      <w:r w:rsidR="00DE2446">
        <w:rPr>
          <w:sz w:val="22"/>
          <w:szCs w:val="22"/>
        </w:rPr>
        <w:t>onal Framework for England (2018</w:t>
      </w:r>
      <w:r>
        <w:rPr>
          <w:sz w:val="22"/>
          <w:szCs w:val="22"/>
        </w:rPr>
        <w:t xml:space="preserve">) provides overall strategic direction to English Fire and Rescue Authorities (FRA).  It sets out the Government’s priorities and objectives and places a requirement on all FRA’s to provide assurance to their communities and to Government on financial, governance and operational matters.  </w:t>
      </w:r>
    </w:p>
    <w:p w14:paraId="774BA221" w14:textId="77777777" w:rsidR="005F30E7" w:rsidRDefault="005F30E7" w:rsidP="004B094C">
      <w:pPr>
        <w:pStyle w:val="CM11"/>
        <w:spacing w:after="375" w:line="360" w:lineRule="auto"/>
        <w:ind w:right="-34"/>
        <w:rPr>
          <w:sz w:val="22"/>
          <w:szCs w:val="22"/>
        </w:rPr>
      </w:pPr>
      <w:r>
        <w:rPr>
          <w:sz w:val="22"/>
          <w:szCs w:val="22"/>
        </w:rPr>
        <w:t xml:space="preserve">This Statement of Assurance aims to provide the necessary accountability and transparency to the people of Lancashire and evidence that their Fire and Rescue Service continues to deliver under the expectations detailed within both the National Framework and our own Integrated Risk Management Plan (IRMP). </w:t>
      </w:r>
    </w:p>
    <w:p w14:paraId="2B97D6C0" w14:textId="77777777" w:rsidR="000C5E4C" w:rsidRDefault="005F30E7" w:rsidP="004B094C">
      <w:pPr>
        <w:pStyle w:val="CM12"/>
        <w:spacing w:after="615" w:line="360" w:lineRule="auto"/>
        <w:ind w:right="-34"/>
        <w:rPr>
          <w:sz w:val="22"/>
          <w:szCs w:val="22"/>
        </w:rPr>
      </w:pPr>
      <w:r>
        <w:rPr>
          <w:sz w:val="22"/>
          <w:szCs w:val="22"/>
        </w:rPr>
        <w:t>This statement sits alongside our IRMP, Statement of Accounts</w:t>
      </w:r>
      <w:r w:rsidR="00630598">
        <w:rPr>
          <w:sz w:val="22"/>
          <w:szCs w:val="22"/>
        </w:rPr>
        <w:t>, the Annual Governance Statement</w:t>
      </w:r>
      <w:r>
        <w:rPr>
          <w:sz w:val="22"/>
          <w:szCs w:val="22"/>
        </w:rPr>
        <w:t xml:space="preserve"> and </w:t>
      </w:r>
      <w:r w:rsidR="00E85165">
        <w:rPr>
          <w:sz w:val="22"/>
          <w:szCs w:val="22"/>
        </w:rPr>
        <w:t xml:space="preserve">recently re-designed Annual </w:t>
      </w:r>
      <w:r w:rsidR="00DE2446">
        <w:rPr>
          <w:sz w:val="22"/>
          <w:szCs w:val="22"/>
        </w:rPr>
        <w:t>Service Plan and Annual Service</w:t>
      </w:r>
      <w:r w:rsidR="00E85165">
        <w:rPr>
          <w:sz w:val="22"/>
          <w:szCs w:val="22"/>
        </w:rPr>
        <w:t xml:space="preserve"> Report</w:t>
      </w:r>
      <w:r>
        <w:rPr>
          <w:sz w:val="22"/>
          <w:szCs w:val="22"/>
        </w:rPr>
        <w:t>.  It details what measures are in place to assure that the Combined Fire Authority’s performance is efficient, economic and effective.</w:t>
      </w:r>
    </w:p>
    <w:p w14:paraId="7B1659D7" w14:textId="77777777" w:rsidR="005F30E7" w:rsidRPr="000C5E4C" w:rsidRDefault="005F30E7" w:rsidP="00F530B0">
      <w:pPr>
        <w:pStyle w:val="Heading2"/>
        <w:ind w:right="-34"/>
        <w:rPr>
          <w:rFonts w:ascii="Arial" w:hAnsi="Arial" w:cs="Arial"/>
        </w:rPr>
      </w:pPr>
      <w:bookmarkStart w:id="1" w:name="_Toc21616110"/>
      <w:r w:rsidRPr="000C5E4C">
        <w:rPr>
          <w:rFonts w:ascii="Arial" w:hAnsi="Arial" w:cs="Arial"/>
        </w:rPr>
        <w:t>Lancashire Combined Fire Authorit</w:t>
      </w:r>
      <w:r w:rsidR="000C5E4C" w:rsidRPr="000C5E4C">
        <w:rPr>
          <w:rFonts w:ascii="Arial" w:hAnsi="Arial" w:cs="Arial"/>
        </w:rPr>
        <w:t>y</w:t>
      </w:r>
      <w:bookmarkEnd w:id="1"/>
    </w:p>
    <w:p w14:paraId="238181FF" w14:textId="77777777" w:rsidR="005F30E7" w:rsidRDefault="005F30E7" w:rsidP="004B094C">
      <w:pPr>
        <w:pStyle w:val="CM11"/>
        <w:spacing w:after="375" w:line="360" w:lineRule="auto"/>
        <w:ind w:right="-34"/>
        <w:rPr>
          <w:sz w:val="22"/>
          <w:szCs w:val="22"/>
        </w:rPr>
      </w:pPr>
      <w:r>
        <w:rPr>
          <w:sz w:val="22"/>
          <w:szCs w:val="22"/>
        </w:rPr>
        <w:t>Lancashire Combined Fire Authority (CFA) is made up of 25 elected councillors drawn from Lancashire County Council (19) and the unitary authorities of Blackburn-with-Darwen (3) and Blackpool (3).  The CFA is responsible under the Fire &amp; Rescue Services Act 2004 for providing a Fire and Rescue Service in Lancashire.  This involves the provi</w:t>
      </w:r>
      <w:r w:rsidR="00910788">
        <w:rPr>
          <w:sz w:val="22"/>
          <w:szCs w:val="22"/>
        </w:rPr>
        <w:t xml:space="preserve">sion, training and equipping </w:t>
      </w:r>
      <w:r>
        <w:rPr>
          <w:sz w:val="22"/>
          <w:szCs w:val="22"/>
        </w:rPr>
        <w:t>our staff to undertake firefighting operations, fire safety work, rescue of persons from road traffic collisions and preparing for our response to other emergency situations.  The CFA is the body legally responsible for enforcing the Regulatory Reform (Fire Safety) Order 2005 and is a designated Category 1 responder under th</w:t>
      </w:r>
      <w:r w:rsidR="000C5E4C">
        <w:rPr>
          <w:sz w:val="22"/>
          <w:szCs w:val="22"/>
        </w:rPr>
        <w:t>e Civil Contingencies Act 2004.</w:t>
      </w:r>
    </w:p>
    <w:p w14:paraId="3A64D4E6" w14:textId="77777777" w:rsidR="000C5E4C" w:rsidRDefault="005F30E7" w:rsidP="004B094C">
      <w:pPr>
        <w:pStyle w:val="CM12"/>
        <w:spacing w:after="615" w:line="360" w:lineRule="auto"/>
        <w:ind w:right="-34"/>
        <w:rPr>
          <w:sz w:val="22"/>
          <w:szCs w:val="22"/>
        </w:rPr>
      </w:pPr>
      <w:r>
        <w:rPr>
          <w:sz w:val="22"/>
          <w:szCs w:val="22"/>
        </w:rPr>
        <w:t>The CFA ensures that the work of the Fire and Rescue Service is efficient, effective and provides best value</w:t>
      </w:r>
      <w:r w:rsidR="001D04A6">
        <w:rPr>
          <w:sz w:val="22"/>
          <w:szCs w:val="22"/>
        </w:rPr>
        <w:t xml:space="preserve"> for money</w:t>
      </w:r>
      <w:r>
        <w:rPr>
          <w:sz w:val="22"/>
          <w:szCs w:val="22"/>
        </w:rPr>
        <w:t xml:space="preserve">. </w:t>
      </w:r>
      <w:r w:rsidR="000C5E4C">
        <w:rPr>
          <w:sz w:val="22"/>
          <w:szCs w:val="22"/>
        </w:rPr>
        <w:t xml:space="preserve"> </w:t>
      </w:r>
      <w:r>
        <w:rPr>
          <w:sz w:val="22"/>
          <w:szCs w:val="22"/>
        </w:rPr>
        <w:t>To achieve this, they operate under a framework of five full meetings each year</w:t>
      </w:r>
      <w:r w:rsidR="000C5E4C">
        <w:rPr>
          <w:sz w:val="22"/>
          <w:szCs w:val="22"/>
        </w:rPr>
        <w:t xml:space="preserve"> (Figure 1)</w:t>
      </w:r>
      <w:r>
        <w:rPr>
          <w:sz w:val="22"/>
          <w:szCs w:val="22"/>
        </w:rPr>
        <w:t xml:space="preserve">, which are supplemented by a number of smaller committees focusing upon Planning, Performance, Resources, Audit and Appeals. </w:t>
      </w:r>
      <w:r w:rsidR="000C5E4C">
        <w:rPr>
          <w:sz w:val="22"/>
          <w:szCs w:val="22"/>
        </w:rPr>
        <w:t xml:space="preserve"> </w:t>
      </w:r>
    </w:p>
    <w:p w14:paraId="49485D69" w14:textId="77777777" w:rsidR="007D7D46" w:rsidRDefault="00DF0E87" w:rsidP="00F530B0">
      <w:pPr>
        <w:pStyle w:val="Default"/>
        <w:pageBreakBefore/>
        <w:framePr w:w="9771" w:wrap="auto" w:vAnchor="page" w:hAnchor="page" w:x="1455" w:y="3614"/>
        <w:spacing w:after="740" w:line="360" w:lineRule="auto"/>
        <w:ind w:right="-34"/>
        <w:rPr>
          <w:color w:val="auto"/>
          <w:sz w:val="22"/>
          <w:szCs w:val="22"/>
        </w:rPr>
      </w:pPr>
      <w:r>
        <w:rPr>
          <w:noProof/>
        </w:rPr>
        <w:lastRenderedPageBreak/>
        <w:drawing>
          <wp:inline distT="0" distB="0" distL="0" distR="0" wp14:anchorId="15CDC812" wp14:editId="12811AC1">
            <wp:extent cx="5943600" cy="3472180"/>
            <wp:effectExtent l="0" t="0" r="0" b="0"/>
            <wp:docPr id="6" name="Picture 6" descr="This is the structure of The Lancashire Combined Fire and Rescue Service including the different committees and lead offic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472180"/>
                    </a:xfrm>
                    <a:prstGeom prst="rect">
                      <a:avLst/>
                    </a:prstGeom>
                  </pic:spPr>
                </pic:pic>
              </a:graphicData>
            </a:graphic>
          </wp:inline>
        </w:drawing>
      </w:r>
    </w:p>
    <w:p w14:paraId="78346786" w14:textId="77777777" w:rsidR="005F30E7" w:rsidRDefault="000C5E4C" w:rsidP="004B094C">
      <w:pPr>
        <w:pStyle w:val="CM12"/>
        <w:spacing w:after="615" w:line="360" w:lineRule="auto"/>
        <w:ind w:right="-34"/>
        <w:rPr>
          <w:sz w:val="22"/>
          <w:szCs w:val="22"/>
        </w:rPr>
      </w:pPr>
      <w:r>
        <w:rPr>
          <w:sz w:val="22"/>
          <w:szCs w:val="22"/>
        </w:rPr>
        <w:t>F</w:t>
      </w:r>
      <w:r w:rsidR="005F30E7">
        <w:rPr>
          <w:sz w:val="22"/>
          <w:szCs w:val="22"/>
        </w:rPr>
        <w:t xml:space="preserve">urther information on the afore-mentioned committees </w:t>
      </w:r>
      <w:r>
        <w:rPr>
          <w:sz w:val="22"/>
          <w:szCs w:val="22"/>
        </w:rPr>
        <w:t xml:space="preserve">is </w:t>
      </w:r>
      <w:r w:rsidR="005F30E7">
        <w:rPr>
          <w:sz w:val="22"/>
          <w:szCs w:val="22"/>
        </w:rPr>
        <w:t xml:space="preserve">accessible via our website at </w:t>
      </w:r>
      <w:hyperlink r:id="rId10" w:history="1">
        <w:r w:rsidR="00516E04" w:rsidRPr="00F31A69">
          <w:rPr>
            <w:rStyle w:val="Hyperlink"/>
            <w:rFonts w:cs="Arial"/>
            <w:sz w:val="22"/>
            <w:szCs w:val="22"/>
          </w:rPr>
          <w:t>https://cfa.lancsfirerescue.org.uk/</w:t>
        </w:r>
      </w:hyperlink>
    </w:p>
    <w:p w14:paraId="0D746C7B" w14:textId="77777777" w:rsidR="00C004FF" w:rsidRPr="00C004FF" w:rsidRDefault="00C004FF" w:rsidP="00F530B0">
      <w:pPr>
        <w:pStyle w:val="Default"/>
        <w:ind w:right="-34"/>
      </w:pPr>
    </w:p>
    <w:p w14:paraId="46725445" w14:textId="0413E871" w:rsidR="007D7D46" w:rsidRDefault="007D7D46" w:rsidP="00F530B0">
      <w:pPr>
        <w:pStyle w:val="Caption"/>
        <w:ind w:right="-34"/>
      </w:pPr>
      <w:bookmarkStart w:id="2" w:name="_Toc21616127"/>
      <w:r w:rsidRPr="00F31A69">
        <w:t xml:space="preserve">Figure </w:t>
      </w:r>
      <w:r w:rsidR="00B602CB">
        <w:fldChar w:fldCharType="begin"/>
      </w:r>
      <w:r w:rsidR="00B602CB">
        <w:instrText xml:space="preserve"> SEQ Figure \* ARABIC </w:instrText>
      </w:r>
      <w:r w:rsidR="00B602CB">
        <w:fldChar w:fldCharType="separate"/>
      </w:r>
      <w:r w:rsidR="00B602CB">
        <w:rPr>
          <w:noProof/>
        </w:rPr>
        <w:t>1</w:t>
      </w:r>
      <w:r w:rsidR="00B602CB">
        <w:rPr>
          <w:noProof/>
        </w:rPr>
        <w:fldChar w:fldCharType="end"/>
      </w:r>
      <w:r w:rsidRPr="00F31A69">
        <w:t xml:space="preserve"> - Combined Fire Authority structure</w:t>
      </w:r>
      <w:bookmarkEnd w:id="2"/>
    </w:p>
    <w:p w14:paraId="2B17ADA4" w14:textId="77777777" w:rsidR="007D7D46" w:rsidRPr="007D7D46" w:rsidRDefault="007D7D46" w:rsidP="00F530B0">
      <w:pPr>
        <w:pStyle w:val="Default"/>
        <w:ind w:right="-34"/>
      </w:pPr>
    </w:p>
    <w:p w14:paraId="466D267F" w14:textId="77777777" w:rsidR="005F30E7" w:rsidRPr="00701EEC" w:rsidRDefault="005F30E7" w:rsidP="00F530B0">
      <w:pPr>
        <w:pStyle w:val="Heading2"/>
        <w:ind w:right="-34"/>
        <w:rPr>
          <w:rFonts w:ascii="Arial" w:hAnsi="Arial" w:cs="Arial"/>
        </w:rPr>
      </w:pPr>
      <w:bookmarkStart w:id="3" w:name="_Toc21616111"/>
      <w:r w:rsidRPr="00701EEC">
        <w:rPr>
          <w:rFonts w:ascii="Arial" w:hAnsi="Arial" w:cs="Arial"/>
        </w:rPr>
        <w:t>The County of Lancashire</w:t>
      </w:r>
      <w:bookmarkEnd w:id="3"/>
      <w:r w:rsidRPr="00701EEC">
        <w:rPr>
          <w:rFonts w:ascii="Arial" w:hAnsi="Arial" w:cs="Arial"/>
        </w:rPr>
        <w:t xml:space="preserve"> </w:t>
      </w:r>
    </w:p>
    <w:p w14:paraId="646ABFA2" w14:textId="77777777" w:rsidR="008814CC" w:rsidRDefault="005F30E7" w:rsidP="00042537">
      <w:pPr>
        <w:pStyle w:val="CM3"/>
        <w:spacing w:line="360" w:lineRule="auto"/>
        <w:ind w:right="-34"/>
        <w:rPr>
          <w:sz w:val="22"/>
          <w:szCs w:val="22"/>
        </w:rPr>
      </w:pPr>
      <w:r>
        <w:rPr>
          <w:sz w:val="22"/>
          <w:szCs w:val="22"/>
        </w:rPr>
        <w:t xml:space="preserve">Lancashire comprises </w:t>
      </w:r>
      <w:r w:rsidR="006E77AE">
        <w:rPr>
          <w:sz w:val="22"/>
          <w:szCs w:val="22"/>
        </w:rPr>
        <w:t xml:space="preserve">of </w:t>
      </w:r>
      <w:r>
        <w:rPr>
          <w:sz w:val="22"/>
          <w:szCs w:val="22"/>
        </w:rPr>
        <w:t xml:space="preserve">14 districts, 12 </w:t>
      </w:r>
      <w:r w:rsidR="006E77AE">
        <w:rPr>
          <w:sz w:val="22"/>
          <w:szCs w:val="22"/>
        </w:rPr>
        <w:t xml:space="preserve">of </w:t>
      </w:r>
      <w:r>
        <w:rPr>
          <w:sz w:val="22"/>
          <w:szCs w:val="22"/>
        </w:rPr>
        <w:t>which are within the Lancashire County Council area (Burnley, Chorley, Fylde, Hyndburn, Lancaster, Pendle, Wyre, Ribble Valley, Rossendale, South Ribble, West Lancashire and Preston) and 2 unitary authorities of Blackpool and Blackburn-with-Darwen.  The area is home to a resident population of</w:t>
      </w:r>
      <w:r w:rsidR="007D7D46">
        <w:rPr>
          <w:sz w:val="22"/>
          <w:szCs w:val="22"/>
        </w:rPr>
        <w:t xml:space="preserve"> circa 1.46</w:t>
      </w:r>
      <w:r>
        <w:rPr>
          <w:sz w:val="22"/>
          <w:szCs w:val="22"/>
        </w:rPr>
        <w:t xml:space="preserve"> million people</w:t>
      </w:r>
      <w:r w:rsidR="007D7D46">
        <w:rPr>
          <w:sz w:val="22"/>
          <w:szCs w:val="22"/>
        </w:rPr>
        <w:t xml:space="preserve"> (Census 2011) </w:t>
      </w:r>
      <w:r>
        <w:rPr>
          <w:sz w:val="22"/>
          <w:szCs w:val="22"/>
        </w:rPr>
        <w:t>and is one of the most populated and urbanised shire counties within Great Britain, with a legacy of historical, industrial heritage.</w:t>
      </w:r>
    </w:p>
    <w:p w14:paraId="6E46A076" w14:textId="77777777" w:rsidR="00042537" w:rsidRPr="00042537" w:rsidRDefault="00042537" w:rsidP="00042537">
      <w:pPr>
        <w:pStyle w:val="Default"/>
      </w:pPr>
    </w:p>
    <w:p w14:paraId="2686BD50" w14:textId="77777777" w:rsidR="00042537" w:rsidRDefault="005F30E7" w:rsidP="004B094C">
      <w:pPr>
        <w:pStyle w:val="CM3"/>
        <w:spacing w:line="360" w:lineRule="auto"/>
        <w:ind w:right="-34"/>
        <w:rPr>
          <w:sz w:val="22"/>
          <w:szCs w:val="22"/>
        </w:rPr>
      </w:pPr>
      <w:r>
        <w:rPr>
          <w:sz w:val="22"/>
          <w:szCs w:val="22"/>
        </w:rPr>
        <w:t xml:space="preserve">Lancashire covers just over 3,000 square kilometres including </w:t>
      </w:r>
      <w:r w:rsidR="00500575">
        <w:rPr>
          <w:sz w:val="22"/>
          <w:szCs w:val="22"/>
        </w:rPr>
        <w:t xml:space="preserve">123 </w:t>
      </w:r>
      <w:r>
        <w:rPr>
          <w:sz w:val="22"/>
          <w:szCs w:val="22"/>
        </w:rPr>
        <w:t xml:space="preserve">kilometres of coastline stretching from Morecambe Bay in the north of the county, down to the sands of West Lancashire in the south. </w:t>
      </w:r>
      <w:r w:rsidR="007D7D46">
        <w:rPr>
          <w:sz w:val="22"/>
          <w:szCs w:val="22"/>
        </w:rPr>
        <w:t xml:space="preserve"> </w:t>
      </w:r>
      <w:r>
        <w:rPr>
          <w:sz w:val="22"/>
          <w:szCs w:val="22"/>
        </w:rPr>
        <w:t xml:space="preserve">The County has an extensive motorway network, port facilities, nuclear installations and airports and is home to a diverse demographic, with </w:t>
      </w:r>
      <w:r w:rsidR="00C64B09">
        <w:rPr>
          <w:sz w:val="22"/>
          <w:szCs w:val="22"/>
        </w:rPr>
        <w:t xml:space="preserve">almost </w:t>
      </w:r>
      <w:r>
        <w:rPr>
          <w:sz w:val="22"/>
          <w:szCs w:val="22"/>
        </w:rPr>
        <w:t>20% of our population being over retirement age and 10% representing Black and Min</w:t>
      </w:r>
      <w:r w:rsidR="007D7D46">
        <w:rPr>
          <w:sz w:val="22"/>
          <w:szCs w:val="22"/>
        </w:rPr>
        <w:t xml:space="preserve">ority Ethnic (BME) communities. </w:t>
      </w:r>
    </w:p>
    <w:p w14:paraId="1A197603" w14:textId="77777777" w:rsidR="005F30E7" w:rsidRDefault="005F30E7" w:rsidP="004B094C">
      <w:pPr>
        <w:pStyle w:val="CM3"/>
        <w:spacing w:line="360" w:lineRule="auto"/>
        <w:ind w:right="-34"/>
        <w:rPr>
          <w:sz w:val="22"/>
          <w:szCs w:val="22"/>
        </w:rPr>
      </w:pPr>
      <w:r>
        <w:rPr>
          <w:sz w:val="22"/>
          <w:szCs w:val="22"/>
        </w:rPr>
        <w:lastRenderedPageBreak/>
        <w:t>The County is bordered by Cumbria to the north and North Yorkshire, West Yorkshire, Greater Manchester and Merseyside moving from east to south.  The major conurbations are Lancaster, Preston, Burnley, Blackburn, Accrington, Chorley and the seasonal town of Blackpool which receives around 16 million</w:t>
      </w:r>
      <w:r w:rsidR="00906860">
        <w:rPr>
          <w:sz w:val="22"/>
          <w:szCs w:val="22"/>
        </w:rPr>
        <w:t xml:space="preserve"> visitors per year.</w:t>
      </w:r>
    </w:p>
    <w:p w14:paraId="5DD123A9" w14:textId="77777777" w:rsidR="00C64B09" w:rsidRPr="00C64B09" w:rsidRDefault="00C64B09" w:rsidP="00F530B0">
      <w:pPr>
        <w:pStyle w:val="Default"/>
        <w:ind w:right="-34"/>
      </w:pPr>
    </w:p>
    <w:p w14:paraId="3B51EAAE" w14:textId="77777777" w:rsidR="005F30E7" w:rsidRPr="00701EEC" w:rsidRDefault="005F30E7" w:rsidP="00F530B0">
      <w:pPr>
        <w:pStyle w:val="Heading2"/>
        <w:ind w:right="-34"/>
        <w:rPr>
          <w:rFonts w:ascii="Arial" w:hAnsi="Arial" w:cs="Arial"/>
        </w:rPr>
      </w:pPr>
      <w:bookmarkStart w:id="4" w:name="_Toc21616112"/>
      <w:r w:rsidRPr="00701EEC">
        <w:rPr>
          <w:rFonts w:ascii="Arial" w:hAnsi="Arial" w:cs="Arial"/>
        </w:rPr>
        <w:t>Lancashire Fire and Rescue Service (LFRS)</w:t>
      </w:r>
      <w:bookmarkEnd w:id="4"/>
      <w:r w:rsidRPr="00701EEC">
        <w:rPr>
          <w:rFonts w:ascii="Arial" w:hAnsi="Arial" w:cs="Arial"/>
        </w:rPr>
        <w:t xml:space="preserve"> </w:t>
      </w:r>
    </w:p>
    <w:p w14:paraId="50A4D859" w14:textId="77777777" w:rsidR="005F30E7" w:rsidRDefault="005F30E7" w:rsidP="004B094C">
      <w:pPr>
        <w:pStyle w:val="CM11"/>
        <w:spacing w:after="375" w:line="360" w:lineRule="auto"/>
        <w:ind w:right="-34"/>
        <w:rPr>
          <w:sz w:val="22"/>
          <w:szCs w:val="22"/>
        </w:rPr>
      </w:pPr>
      <w:r>
        <w:rPr>
          <w:sz w:val="22"/>
          <w:szCs w:val="22"/>
        </w:rPr>
        <w:t xml:space="preserve">LFRS is the service provider on behalf of the CFA.  We currently operate from </w:t>
      </w:r>
      <w:r w:rsidR="00220580">
        <w:rPr>
          <w:sz w:val="22"/>
          <w:szCs w:val="22"/>
        </w:rPr>
        <w:t>39</w:t>
      </w:r>
      <w:r>
        <w:rPr>
          <w:sz w:val="22"/>
          <w:szCs w:val="22"/>
        </w:rPr>
        <w:t xml:space="preserve"> locations (with 58 front-line fire engines and a fleet of specialist vehicles), a</w:t>
      </w:r>
      <w:r w:rsidR="00DB6A1B">
        <w:rPr>
          <w:sz w:val="22"/>
          <w:szCs w:val="22"/>
        </w:rPr>
        <w:t>n integrated</w:t>
      </w:r>
      <w:r>
        <w:rPr>
          <w:sz w:val="22"/>
          <w:szCs w:val="22"/>
        </w:rPr>
        <w:t xml:space="preserve"> Urban Search and Rescue </w:t>
      </w:r>
      <w:r w:rsidR="00DB6A1B">
        <w:rPr>
          <w:sz w:val="22"/>
          <w:szCs w:val="22"/>
        </w:rPr>
        <w:t>capability</w:t>
      </w:r>
      <w:r>
        <w:rPr>
          <w:sz w:val="22"/>
          <w:szCs w:val="22"/>
        </w:rPr>
        <w:t xml:space="preserve">, Service Headquarters </w:t>
      </w:r>
      <w:r w:rsidR="008A10FD">
        <w:rPr>
          <w:sz w:val="22"/>
          <w:szCs w:val="22"/>
        </w:rPr>
        <w:t>in</w:t>
      </w:r>
      <w:r>
        <w:rPr>
          <w:sz w:val="22"/>
          <w:szCs w:val="22"/>
        </w:rPr>
        <w:t xml:space="preserve"> Fulwood and our Service Training Centre in Euxton, Chorley.  </w:t>
      </w:r>
      <w:r w:rsidR="00785FF9">
        <w:rPr>
          <w:sz w:val="22"/>
          <w:szCs w:val="22"/>
        </w:rPr>
        <w:t>LFRS s</w:t>
      </w:r>
      <w:r>
        <w:rPr>
          <w:sz w:val="22"/>
          <w:szCs w:val="22"/>
        </w:rPr>
        <w:t xml:space="preserve">taff deliver an extensive range of prevention, protection and emergency response </w:t>
      </w:r>
      <w:r w:rsidR="00785FF9">
        <w:rPr>
          <w:sz w:val="22"/>
          <w:szCs w:val="22"/>
        </w:rPr>
        <w:t>services throughout Lancashire.</w:t>
      </w:r>
    </w:p>
    <w:p w14:paraId="5F0C9E94" w14:textId="77777777" w:rsidR="005F30E7" w:rsidRDefault="005F30E7" w:rsidP="004B094C">
      <w:pPr>
        <w:pStyle w:val="CM11"/>
        <w:spacing w:after="375" w:line="360" w:lineRule="auto"/>
        <w:ind w:right="-34"/>
        <w:rPr>
          <w:sz w:val="22"/>
          <w:szCs w:val="22"/>
        </w:rPr>
      </w:pPr>
      <w:r>
        <w:rPr>
          <w:sz w:val="22"/>
          <w:szCs w:val="22"/>
        </w:rPr>
        <w:t xml:space="preserve">To deliver these services, we employ circa </w:t>
      </w:r>
      <w:r w:rsidR="00D37FF5">
        <w:rPr>
          <w:sz w:val="22"/>
          <w:szCs w:val="22"/>
        </w:rPr>
        <w:t xml:space="preserve">1000 </w:t>
      </w:r>
      <w:r>
        <w:rPr>
          <w:sz w:val="22"/>
          <w:szCs w:val="22"/>
        </w:rPr>
        <w:t>operational staff in a wide variety of roles using a variety of shift systems</w:t>
      </w:r>
      <w:r w:rsidR="00FD15F9">
        <w:rPr>
          <w:sz w:val="22"/>
          <w:szCs w:val="22"/>
        </w:rPr>
        <w:t>;</w:t>
      </w:r>
      <w:r>
        <w:rPr>
          <w:sz w:val="22"/>
          <w:szCs w:val="22"/>
        </w:rPr>
        <w:t xml:space="preserve"> </w:t>
      </w:r>
      <w:r w:rsidR="002F2F95">
        <w:rPr>
          <w:sz w:val="22"/>
          <w:szCs w:val="22"/>
        </w:rPr>
        <w:t>Whole-time</w:t>
      </w:r>
      <w:r w:rsidR="006E77AE">
        <w:rPr>
          <w:sz w:val="22"/>
          <w:szCs w:val="22"/>
        </w:rPr>
        <w:t>, On-Call</w:t>
      </w:r>
      <w:r>
        <w:rPr>
          <w:sz w:val="22"/>
          <w:szCs w:val="22"/>
        </w:rPr>
        <w:t>, Day Crew</w:t>
      </w:r>
      <w:r w:rsidR="00FD15F9">
        <w:rPr>
          <w:sz w:val="22"/>
          <w:szCs w:val="22"/>
        </w:rPr>
        <w:t>ed</w:t>
      </w:r>
      <w:r>
        <w:rPr>
          <w:sz w:val="22"/>
          <w:szCs w:val="22"/>
        </w:rPr>
        <w:t>,</w:t>
      </w:r>
      <w:r w:rsidR="00FD15F9">
        <w:rPr>
          <w:sz w:val="22"/>
          <w:szCs w:val="22"/>
        </w:rPr>
        <w:t xml:space="preserve"> Day Crewing Plus and Day Duty (Figure 2).</w:t>
      </w:r>
    </w:p>
    <w:p w14:paraId="022C8237" w14:textId="77777777" w:rsidR="00E670CE" w:rsidRPr="00042537" w:rsidRDefault="00C64B09" w:rsidP="00042537">
      <w:pPr>
        <w:pStyle w:val="CM3"/>
        <w:spacing w:line="360" w:lineRule="auto"/>
        <w:ind w:right="-34"/>
        <w:rPr>
          <w:sz w:val="22"/>
          <w:szCs w:val="22"/>
        </w:rPr>
      </w:pPr>
      <w:r>
        <w:rPr>
          <w:sz w:val="22"/>
          <w:szCs w:val="22"/>
        </w:rPr>
        <w:t>O</w:t>
      </w:r>
      <w:r w:rsidR="005F30E7">
        <w:rPr>
          <w:sz w:val="22"/>
          <w:szCs w:val="22"/>
        </w:rPr>
        <w:t xml:space="preserve">ur Mobilising and Control Centre moved to </w:t>
      </w:r>
      <w:r w:rsidR="005F30E7" w:rsidRPr="00FD15F9">
        <w:rPr>
          <w:sz w:val="22"/>
          <w:szCs w:val="22"/>
        </w:rPr>
        <w:t>North West Fire Control</w:t>
      </w:r>
      <w:r w:rsidR="00FD15F9">
        <w:rPr>
          <w:sz w:val="22"/>
          <w:szCs w:val="22"/>
        </w:rPr>
        <w:t xml:space="preserve"> </w:t>
      </w:r>
      <w:r w:rsidR="005F30E7">
        <w:rPr>
          <w:sz w:val="22"/>
          <w:szCs w:val="22"/>
        </w:rPr>
        <w:t>(NWFC)</w:t>
      </w:r>
      <w:r>
        <w:rPr>
          <w:sz w:val="22"/>
          <w:szCs w:val="22"/>
        </w:rPr>
        <w:t xml:space="preserve">, </w:t>
      </w:r>
      <w:r w:rsidR="005F30E7">
        <w:rPr>
          <w:sz w:val="22"/>
          <w:szCs w:val="22"/>
        </w:rPr>
        <w:t>Warrington</w:t>
      </w:r>
      <w:r w:rsidR="00910788">
        <w:rPr>
          <w:sz w:val="22"/>
          <w:szCs w:val="22"/>
        </w:rPr>
        <w:t xml:space="preserve"> in 2014. We work</w:t>
      </w:r>
      <w:r w:rsidR="005F30E7">
        <w:rPr>
          <w:sz w:val="22"/>
          <w:szCs w:val="22"/>
        </w:rPr>
        <w:t xml:space="preserve"> collaboratively with Cumbria, Greater Manchester and Cheshire Fire and Rescue Services.</w:t>
      </w:r>
    </w:p>
    <w:p w14:paraId="008C216C" w14:textId="77777777" w:rsidR="005F30E7" w:rsidRDefault="00AA412D" w:rsidP="00F530B0">
      <w:pPr>
        <w:pStyle w:val="Default"/>
        <w:pageBreakBefore/>
        <w:framePr w:w="9042" w:wrap="auto" w:vAnchor="page" w:hAnchor="page" w:x="1509" w:y="1427"/>
        <w:spacing w:after="260"/>
        <w:ind w:right="-34"/>
        <w:jc w:val="center"/>
        <w:rPr>
          <w:color w:val="auto"/>
          <w:sz w:val="22"/>
          <w:szCs w:val="22"/>
        </w:rPr>
      </w:pPr>
      <w:r>
        <w:rPr>
          <w:noProof/>
          <w:color w:val="auto"/>
          <w:sz w:val="22"/>
          <w:szCs w:val="22"/>
        </w:rPr>
        <w:lastRenderedPageBreak/>
        <w:drawing>
          <wp:inline distT="0" distB="0" distL="0" distR="0" wp14:anchorId="7DEC2B23" wp14:editId="683FD36D">
            <wp:extent cx="5741670" cy="5745480"/>
            <wp:effectExtent l="0" t="0" r="0" b="7620"/>
            <wp:docPr id="2" name="Picture 2" descr="This shows the map of Lancashire, the 39 different fire stations broken down into six areas and the crewing arrangements at each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jpg"/>
                    <pic:cNvPicPr/>
                  </pic:nvPicPr>
                  <pic:blipFill>
                    <a:blip r:embed="rId11">
                      <a:extLst>
                        <a:ext uri="{28A0092B-C50C-407E-A947-70E740481C1C}">
                          <a14:useLocalDpi xmlns:a14="http://schemas.microsoft.com/office/drawing/2010/main" val="0"/>
                        </a:ext>
                      </a:extLst>
                    </a:blip>
                    <a:stretch>
                      <a:fillRect/>
                    </a:stretch>
                  </pic:blipFill>
                  <pic:spPr>
                    <a:xfrm>
                      <a:off x="0" y="0"/>
                      <a:ext cx="5741670" cy="5745480"/>
                    </a:xfrm>
                    <a:prstGeom prst="rect">
                      <a:avLst/>
                    </a:prstGeom>
                  </pic:spPr>
                </pic:pic>
              </a:graphicData>
            </a:graphic>
          </wp:inline>
        </w:drawing>
      </w:r>
    </w:p>
    <w:p w14:paraId="1AEACA83" w14:textId="3ECE1106" w:rsidR="00FD15F9" w:rsidRDefault="00491B1D" w:rsidP="00F530B0">
      <w:pPr>
        <w:pStyle w:val="Caption"/>
        <w:ind w:right="-34"/>
      </w:pPr>
      <w:bookmarkStart w:id="5" w:name="_Toc21616128"/>
      <w:r>
        <w:t xml:space="preserve">Figure </w:t>
      </w:r>
      <w:r w:rsidR="00B602CB">
        <w:fldChar w:fldCharType="begin"/>
      </w:r>
      <w:r w:rsidR="00B602CB">
        <w:instrText xml:space="preserve"> SEQ Figure \* ARABIC </w:instrText>
      </w:r>
      <w:r w:rsidR="00B602CB">
        <w:fldChar w:fldCharType="separate"/>
      </w:r>
      <w:r w:rsidR="00B602CB">
        <w:rPr>
          <w:noProof/>
        </w:rPr>
        <w:t>2</w:t>
      </w:r>
      <w:r w:rsidR="00B602CB">
        <w:rPr>
          <w:noProof/>
        </w:rPr>
        <w:fldChar w:fldCharType="end"/>
      </w:r>
      <w:r>
        <w:t xml:space="preserve"> - Service Delivery Areas and Fire Station locations</w:t>
      </w:r>
      <w:bookmarkEnd w:id="5"/>
    </w:p>
    <w:p w14:paraId="3C67B663" w14:textId="77777777" w:rsidR="00AA412D" w:rsidRPr="00AA412D" w:rsidRDefault="00AA412D" w:rsidP="00F530B0">
      <w:pPr>
        <w:ind w:right="-34"/>
      </w:pPr>
    </w:p>
    <w:p w14:paraId="71CCC080" w14:textId="77777777" w:rsidR="000D57B4" w:rsidRPr="00701EEC" w:rsidRDefault="000D57B4" w:rsidP="00F530B0">
      <w:pPr>
        <w:pStyle w:val="Heading1"/>
        <w:ind w:right="-34"/>
        <w:rPr>
          <w:rFonts w:cs="Arial"/>
        </w:rPr>
      </w:pPr>
      <w:bookmarkStart w:id="6" w:name="_Toc21616113"/>
      <w:r w:rsidRPr="00701EEC">
        <w:rPr>
          <w:rFonts w:cs="Arial"/>
        </w:rPr>
        <w:t>2. Financial Assurance</w:t>
      </w:r>
      <w:bookmarkEnd w:id="6"/>
      <w:r w:rsidRPr="00701EEC">
        <w:rPr>
          <w:rFonts w:cs="Arial"/>
        </w:rPr>
        <w:t xml:space="preserve"> </w:t>
      </w:r>
    </w:p>
    <w:p w14:paraId="5701F06D" w14:textId="77777777" w:rsidR="000D57B4" w:rsidRDefault="000D57B4" w:rsidP="004B094C">
      <w:pPr>
        <w:pStyle w:val="CM3"/>
        <w:spacing w:line="360" w:lineRule="auto"/>
        <w:ind w:right="-34"/>
        <w:rPr>
          <w:sz w:val="22"/>
          <w:szCs w:val="22"/>
        </w:rPr>
      </w:pPr>
      <w:r>
        <w:rPr>
          <w:sz w:val="22"/>
          <w:szCs w:val="22"/>
        </w:rPr>
        <w:t xml:space="preserve">All local authority accounts are required to adopt ‘proper accounting practice’ based on either statutory requirements or the code of practice on local authority accounting.  These specify the principles and practices of accounting required to prepare a Statement of Accounts that ‘present a true and fair view’. </w:t>
      </w:r>
    </w:p>
    <w:p w14:paraId="00715E3E" w14:textId="77777777" w:rsidR="000D57B4" w:rsidRPr="00751870" w:rsidRDefault="000D57B4" w:rsidP="004B094C">
      <w:pPr>
        <w:pStyle w:val="CM3"/>
        <w:spacing w:line="360" w:lineRule="auto"/>
        <w:ind w:right="-34"/>
        <w:rPr>
          <w:sz w:val="22"/>
          <w:szCs w:val="22"/>
        </w:rPr>
      </w:pPr>
    </w:p>
    <w:p w14:paraId="18391F6E" w14:textId="77777777" w:rsidR="000D57B4" w:rsidRDefault="000D57B4" w:rsidP="004B094C">
      <w:pPr>
        <w:pStyle w:val="CM3"/>
        <w:spacing w:line="360" w:lineRule="auto"/>
        <w:ind w:right="-34"/>
        <w:rPr>
          <w:sz w:val="22"/>
          <w:szCs w:val="22"/>
        </w:rPr>
      </w:pPr>
      <w:r>
        <w:rPr>
          <w:sz w:val="22"/>
          <w:szCs w:val="22"/>
        </w:rPr>
        <w:t>The Treasurer to the CFA provides publically available annual accounts which are approved by the Resources Committee.</w:t>
      </w:r>
    </w:p>
    <w:p w14:paraId="62778D8F" w14:textId="77777777" w:rsidR="000D57B4" w:rsidRPr="00751870" w:rsidRDefault="000D57B4" w:rsidP="00F530B0">
      <w:pPr>
        <w:pStyle w:val="Default"/>
        <w:ind w:right="-34"/>
      </w:pPr>
    </w:p>
    <w:p w14:paraId="1F7EA10C" w14:textId="77777777" w:rsidR="00F530B0" w:rsidRDefault="00F530B0" w:rsidP="00F530B0">
      <w:pPr>
        <w:pStyle w:val="CM3"/>
        <w:spacing w:line="360" w:lineRule="auto"/>
        <w:ind w:right="-34"/>
        <w:jc w:val="both"/>
        <w:rPr>
          <w:sz w:val="22"/>
          <w:szCs w:val="22"/>
        </w:rPr>
      </w:pPr>
    </w:p>
    <w:p w14:paraId="57F50F57" w14:textId="77777777" w:rsidR="000D57B4" w:rsidRDefault="000D57B4" w:rsidP="004B094C">
      <w:pPr>
        <w:pStyle w:val="CM3"/>
        <w:spacing w:line="360" w:lineRule="auto"/>
        <w:ind w:right="-34"/>
        <w:rPr>
          <w:sz w:val="22"/>
          <w:szCs w:val="22"/>
        </w:rPr>
      </w:pPr>
      <w:r>
        <w:rPr>
          <w:sz w:val="22"/>
          <w:szCs w:val="22"/>
        </w:rPr>
        <w:lastRenderedPageBreak/>
        <w:t xml:space="preserve">An independent audit of the accounts is undertaken by an external auditing body, Grant Thornton.  The external auditor undertakes a review of the accounts and forms an overall opinion which is published in September of each year.  The audit for 2018/19 was conducted in accordance with the Local Audit and Accountability Act 2014 and provided the following – </w:t>
      </w:r>
    </w:p>
    <w:p w14:paraId="6F5A6F78" w14:textId="77777777" w:rsidR="000D57B4" w:rsidRDefault="000D57B4" w:rsidP="004B094C">
      <w:pPr>
        <w:pStyle w:val="CM3"/>
        <w:numPr>
          <w:ilvl w:val="0"/>
          <w:numId w:val="13"/>
        </w:numPr>
        <w:spacing w:line="360" w:lineRule="auto"/>
        <w:ind w:right="-34"/>
        <w:rPr>
          <w:sz w:val="22"/>
          <w:szCs w:val="22"/>
        </w:rPr>
      </w:pPr>
      <w:r>
        <w:rPr>
          <w:sz w:val="22"/>
          <w:szCs w:val="22"/>
        </w:rPr>
        <w:t>An unqualified opinion on the accounts which gives a true and fair view of the Authority’s financial position as at 31 March 2019 and its income and expenditure for the year.</w:t>
      </w:r>
    </w:p>
    <w:p w14:paraId="7B7339E3" w14:textId="77777777" w:rsidR="000D57B4" w:rsidRPr="00FF51C5" w:rsidRDefault="000D57B4" w:rsidP="004B094C">
      <w:pPr>
        <w:pStyle w:val="CM3"/>
        <w:numPr>
          <w:ilvl w:val="0"/>
          <w:numId w:val="13"/>
        </w:numPr>
        <w:spacing w:line="360" w:lineRule="auto"/>
        <w:ind w:right="-34"/>
        <w:rPr>
          <w:sz w:val="22"/>
          <w:szCs w:val="22"/>
        </w:rPr>
      </w:pPr>
      <w:r>
        <w:rPr>
          <w:sz w:val="22"/>
          <w:szCs w:val="22"/>
        </w:rPr>
        <w:t>An unqualified conclusion in respect of the Authority’s arrangements for securing economy, efficiency and effectiveness in its use of resources.</w:t>
      </w:r>
      <w:r>
        <w:rPr>
          <w:sz w:val="22"/>
          <w:szCs w:val="22"/>
        </w:rPr>
        <w:br/>
      </w:r>
    </w:p>
    <w:p w14:paraId="0E80BDDE" w14:textId="77777777" w:rsidR="000D57B4" w:rsidRPr="00906860" w:rsidRDefault="000D57B4" w:rsidP="004B094C">
      <w:pPr>
        <w:pStyle w:val="CM11"/>
        <w:spacing w:after="375" w:line="360" w:lineRule="auto"/>
        <w:ind w:right="-34"/>
        <w:rPr>
          <w:sz w:val="22"/>
          <w:szCs w:val="22"/>
        </w:rPr>
      </w:pPr>
      <w:r w:rsidRPr="00906860">
        <w:rPr>
          <w:sz w:val="22"/>
          <w:szCs w:val="22"/>
        </w:rPr>
        <w:t>A copy of the Statement of Accounts 201</w:t>
      </w:r>
      <w:r>
        <w:rPr>
          <w:sz w:val="22"/>
          <w:szCs w:val="22"/>
        </w:rPr>
        <w:t>8</w:t>
      </w:r>
      <w:r w:rsidRPr="00906860">
        <w:rPr>
          <w:sz w:val="22"/>
          <w:szCs w:val="22"/>
        </w:rPr>
        <w:t>/1</w:t>
      </w:r>
      <w:r>
        <w:rPr>
          <w:sz w:val="22"/>
          <w:szCs w:val="22"/>
        </w:rPr>
        <w:t>9</w:t>
      </w:r>
      <w:r w:rsidRPr="00906860">
        <w:rPr>
          <w:sz w:val="22"/>
          <w:szCs w:val="22"/>
        </w:rPr>
        <w:t xml:space="preserve"> </w:t>
      </w:r>
      <w:r w:rsidRPr="00F31A69">
        <w:rPr>
          <w:sz w:val="22"/>
          <w:szCs w:val="22"/>
        </w:rPr>
        <w:t xml:space="preserve">can be found </w:t>
      </w:r>
      <w:hyperlink r:id="rId12" w:history="1">
        <w:r w:rsidRPr="00F31A69">
          <w:rPr>
            <w:rStyle w:val="Hyperlink"/>
            <w:rFonts w:cs="Arial"/>
            <w:sz w:val="22"/>
            <w:szCs w:val="22"/>
          </w:rPr>
          <w:t>here</w:t>
        </w:r>
      </w:hyperlink>
      <w:r w:rsidRPr="00F31A69">
        <w:rPr>
          <w:sz w:val="22"/>
          <w:szCs w:val="22"/>
        </w:rPr>
        <w:t>.</w:t>
      </w:r>
    </w:p>
    <w:p w14:paraId="7C009F9F" w14:textId="77777777" w:rsidR="000D57B4" w:rsidRPr="00751870" w:rsidRDefault="000D57B4" w:rsidP="004B094C">
      <w:pPr>
        <w:pStyle w:val="CM14"/>
        <w:spacing w:after="480" w:line="360" w:lineRule="auto"/>
        <w:ind w:right="-29"/>
        <w:rPr>
          <w:sz w:val="22"/>
          <w:szCs w:val="22"/>
        </w:rPr>
      </w:pPr>
      <w:r w:rsidRPr="00751870">
        <w:rPr>
          <w:sz w:val="22"/>
          <w:szCs w:val="22"/>
        </w:rPr>
        <w:t xml:space="preserve">A copy </w:t>
      </w:r>
      <w:r w:rsidRPr="00F530B0">
        <w:rPr>
          <w:szCs w:val="22"/>
        </w:rPr>
        <w:t>o</w:t>
      </w:r>
      <w:r w:rsidRPr="00751870">
        <w:rPr>
          <w:sz w:val="22"/>
          <w:szCs w:val="22"/>
        </w:rPr>
        <w:t>f</w:t>
      </w:r>
      <w:r>
        <w:rPr>
          <w:sz w:val="22"/>
          <w:szCs w:val="22"/>
        </w:rPr>
        <w:t xml:space="preserve"> Robin J Baker’s audit report on behalf of </w:t>
      </w:r>
      <w:r w:rsidRPr="00751870">
        <w:rPr>
          <w:sz w:val="22"/>
          <w:szCs w:val="22"/>
        </w:rPr>
        <w:t>Grant Thornt</w:t>
      </w:r>
      <w:r>
        <w:rPr>
          <w:sz w:val="22"/>
          <w:szCs w:val="22"/>
        </w:rPr>
        <w:t xml:space="preserve">on’s can </w:t>
      </w:r>
      <w:r w:rsidRPr="00F31A69">
        <w:rPr>
          <w:sz w:val="22"/>
          <w:szCs w:val="22"/>
        </w:rPr>
        <w:t xml:space="preserve">be found </w:t>
      </w:r>
      <w:hyperlink r:id="rId13" w:history="1">
        <w:r w:rsidRPr="00F31A69">
          <w:rPr>
            <w:rStyle w:val="Hyperlink"/>
            <w:rFonts w:cs="Arial"/>
          </w:rPr>
          <w:t>here</w:t>
        </w:r>
        <w:r w:rsidRPr="00F31A69">
          <w:rPr>
            <w:rStyle w:val="Hyperlink"/>
            <w:rFonts w:cs="Arial"/>
            <w:sz w:val="22"/>
            <w:szCs w:val="22"/>
          </w:rPr>
          <w:t>.</w:t>
        </w:r>
      </w:hyperlink>
    </w:p>
    <w:p w14:paraId="3EF89CE2" w14:textId="77777777" w:rsidR="000D57B4" w:rsidRPr="00751870" w:rsidRDefault="000D57B4" w:rsidP="00F530B0">
      <w:pPr>
        <w:pStyle w:val="Heading1"/>
        <w:spacing w:before="120" w:line="360" w:lineRule="auto"/>
        <w:ind w:right="-29"/>
        <w:rPr>
          <w:rFonts w:cs="Arial"/>
        </w:rPr>
      </w:pPr>
      <w:bookmarkStart w:id="7" w:name="_Toc21616114"/>
      <w:r w:rsidRPr="00751870">
        <w:rPr>
          <w:rFonts w:cs="Arial"/>
        </w:rPr>
        <w:t>3. Assurance on Governance</w:t>
      </w:r>
      <w:bookmarkEnd w:id="7"/>
      <w:r w:rsidRPr="00751870">
        <w:rPr>
          <w:rFonts w:cs="Arial"/>
        </w:rPr>
        <w:t xml:space="preserve"> </w:t>
      </w:r>
    </w:p>
    <w:p w14:paraId="62A76955" w14:textId="77777777" w:rsidR="000D57B4" w:rsidRDefault="000D57B4" w:rsidP="004B094C">
      <w:pPr>
        <w:pStyle w:val="CM3"/>
        <w:spacing w:line="360" w:lineRule="auto"/>
        <w:ind w:right="-34"/>
        <w:rPr>
          <w:sz w:val="22"/>
          <w:szCs w:val="22"/>
        </w:rPr>
      </w:pPr>
      <w:r>
        <w:rPr>
          <w:sz w:val="22"/>
          <w:szCs w:val="22"/>
        </w:rPr>
        <w:t>The Accounts and Audit Regulations 2015 require the CFA to publish an Annual Governance Statement along with the Authority’s financial statements, following a review of the effectiveness of the internal controls in place.  It sets out the key elements of the Authority’s governance framework, how these have been evaluated, the outcome of the assessment of effectiveness and any areas for improvement.</w:t>
      </w:r>
    </w:p>
    <w:p w14:paraId="4B80DCE9" w14:textId="77777777" w:rsidR="000D57B4" w:rsidRPr="00751870" w:rsidRDefault="000D57B4" w:rsidP="004B094C">
      <w:pPr>
        <w:pStyle w:val="Default"/>
        <w:ind w:right="-34"/>
      </w:pPr>
    </w:p>
    <w:p w14:paraId="29A7BA3A" w14:textId="77777777" w:rsidR="000D57B4" w:rsidRDefault="000D57B4" w:rsidP="004B094C">
      <w:pPr>
        <w:pStyle w:val="CM3"/>
        <w:spacing w:line="360" w:lineRule="auto"/>
        <w:ind w:right="-34"/>
        <w:rPr>
          <w:sz w:val="22"/>
          <w:szCs w:val="22"/>
        </w:rPr>
      </w:pPr>
      <w:r>
        <w:rPr>
          <w:sz w:val="22"/>
          <w:szCs w:val="22"/>
        </w:rPr>
        <w:t>The Audit Committee has approved and adopted an updated Code of Corporate Governance, in line with guidance produced jointly by CIPFA (Chartered Institute of Public Finance Accountants) and SOLACE (Society of Local Authority Chief Executives).  The Code defines corporate governance as the way an authority ensures that it is doing the right things, in the right way, for the right people, in a timely, inclusive, open, honest and accountable manner.</w:t>
      </w:r>
    </w:p>
    <w:p w14:paraId="22A005E9" w14:textId="77777777" w:rsidR="000D57B4" w:rsidRPr="00751870" w:rsidRDefault="000D57B4" w:rsidP="004B094C">
      <w:pPr>
        <w:pStyle w:val="Default"/>
        <w:ind w:right="-34"/>
      </w:pPr>
    </w:p>
    <w:p w14:paraId="700F7004" w14:textId="77777777" w:rsidR="000D57B4" w:rsidRDefault="000D57B4" w:rsidP="004B094C">
      <w:pPr>
        <w:pStyle w:val="CM3"/>
        <w:spacing w:line="360" w:lineRule="auto"/>
        <w:ind w:right="-34"/>
        <w:rPr>
          <w:sz w:val="22"/>
          <w:szCs w:val="22"/>
        </w:rPr>
      </w:pPr>
      <w:r>
        <w:rPr>
          <w:sz w:val="22"/>
          <w:szCs w:val="22"/>
        </w:rPr>
        <w:t xml:space="preserve">Included within the Code are the following core principles:- </w:t>
      </w:r>
    </w:p>
    <w:p w14:paraId="1B494862" w14:textId="77777777" w:rsidR="000D57B4" w:rsidRPr="00740455" w:rsidRDefault="000D57B4" w:rsidP="004B094C">
      <w:pPr>
        <w:pStyle w:val="CM3"/>
        <w:numPr>
          <w:ilvl w:val="0"/>
          <w:numId w:val="14"/>
        </w:numPr>
        <w:spacing w:line="360" w:lineRule="auto"/>
        <w:ind w:right="-34"/>
      </w:pPr>
      <w:r w:rsidRPr="00487201">
        <w:rPr>
          <w:sz w:val="22"/>
          <w:szCs w:val="22"/>
        </w:rPr>
        <w:t>Behaving with integrity, demonstrating strong commitment to ethical values, and respecting the rule of law</w:t>
      </w:r>
      <w:r>
        <w:rPr>
          <w:sz w:val="22"/>
          <w:szCs w:val="22"/>
        </w:rPr>
        <w:t>;</w:t>
      </w:r>
      <w:r w:rsidRPr="00487201">
        <w:rPr>
          <w:sz w:val="22"/>
          <w:szCs w:val="22"/>
        </w:rPr>
        <w:t xml:space="preserve"> </w:t>
      </w:r>
    </w:p>
    <w:p w14:paraId="656AA60D" w14:textId="77777777" w:rsidR="000D57B4" w:rsidRPr="00487201" w:rsidRDefault="000D57B4" w:rsidP="004B094C">
      <w:pPr>
        <w:pStyle w:val="CM3"/>
        <w:numPr>
          <w:ilvl w:val="0"/>
          <w:numId w:val="14"/>
        </w:numPr>
        <w:spacing w:line="360" w:lineRule="auto"/>
        <w:ind w:right="-34"/>
        <w:rPr>
          <w:sz w:val="22"/>
          <w:szCs w:val="22"/>
        </w:rPr>
      </w:pPr>
      <w:r w:rsidRPr="00487201">
        <w:rPr>
          <w:sz w:val="22"/>
          <w:szCs w:val="22"/>
        </w:rPr>
        <w:t>Ensuring openness and comprehensive stakeholder engagement</w:t>
      </w:r>
      <w:r>
        <w:rPr>
          <w:sz w:val="22"/>
          <w:szCs w:val="22"/>
        </w:rPr>
        <w:t>;</w:t>
      </w:r>
      <w:r w:rsidRPr="00487201">
        <w:rPr>
          <w:sz w:val="22"/>
          <w:szCs w:val="22"/>
        </w:rPr>
        <w:t xml:space="preserve"> </w:t>
      </w:r>
    </w:p>
    <w:p w14:paraId="47712161" w14:textId="77777777" w:rsidR="000D57B4" w:rsidRPr="00740455" w:rsidRDefault="000D57B4" w:rsidP="004B094C">
      <w:pPr>
        <w:pStyle w:val="CM3"/>
        <w:numPr>
          <w:ilvl w:val="0"/>
          <w:numId w:val="14"/>
        </w:numPr>
        <w:spacing w:line="360" w:lineRule="auto"/>
        <w:ind w:right="-34"/>
      </w:pPr>
      <w:r w:rsidRPr="00487201">
        <w:rPr>
          <w:sz w:val="22"/>
          <w:szCs w:val="22"/>
        </w:rPr>
        <w:t>Defining outcomes in terms of sustainable economic, social, and environmental benefits</w:t>
      </w:r>
      <w:r>
        <w:rPr>
          <w:sz w:val="22"/>
          <w:szCs w:val="22"/>
        </w:rPr>
        <w:t>;</w:t>
      </w:r>
      <w:r w:rsidRPr="00487201">
        <w:rPr>
          <w:sz w:val="22"/>
          <w:szCs w:val="22"/>
        </w:rPr>
        <w:t xml:space="preserve"> </w:t>
      </w:r>
    </w:p>
    <w:p w14:paraId="5A1A6C37" w14:textId="77777777" w:rsidR="000D57B4" w:rsidRPr="00740455" w:rsidRDefault="000D57B4" w:rsidP="004B094C">
      <w:pPr>
        <w:pStyle w:val="CM3"/>
        <w:numPr>
          <w:ilvl w:val="0"/>
          <w:numId w:val="14"/>
        </w:numPr>
        <w:spacing w:line="360" w:lineRule="auto"/>
        <w:ind w:right="-34"/>
      </w:pPr>
      <w:r w:rsidRPr="00487201">
        <w:rPr>
          <w:sz w:val="22"/>
          <w:szCs w:val="22"/>
        </w:rPr>
        <w:t>Determining the interventions necessary to optimise the achievement of the intended outcomes</w:t>
      </w:r>
      <w:r>
        <w:rPr>
          <w:sz w:val="22"/>
          <w:szCs w:val="22"/>
        </w:rPr>
        <w:t>;</w:t>
      </w:r>
      <w:r w:rsidRPr="00487201">
        <w:rPr>
          <w:sz w:val="22"/>
          <w:szCs w:val="22"/>
        </w:rPr>
        <w:t xml:space="preserve"> </w:t>
      </w:r>
    </w:p>
    <w:p w14:paraId="42B65BFD" w14:textId="77777777" w:rsidR="000D57B4" w:rsidRPr="00740455" w:rsidRDefault="000D57B4" w:rsidP="004B094C">
      <w:pPr>
        <w:pStyle w:val="CM3"/>
        <w:numPr>
          <w:ilvl w:val="0"/>
          <w:numId w:val="14"/>
        </w:numPr>
        <w:spacing w:line="360" w:lineRule="auto"/>
        <w:ind w:right="-34"/>
      </w:pPr>
      <w:r w:rsidRPr="00487201">
        <w:rPr>
          <w:sz w:val="22"/>
          <w:szCs w:val="22"/>
        </w:rPr>
        <w:t xml:space="preserve">Developing the entity’s capacity, including the capability of its leadership and the </w:t>
      </w:r>
      <w:r w:rsidRPr="00487201">
        <w:rPr>
          <w:sz w:val="22"/>
          <w:szCs w:val="22"/>
        </w:rPr>
        <w:lastRenderedPageBreak/>
        <w:t>individuals within it</w:t>
      </w:r>
      <w:r>
        <w:rPr>
          <w:sz w:val="22"/>
          <w:szCs w:val="22"/>
        </w:rPr>
        <w:t>;</w:t>
      </w:r>
      <w:r w:rsidRPr="00487201">
        <w:rPr>
          <w:sz w:val="22"/>
          <w:szCs w:val="22"/>
        </w:rPr>
        <w:t xml:space="preserve"> </w:t>
      </w:r>
    </w:p>
    <w:p w14:paraId="68F3C2DD" w14:textId="77777777" w:rsidR="000D57B4" w:rsidRPr="00740455" w:rsidRDefault="000D57B4" w:rsidP="004B094C">
      <w:pPr>
        <w:pStyle w:val="CM3"/>
        <w:numPr>
          <w:ilvl w:val="0"/>
          <w:numId w:val="14"/>
        </w:numPr>
        <w:spacing w:line="360" w:lineRule="auto"/>
        <w:ind w:right="-34"/>
      </w:pPr>
      <w:r w:rsidRPr="00487201">
        <w:rPr>
          <w:sz w:val="22"/>
          <w:szCs w:val="22"/>
        </w:rPr>
        <w:t>Managing risks and performance through robust internal control and strong public financial management</w:t>
      </w:r>
      <w:r>
        <w:rPr>
          <w:sz w:val="22"/>
          <w:szCs w:val="22"/>
        </w:rPr>
        <w:t>;</w:t>
      </w:r>
      <w:r w:rsidRPr="00487201">
        <w:rPr>
          <w:sz w:val="22"/>
          <w:szCs w:val="22"/>
        </w:rPr>
        <w:t xml:space="preserve"> </w:t>
      </w:r>
    </w:p>
    <w:p w14:paraId="6A877CD6" w14:textId="77777777" w:rsidR="000D57B4" w:rsidRPr="00740455" w:rsidRDefault="000D57B4" w:rsidP="004B094C">
      <w:pPr>
        <w:pStyle w:val="CM3"/>
        <w:numPr>
          <w:ilvl w:val="0"/>
          <w:numId w:val="14"/>
        </w:numPr>
        <w:spacing w:line="360" w:lineRule="auto"/>
        <w:ind w:right="-34"/>
      </w:pPr>
      <w:r w:rsidRPr="00487201">
        <w:rPr>
          <w:sz w:val="22"/>
          <w:szCs w:val="22"/>
        </w:rPr>
        <w:t>Implementing good practices in transparency, reporting, and audit to deliver effective accountability</w:t>
      </w:r>
      <w:r>
        <w:rPr>
          <w:sz w:val="22"/>
          <w:szCs w:val="22"/>
        </w:rPr>
        <w:t>.</w:t>
      </w:r>
      <w:r w:rsidRPr="00487201">
        <w:rPr>
          <w:sz w:val="22"/>
          <w:szCs w:val="22"/>
        </w:rPr>
        <w:t xml:space="preserve"> </w:t>
      </w:r>
    </w:p>
    <w:p w14:paraId="6ACD14CD" w14:textId="77777777" w:rsidR="000D57B4" w:rsidRPr="00751870" w:rsidRDefault="000D57B4" w:rsidP="004B094C">
      <w:pPr>
        <w:pStyle w:val="CM3"/>
        <w:spacing w:line="360" w:lineRule="auto"/>
        <w:ind w:right="-34"/>
      </w:pPr>
      <w:r>
        <w:rPr>
          <w:sz w:val="22"/>
          <w:szCs w:val="22"/>
        </w:rPr>
        <w:t>The code also sets out the principles which support each of these core elements, as well as how the Authority will address each of these.</w:t>
      </w:r>
    </w:p>
    <w:p w14:paraId="58A3EE5D" w14:textId="77777777" w:rsidR="000D57B4" w:rsidRPr="00213F42" w:rsidRDefault="000D57B4" w:rsidP="004B094C">
      <w:pPr>
        <w:autoSpaceDE w:val="0"/>
        <w:autoSpaceDN w:val="0"/>
        <w:adjustRightInd w:val="0"/>
        <w:ind w:right="-34"/>
        <w:rPr>
          <w:rFonts w:cs="Arial"/>
        </w:rPr>
      </w:pPr>
      <w:r w:rsidRPr="00662F6B">
        <w:rPr>
          <w:rFonts w:cs="Arial"/>
        </w:rPr>
        <w:t xml:space="preserve"> </w:t>
      </w:r>
    </w:p>
    <w:p w14:paraId="23FC4339" w14:textId="77777777" w:rsidR="000D57B4" w:rsidRPr="000209DC" w:rsidRDefault="000D57B4" w:rsidP="004B094C">
      <w:pPr>
        <w:pStyle w:val="CM3"/>
        <w:spacing w:line="360" w:lineRule="auto"/>
        <w:ind w:right="-34"/>
        <w:rPr>
          <w:color w:val="FF0000"/>
          <w:sz w:val="22"/>
          <w:szCs w:val="22"/>
        </w:rPr>
      </w:pPr>
      <w:r w:rsidRPr="00213F42">
        <w:rPr>
          <w:sz w:val="22"/>
          <w:szCs w:val="22"/>
        </w:rPr>
        <w:t>The Authority has responsibility for conducting, at least annually, a review of the effectiveness of its governance framework including the system of internal control</w:t>
      </w:r>
      <w:r w:rsidRPr="00751870">
        <w:rPr>
          <w:sz w:val="22"/>
          <w:szCs w:val="22"/>
        </w:rPr>
        <w:t xml:space="preserve">. </w:t>
      </w:r>
      <w:r>
        <w:rPr>
          <w:sz w:val="22"/>
          <w:szCs w:val="22"/>
        </w:rPr>
        <w:t xml:space="preserve"> The 2018/19 </w:t>
      </w:r>
      <w:r w:rsidRPr="00751870">
        <w:rPr>
          <w:sz w:val="22"/>
          <w:szCs w:val="22"/>
        </w:rPr>
        <w:t xml:space="preserve">review was supported and informed by the work of both internal audit, which is undertaken by Lancashire County Council, and external audit, which is undertaken by Grant Thornton.  This self-assessment formed the basis of the Authority’s </w:t>
      </w:r>
      <w:hyperlink r:id="rId14" w:history="1">
        <w:r w:rsidRPr="00DB0E9E">
          <w:rPr>
            <w:rStyle w:val="Hyperlink"/>
            <w:rFonts w:cs="Arial"/>
          </w:rPr>
          <w:t>Annual Governance Statement for 201</w:t>
        </w:r>
        <w:r w:rsidR="0051263C">
          <w:rPr>
            <w:rStyle w:val="Hyperlink"/>
            <w:rFonts w:cs="Arial"/>
          </w:rPr>
          <w:t>8/19</w:t>
        </w:r>
        <w:r w:rsidRPr="00DB0E9E">
          <w:rPr>
            <w:rStyle w:val="Hyperlink"/>
            <w:rFonts w:cs="Arial"/>
            <w:sz w:val="22"/>
            <w:szCs w:val="22"/>
          </w:rPr>
          <w:t>,</w:t>
        </w:r>
      </w:hyperlink>
      <w:r w:rsidRPr="00751870">
        <w:rPr>
          <w:sz w:val="22"/>
          <w:szCs w:val="22"/>
        </w:rPr>
        <w:t xml:space="preserve"> which concluded that Lancashire Combined Fire Authority and Lancashire Fire and Rescue Service has in place a satisfactory system of internal control which facilitates the effective exercise of its functions and which includes arrangements for the management of risk, and that no significant gov</w:t>
      </w:r>
      <w:r>
        <w:rPr>
          <w:sz w:val="22"/>
          <w:szCs w:val="22"/>
        </w:rPr>
        <w:t>ernance issues were identified.</w:t>
      </w:r>
    </w:p>
    <w:p w14:paraId="1FABA897" w14:textId="77777777" w:rsidR="005F30E7" w:rsidRPr="00FF51C5" w:rsidRDefault="005F30E7" w:rsidP="00F530B0">
      <w:pPr>
        <w:pStyle w:val="Heading1"/>
        <w:ind w:right="-34"/>
        <w:rPr>
          <w:rFonts w:cs="Arial"/>
        </w:rPr>
      </w:pPr>
      <w:bookmarkStart w:id="8" w:name="_Toc21616115"/>
      <w:r w:rsidRPr="00FF51C5">
        <w:rPr>
          <w:rFonts w:cs="Arial"/>
        </w:rPr>
        <w:t>4. Operational Assurance</w:t>
      </w:r>
      <w:bookmarkEnd w:id="8"/>
      <w:r w:rsidRPr="00FF51C5">
        <w:rPr>
          <w:rFonts w:cs="Arial"/>
        </w:rPr>
        <w:t xml:space="preserve"> </w:t>
      </w:r>
    </w:p>
    <w:p w14:paraId="176F7C41" w14:textId="77777777" w:rsidR="003F0D31" w:rsidRDefault="005F30E7" w:rsidP="004B094C">
      <w:pPr>
        <w:pStyle w:val="CM3"/>
        <w:spacing w:line="360" w:lineRule="auto"/>
        <w:ind w:right="-34"/>
        <w:rPr>
          <w:sz w:val="22"/>
          <w:szCs w:val="22"/>
        </w:rPr>
      </w:pPr>
      <w:r w:rsidRPr="00FB11F1">
        <w:rPr>
          <w:sz w:val="22"/>
          <w:szCs w:val="22"/>
        </w:rPr>
        <w:t>The National Framework outlines the requirement placed upon F</w:t>
      </w:r>
      <w:r w:rsidR="00FB11F1" w:rsidRPr="00FB11F1">
        <w:rPr>
          <w:sz w:val="22"/>
          <w:szCs w:val="22"/>
        </w:rPr>
        <w:t>RA’s</w:t>
      </w:r>
      <w:r w:rsidRPr="00FB11F1">
        <w:rPr>
          <w:sz w:val="22"/>
          <w:szCs w:val="22"/>
        </w:rPr>
        <w:t xml:space="preserve"> to provide assurance on operational matters which are determined locally by them in partnership with their local communities; citizens, businesses and others.</w:t>
      </w:r>
      <w:r w:rsidR="00FF51C5">
        <w:rPr>
          <w:sz w:val="22"/>
          <w:szCs w:val="22"/>
        </w:rPr>
        <w:br/>
      </w:r>
    </w:p>
    <w:p w14:paraId="2AFE8376" w14:textId="77777777" w:rsidR="005F30E7" w:rsidRPr="00FB11F1" w:rsidRDefault="005F30E7" w:rsidP="004B094C">
      <w:pPr>
        <w:pStyle w:val="CM3"/>
        <w:spacing w:line="360" w:lineRule="auto"/>
        <w:ind w:right="-34"/>
        <w:rPr>
          <w:sz w:val="22"/>
          <w:szCs w:val="22"/>
        </w:rPr>
      </w:pPr>
      <w:r w:rsidRPr="00FB11F1">
        <w:rPr>
          <w:sz w:val="22"/>
          <w:szCs w:val="22"/>
        </w:rPr>
        <w:t>FRA’s function within a clearly defined statutory and policy framework of which the key legislative documents defining these responsibilities are:</w:t>
      </w:r>
    </w:p>
    <w:p w14:paraId="0106020A" w14:textId="77777777" w:rsidR="00FB11F1" w:rsidRDefault="005F30E7" w:rsidP="004B094C">
      <w:pPr>
        <w:pStyle w:val="CM11"/>
        <w:numPr>
          <w:ilvl w:val="0"/>
          <w:numId w:val="9"/>
        </w:numPr>
        <w:spacing w:line="360" w:lineRule="auto"/>
        <w:ind w:right="-34"/>
        <w:rPr>
          <w:sz w:val="22"/>
          <w:szCs w:val="22"/>
        </w:rPr>
      </w:pPr>
      <w:r w:rsidRPr="00FB11F1">
        <w:rPr>
          <w:sz w:val="22"/>
          <w:szCs w:val="22"/>
        </w:rPr>
        <w:t>Fire and Rescue Services Act 2004</w:t>
      </w:r>
    </w:p>
    <w:p w14:paraId="5E88E7A3" w14:textId="77777777" w:rsidR="00FB11F1" w:rsidRDefault="00FB11F1" w:rsidP="004B094C">
      <w:pPr>
        <w:pStyle w:val="CM11"/>
        <w:numPr>
          <w:ilvl w:val="0"/>
          <w:numId w:val="9"/>
        </w:numPr>
        <w:spacing w:line="360" w:lineRule="auto"/>
        <w:ind w:right="-34"/>
        <w:rPr>
          <w:sz w:val="22"/>
          <w:szCs w:val="22"/>
        </w:rPr>
      </w:pPr>
      <w:r>
        <w:rPr>
          <w:sz w:val="22"/>
          <w:szCs w:val="22"/>
        </w:rPr>
        <w:t>Civil Contingencies Act 2004</w:t>
      </w:r>
    </w:p>
    <w:p w14:paraId="452B4649" w14:textId="77777777" w:rsidR="00FB11F1" w:rsidRDefault="005F30E7" w:rsidP="004B094C">
      <w:pPr>
        <w:pStyle w:val="CM11"/>
        <w:numPr>
          <w:ilvl w:val="0"/>
          <w:numId w:val="9"/>
        </w:numPr>
        <w:spacing w:line="360" w:lineRule="auto"/>
        <w:ind w:right="-34"/>
        <w:rPr>
          <w:sz w:val="22"/>
          <w:szCs w:val="22"/>
        </w:rPr>
      </w:pPr>
      <w:r w:rsidRPr="00FB11F1">
        <w:rPr>
          <w:sz w:val="22"/>
          <w:szCs w:val="22"/>
        </w:rPr>
        <w:t>Regulatory Reform</w:t>
      </w:r>
      <w:r w:rsidR="00FB11F1">
        <w:rPr>
          <w:sz w:val="22"/>
          <w:szCs w:val="22"/>
        </w:rPr>
        <w:t xml:space="preserve"> (Fire Safety) Order 2005</w:t>
      </w:r>
    </w:p>
    <w:p w14:paraId="28343D4E" w14:textId="77777777" w:rsidR="00FB11F1" w:rsidRDefault="005F30E7" w:rsidP="004B094C">
      <w:pPr>
        <w:pStyle w:val="CM11"/>
        <w:numPr>
          <w:ilvl w:val="0"/>
          <w:numId w:val="9"/>
        </w:numPr>
        <w:spacing w:line="360" w:lineRule="auto"/>
        <w:ind w:right="-34"/>
        <w:rPr>
          <w:sz w:val="22"/>
          <w:szCs w:val="22"/>
        </w:rPr>
      </w:pPr>
      <w:r w:rsidRPr="00FB11F1">
        <w:rPr>
          <w:sz w:val="22"/>
          <w:szCs w:val="22"/>
        </w:rPr>
        <w:t>Fire and Rescue Services (Emergenc</w:t>
      </w:r>
      <w:r w:rsidR="00FB11F1">
        <w:rPr>
          <w:sz w:val="22"/>
          <w:szCs w:val="22"/>
        </w:rPr>
        <w:t>ies) (England) Order 2007</w:t>
      </w:r>
    </w:p>
    <w:p w14:paraId="7720AA8E" w14:textId="77777777" w:rsidR="00FB11F1" w:rsidRDefault="00FB11F1" w:rsidP="004B094C">
      <w:pPr>
        <w:pStyle w:val="CM11"/>
        <w:numPr>
          <w:ilvl w:val="0"/>
          <w:numId w:val="9"/>
        </w:numPr>
        <w:spacing w:line="360" w:lineRule="auto"/>
        <w:ind w:right="-34"/>
        <w:rPr>
          <w:sz w:val="22"/>
          <w:szCs w:val="22"/>
        </w:rPr>
      </w:pPr>
      <w:r>
        <w:rPr>
          <w:sz w:val="22"/>
          <w:szCs w:val="22"/>
        </w:rPr>
        <w:t>Localism Act 2011</w:t>
      </w:r>
    </w:p>
    <w:p w14:paraId="3B3C05E5" w14:textId="77777777" w:rsidR="00C56EFF" w:rsidRDefault="005F30E7" w:rsidP="004B094C">
      <w:pPr>
        <w:pStyle w:val="CM11"/>
        <w:numPr>
          <w:ilvl w:val="0"/>
          <w:numId w:val="9"/>
        </w:numPr>
        <w:spacing w:line="360" w:lineRule="auto"/>
        <w:ind w:right="-34"/>
        <w:rPr>
          <w:sz w:val="22"/>
          <w:szCs w:val="22"/>
        </w:rPr>
      </w:pPr>
      <w:r w:rsidRPr="00FB11F1">
        <w:rPr>
          <w:sz w:val="22"/>
          <w:szCs w:val="22"/>
        </w:rPr>
        <w:t>Fire and Rescue National Framework for England</w:t>
      </w:r>
      <w:r w:rsidR="00C56EFF">
        <w:rPr>
          <w:sz w:val="22"/>
          <w:szCs w:val="22"/>
        </w:rPr>
        <w:t>.</w:t>
      </w:r>
    </w:p>
    <w:p w14:paraId="08BAE2DC" w14:textId="77777777" w:rsidR="005F30E7" w:rsidRPr="00FB11F1" w:rsidRDefault="005F30E7" w:rsidP="004B094C">
      <w:pPr>
        <w:pStyle w:val="CM11"/>
        <w:spacing w:line="360" w:lineRule="auto"/>
        <w:ind w:left="815" w:right="-34"/>
        <w:rPr>
          <w:sz w:val="22"/>
          <w:szCs w:val="22"/>
        </w:rPr>
      </w:pPr>
    </w:p>
    <w:p w14:paraId="049DBC09" w14:textId="77777777" w:rsidR="00D94803" w:rsidRDefault="005F30E7" w:rsidP="00042537">
      <w:pPr>
        <w:pStyle w:val="CM14"/>
        <w:spacing w:after="887" w:line="360" w:lineRule="auto"/>
        <w:ind w:right="-34"/>
        <w:rPr>
          <w:rFonts w:eastAsiaTheme="majorEastAsia"/>
          <w:b/>
          <w:bCs/>
          <w:i/>
          <w:iCs/>
          <w:sz w:val="28"/>
          <w:szCs w:val="28"/>
        </w:rPr>
      </w:pPr>
      <w:r w:rsidRPr="00FB11F1">
        <w:rPr>
          <w:sz w:val="22"/>
          <w:szCs w:val="22"/>
        </w:rPr>
        <w:t>This section aims to provide assurance that our service is delivered in line with our statutory responsibilities and with due regard to the expectations set out in our IRMP including cross-border, multi-authority and national incident arrangements.</w:t>
      </w:r>
      <w:bookmarkStart w:id="9" w:name="_Toc21616116"/>
      <w:r w:rsidR="00D94803">
        <w:br w:type="page"/>
      </w:r>
    </w:p>
    <w:p w14:paraId="32435BE5" w14:textId="77777777" w:rsidR="00FB11F1" w:rsidRPr="00FF51C5" w:rsidRDefault="005F30E7" w:rsidP="00F530B0">
      <w:pPr>
        <w:pStyle w:val="Heading2"/>
        <w:ind w:right="-34"/>
        <w:rPr>
          <w:rFonts w:ascii="Arial" w:hAnsi="Arial" w:cs="Arial"/>
        </w:rPr>
      </w:pPr>
      <w:r w:rsidRPr="00FB11F1">
        <w:rPr>
          <w:rFonts w:ascii="Arial" w:hAnsi="Arial" w:cs="Arial"/>
        </w:rPr>
        <w:lastRenderedPageBreak/>
        <w:t>Integrated Risk Management Plan (IRMP)</w:t>
      </w:r>
      <w:bookmarkEnd w:id="9"/>
    </w:p>
    <w:p w14:paraId="5D2923A0" w14:textId="77777777" w:rsidR="00156569" w:rsidRDefault="005F30E7" w:rsidP="004B094C">
      <w:pPr>
        <w:pStyle w:val="CM11"/>
        <w:spacing w:after="240" w:line="360" w:lineRule="auto"/>
        <w:ind w:right="-29"/>
        <w:rPr>
          <w:sz w:val="22"/>
          <w:szCs w:val="22"/>
        </w:rPr>
      </w:pPr>
      <w:r w:rsidRPr="00FB11F1">
        <w:rPr>
          <w:sz w:val="22"/>
          <w:szCs w:val="22"/>
        </w:rPr>
        <w:t>Our Integrated Risk Management Plan (IRMP) is a public facing document covering the period 201</w:t>
      </w:r>
      <w:r w:rsidR="00EA081D">
        <w:rPr>
          <w:sz w:val="22"/>
          <w:szCs w:val="22"/>
        </w:rPr>
        <w:t>7</w:t>
      </w:r>
      <w:r w:rsidRPr="00FB11F1">
        <w:rPr>
          <w:sz w:val="22"/>
          <w:szCs w:val="22"/>
        </w:rPr>
        <w:t>-</w:t>
      </w:r>
      <w:r w:rsidR="00EA081D">
        <w:rPr>
          <w:sz w:val="22"/>
          <w:szCs w:val="22"/>
        </w:rPr>
        <w:t>22</w:t>
      </w:r>
      <w:r w:rsidRPr="00FB11F1">
        <w:rPr>
          <w:sz w:val="22"/>
          <w:szCs w:val="22"/>
        </w:rPr>
        <w:t xml:space="preserve">.  </w:t>
      </w:r>
      <w:r w:rsidR="009B18B8">
        <w:rPr>
          <w:sz w:val="22"/>
          <w:szCs w:val="22"/>
        </w:rPr>
        <w:t>This</w:t>
      </w:r>
      <w:r w:rsidR="00D94E0F">
        <w:rPr>
          <w:sz w:val="22"/>
          <w:szCs w:val="22"/>
        </w:rPr>
        <w:t xml:space="preserve"> plan is in place to provide the opportunity for </w:t>
      </w:r>
      <w:r w:rsidR="00FB11F1">
        <w:rPr>
          <w:sz w:val="22"/>
          <w:szCs w:val="22"/>
        </w:rPr>
        <w:t>LFRS</w:t>
      </w:r>
      <w:r w:rsidRPr="00FB11F1">
        <w:rPr>
          <w:sz w:val="22"/>
          <w:szCs w:val="22"/>
        </w:rPr>
        <w:t xml:space="preserve"> </w:t>
      </w:r>
      <w:r w:rsidR="00D94E0F">
        <w:rPr>
          <w:sz w:val="22"/>
          <w:szCs w:val="22"/>
        </w:rPr>
        <w:t>to demonstrate how</w:t>
      </w:r>
      <w:r w:rsidR="000B5B32">
        <w:rPr>
          <w:sz w:val="22"/>
          <w:szCs w:val="22"/>
        </w:rPr>
        <w:t>,</w:t>
      </w:r>
      <w:r w:rsidR="00D94E0F">
        <w:rPr>
          <w:sz w:val="22"/>
          <w:szCs w:val="22"/>
        </w:rPr>
        <w:t xml:space="preserve"> </w:t>
      </w:r>
      <w:r w:rsidR="009B18B8">
        <w:rPr>
          <w:sz w:val="22"/>
          <w:szCs w:val="22"/>
        </w:rPr>
        <w:t>we as an</w:t>
      </w:r>
      <w:r w:rsidR="00D94E0F">
        <w:rPr>
          <w:sz w:val="22"/>
          <w:szCs w:val="22"/>
        </w:rPr>
        <w:t xml:space="preserve"> </w:t>
      </w:r>
      <w:r w:rsidR="009B18B8">
        <w:rPr>
          <w:sz w:val="22"/>
          <w:szCs w:val="22"/>
        </w:rPr>
        <w:t xml:space="preserve">organisation, </w:t>
      </w:r>
      <w:r w:rsidR="00D94E0F">
        <w:rPr>
          <w:sz w:val="22"/>
          <w:szCs w:val="22"/>
        </w:rPr>
        <w:t>identif</w:t>
      </w:r>
      <w:r w:rsidR="009B18B8">
        <w:rPr>
          <w:sz w:val="22"/>
          <w:szCs w:val="22"/>
        </w:rPr>
        <w:t>y</w:t>
      </w:r>
      <w:r w:rsidR="00D94E0F">
        <w:rPr>
          <w:sz w:val="22"/>
          <w:szCs w:val="22"/>
        </w:rPr>
        <w:t xml:space="preserve"> and assess </w:t>
      </w:r>
      <w:r w:rsidR="008D3327">
        <w:rPr>
          <w:sz w:val="22"/>
          <w:szCs w:val="22"/>
        </w:rPr>
        <w:t>all</w:t>
      </w:r>
      <w:r w:rsidR="00D94E0F">
        <w:rPr>
          <w:sz w:val="22"/>
          <w:szCs w:val="22"/>
        </w:rPr>
        <w:t xml:space="preserve"> foreseeable fire and rescue related risks and challenges</w:t>
      </w:r>
      <w:r w:rsidR="009B18B8">
        <w:rPr>
          <w:sz w:val="22"/>
          <w:szCs w:val="22"/>
        </w:rPr>
        <w:t xml:space="preserve"> that could affect our communities </w:t>
      </w:r>
      <w:r w:rsidR="008D3327">
        <w:rPr>
          <w:sz w:val="22"/>
          <w:szCs w:val="22"/>
        </w:rPr>
        <w:t xml:space="preserve">over </w:t>
      </w:r>
      <w:r w:rsidR="009B18B8">
        <w:rPr>
          <w:sz w:val="22"/>
          <w:szCs w:val="22"/>
        </w:rPr>
        <w:t>the</w:t>
      </w:r>
      <w:r w:rsidR="008D3327">
        <w:rPr>
          <w:sz w:val="22"/>
          <w:szCs w:val="22"/>
        </w:rPr>
        <w:t xml:space="preserve"> 5 year period and how we plan to mitigate such risks or reduce their potential impact.</w:t>
      </w:r>
      <w:r w:rsidR="00D94E0F">
        <w:rPr>
          <w:sz w:val="22"/>
          <w:szCs w:val="22"/>
        </w:rPr>
        <w:t xml:space="preserve"> </w:t>
      </w:r>
    </w:p>
    <w:p w14:paraId="0E489D40" w14:textId="77777777" w:rsidR="008D3327" w:rsidRPr="008D3327" w:rsidRDefault="00156569" w:rsidP="004B094C">
      <w:pPr>
        <w:pStyle w:val="CM11"/>
        <w:spacing w:after="375" w:line="360" w:lineRule="auto"/>
        <w:ind w:right="-34"/>
        <w:rPr>
          <w:rStyle w:val="Hyperlink"/>
          <w:rFonts w:cs="Arial"/>
          <w:sz w:val="22"/>
          <w:szCs w:val="22"/>
          <w:u w:val="none"/>
        </w:rPr>
      </w:pPr>
      <w:r>
        <w:rPr>
          <w:sz w:val="22"/>
          <w:szCs w:val="22"/>
        </w:rPr>
        <w:t>Key</w:t>
      </w:r>
      <w:r w:rsidR="005F30E7" w:rsidRPr="00FB11F1">
        <w:rPr>
          <w:sz w:val="22"/>
          <w:szCs w:val="22"/>
        </w:rPr>
        <w:t xml:space="preserve"> to the successful identification and management of risk is our ability to maintain a clear and current understanding of the present and future threats to Lancashire’s communities. </w:t>
      </w:r>
      <w:r w:rsidR="003B258A">
        <w:rPr>
          <w:sz w:val="22"/>
          <w:szCs w:val="22"/>
        </w:rPr>
        <w:t xml:space="preserve"> </w:t>
      </w:r>
      <w:r w:rsidR="005F30E7" w:rsidRPr="00FB11F1">
        <w:rPr>
          <w:sz w:val="22"/>
          <w:szCs w:val="22"/>
        </w:rPr>
        <w:t>Risk</w:t>
      </w:r>
      <w:r w:rsidR="007C422C">
        <w:rPr>
          <w:sz w:val="22"/>
          <w:szCs w:val="22"/>
        </w:rPr>
        <w:t xml:space="preserve"> in Lancashire remains dynamic, constantly changing and differs between districts, which requires varying preventative </w:t>
      </w:r>
      <w:r w:rsidR="002F2F95">
        <w:rPr>
          <w:sz w:val="22"/>
          <w:szCs w:val="22"/>
        </w:rPr>
        <w:t>activities</w:t>
      </w:r>
      <w:r w:rsidR="007C422C">
        <w:rPr>
          <w:sz w:val="22"/>
          <w:szCs w:val="22"/>
        </w:rPr>
        <w:t xml:space="preserve">.  </w:t>
      </w:r>
      <w:r w:rsidR="005F30E7" w:rsidRPr="00FB11F1">
        <w:rPr>
          <w:sz w:val="22"/>
          <w:szCs w:val="22"/>
        </w:rPr>
        <w:t>As a result, no single activity to reduce risk is adequate in all circumstances and a mix of prevention, protection and response activities delivered by a range of organisations is needed to reduce the likelihood of the risk event occurring or to lessen its consequences.  This depth of understanding underpins everything we do, driving our govern</w:t>
      </w:r>
      <w:r w:rsidR="001B4FF5">
        <w:rPr>
          <w:sz w:val="22"/>
          <w:szCs w:val="22"/>
        </w:rPr>
        <w:t>ance and planning arrangement</w:t>
      </w:r>
      <w:r>
        <w:rPr>
          <w:sz w:val="22"/>
          <w:szCs w:val="22"/>
        </w:rPr>
        <w:t>s</w:t>
      </w:r>
      <w:r w:rsidR="00785FF9">
        <w:rPr>
          <w:sz w:val="22"/>
          <w:szCs w:val="22"/>
        </w:rPr>
        <w:t>;</w:t>
      </w:r>
      <w:r>
        <w:rPr>
          <w:sz w:val="22"/>
          <w:szCs w:val="22"/>
        </w:rPr>
        <w:t xml:space="preserve"> our findings are published within the </w:t>
      </w:r>
      <w:hyperlink r:id="rId15" w:history="1">
        <w:r w:rsidR="008D3327" w:rsidRPr="0076187A">
          <w:rPr>
            <w:rStyle w:val="Hyperlink"/>
            <w:rFonts w:cs="Arial"/>
            <w:sz w:val="22"/>
            <w:szCs w:val="22"/>
          </w:rPr>
          <w:t>Strategic Assessment of Risk.</w:t>
        </w:r>
      </w:hyperlink>
    </w:p>
    <w:p w14:paraId="12C557DA" w14:textId="77777777" w:rsidR="005F30E7" w:rsidRPr="00C56EFF" w:rsidRDefault="001067F9" w:rsidP="004B094C">
      <w:pPr>
        <w:pStyle w:val="Heading3"/>
        <w:ind w:right="-34"/>
        <w:rPr>
          <w:rFonts w:ascii="Arial" w:hAnsi="Arial" w:cs="Arial"/>
          <w:i/>
          <w:sz w:val="22"/>
          <w:szCs w:val="22"/>
        </w:rPr>
      </w:pPr>
      <w:bookmarkStart w:id="10" w:name="_Toc21616117"/>
      <w:r>
        <w:rPr>
          <w:rFonts w:ascii="Arial" w:hAnsi="Arial" w:cs="Arial"/>
          <w:i/>
          <w:sz w:val="22"/>
          <w:szCs w:val="22"/>
        </w:rPr>
        <w:t xml:space="preserve">Planning &amp; </w:t>
      </w:r>
      <w:r w:rsidR="005F30E7" w:rsidRPr="00C56EFF">
        <w:rPr>
          <w:rFonts w:ascii="Arial" w:hAnsi="Arial" w:cs="Arial"/>
          <w:i/>
          <w:sz w:val="22"/>
          <w:szCs w:val="22"/>
        </w:rPr>
        <w:t>Performance</w:t>
      </w:r>
      <w:bookmarkEnd w:id="10"/>
    </w:p>
    <w:p w14:paraId="37C7F121" w14:textId="77777777" w:rsidR="005F30E7" w:rsidRPr="00CC6874" w:rsidRDefault="009B18B8" w:rsidP="004B094C">
      <w:pPr>
        <w:pStyle w:val="CM11"/>
        <w:spacing w:after="240" w:line="360" w:lineRule="auto"/>
        <w:ind w:right="-29"/>
        <w:rPr>
          <w:sz w:val="22"/>
          <w:szCs w:val="22"/>
        </w:rPr>
      </w:pPr>
      <w:r>
        <w:rPr>
          <w:sz w:val="22"/>
          <w:szCs w:val="22"/>
        </w:rPr>
        <w:t>To meet the requirements of the</w:t>
      </w:r>
      <w:r w:rsidR="000C4EB5">
        <w:rPr>
          <w:sz w:val="22"/>
          <w:szCs w:val="22"/>
        </w:rPr>
        <w:t xml:space="preserve"> IRMP </w:t>
      </w:r>
      <w:r w:rsidR="005F30E7" w:rsidRPr="00CC6874">
        <w:rPr>
          <w:sz w:val="22"/>
          <w:szCs w:val="22"/>
        </w:rPr>
        <w:t>the Service</w:t>
      </w:r>
      <w:r>
        <w:rPr>
          <w:sz w:val="22"/>
          <w:szCs w:val="22"/>
        </w:rPr>
        <w:t xml:space="preserve"> </w:t>
      </w:r>
      <w:r w:rsidR="005F30E7" w:rsidRPr="00CC6874">
        <w:rPr>
          <w:sz w:val="22"/>
          <w:szCs w:val="22"/>
        </w:rPr>
        <w:t>reviews its priorities and targets annually</w:t>
      </w:r>
      <w:r w:rsidR="000C4EB5">
        <w:rPr>
          <w:sz w:val="22"/>
          <w:szCs w:val="22"/>
        </w:rPr>
        <w:t>, this supports continual improvement and provides the opportunity to ensure that we undertake activities dependent on the requirements of our environment.</w:t>
      </w:r>
      <w:r w:rsidR="003B258A" w:rsidRPr="00CC6874">
        <w:rPr>
          <w:sz w:val="22"/>
          <w:szCs w:val="22"/>
        </w:rPr>
        <w:t xml:space="preserve"> </w:t>
      </w:r>
      <w:r w:rsidR="008D32BD">
        <w:rPr>
          <w:sz w:val="22"/>
          <w:szCs w:val="22"/>
        </w:rPr>
        <w:t>Our Corporate planning process has been developed to provide a rigorous yet flexible process that allows the Service to assess and respond to opportunities and threats</w:t>
      </w:r>
      <w:r w:rsidR="000C4EB5">
        <w:rPr>
          <w:sz w:val="22"/>
          <w:szCs w:val="22"/>
        </w:rPr>
        <w:t xml:space="preserve"> as and when they emerge</w:t>
      </w:r>
      <w:r w:rsidR="008D32BD">
        <w:rPr>
          <w:sz w:val="22"/>
          <w:szCs w:val="22"/>
        </w:rPr>
        <w:t>. Whilst the IRMP is in place to set out the strategic direction of the Service in the medium term</w:t>
      </w:r>
      <w:r w:rsidR="009A01E9">
        <w:rPr>
          <w:sz w:val="22"/>
          <w:szCs w:val="22"/>
        </w:rPr>
        <w:t>,</w:t>
      </w:r>
      <w:r w:rsidR="008D32BD">
        <w:rPr>
          <w:sz w:val="22"/>
          <w:szCs w:val="22"/>
        </w:rPr>
        <w:t xml:space="preserve"> the Service also has in place </w:t>
      </w:r>
      <w:r w:rsidR="003B258A" w:rsidRPr="00CC6874">
        <w:rPr>
          <w:sz w:val="22"/>
          <w:szCs w:val="22"/>
        </w:rPr>
        <w:t xml:space="preserve">a forward-looking </w:t>
      </w:r>
      <w:hyperlink r:id="rId16" w:history="1">
        <w:r w:rsidR="008D32BD" w:rsidRPr="0076187A">
          <w:rPr>
            <w:rStyle w:val="Hyperlink"/>
            <w:rFonts w:cs="Arial"/>
            <w:sz w:val="22"/>
            <w:szCs w:val="22"/>
          </w:rPr>
          <w:t>Annual Service Plan</w:t>
        </w:r>
      </w:hyperlink>
      <w:r w:rsidR="005F30E7" w:rsidRPr="00CC6874">
        <w:rPr>
          <w:sz w:val="22"/>
          <w:szCs w:val="22"/>
        </w:rPr>
        <w:t xml:space="preserve"> </w:t>
      </w:r>
      <w:r w:rsidR="003B258A" w:rsidRPr="00CC6874">
        <w:rPr>
          <w:sz w:val="22"/>
          <w:szCs w:val="22"/>
        </w:rPr>
        <w:t>which clearly sets out what we will deliver over the coming 12 months</w:t>
      </w:r>
      <w:r w:rsidR="008D32BD">
        <w:rPr>
          <w:sz w:val="22"/>
          <w:szCs w:val="22"/>
        </w:rPr>
        <w:t>, this is complimented by the</w:t>
      </w:r>
      <w:r w:rsidR="003B258A" w:rsidRPr="00CC6874">
        <w:rPr>
          <w:sz w:val="22"/>
          <w:szCs w:val="22"/>
        </w:rPr>
        <w:t xml:space="preserve"> </w:t>
      </w:r>
      <w:hyperlink r:id="rId17" w:history="1">
        <w:r w:rsidR="000C4EB5" w:rsidRPr="0076187A">
          <w:rPr>
            <w:rStyle w:val="Hyperlink"/>
            <w:rFonts w:cs="Arial"/>
            <w:sz w:val="22"/>
            <w:szCs w:val="22"/>
          </w:rPr>
          <w:t>Annu</w:t>
        </w:r>
        <w:r w:rsidR="0076187A" w:rsidRPr="0076187A">
          <w:rPr>
            <w:rStyle w:val="Hyperlink"/>
            <w:rFonts w:cs="Arial"/>
            <w:sz w:val="22"/>
            <w:szCs w:val="22"/>
          </w:rPr>
          <w:t>al Service Report</w:t>
        </w:r>
      </w:hyperlink>
      <w:r w:rsidR="003B258A" w:rsidRPr="00CC6874">
        <w:rPr>
          <w:sz w:val="22"/>
          <w:szCs w:val="22"/>
        </w:rPr>
        <w:t xml:space="preserve"> which </w:t>
      </w:r>
      <w:r w:rsidR="004679CE">
        <w:rPr>
          <w:sz w:val="22"/>
          <w:szCs w:val="22"/>
        </w:rPr>
        <w:t>reflects</w:t>
      </w:r>
      <w:r w:rsidR="004679CE" w:rsidRPr="00CC6874">
        <w:rPr>
          <w:sz w:val="22"/>
          <w:szCs w:val="22"/>
        </w:rPr>
        <w:t xml:space="preserve"> </w:t>
      </w:r>
      <w:r w:rsidR="003B258A" w:rsidRPr="00CC6874">
        <w:rPr>
          <w:sz w:val="22"/>
          <w:szCs w:val="22"/>
        </w:rPr>
        <w:t>our achievement against those objectives</w:t>
      </w:r>
      <w:r w:rsidR="008D32BD">
        <w:rPr>
          <w:sz w:val="22"/>
          <w:szCs w:val="22"/>
        </w:rPr>
        <w:t xml:space="preserve"> at the year end</w:t>
      </w:r>
      <w:r w:rsidR="003B258A" w:rsidRPr="00CC6874">
        <w:rPr>
          <w:sz w:val="22"/>
          <w:szCs w:val="22"/>
        </w:rPr>
        <w:t>.</w:t>
      </w:r>
    </w:p>
    <w:p w14:paraId="0C7A5BE7" w14:textId="77777777" w:rsidR="001B4FF5" w:rsidRDefault="009A01E9" w:rsidP="004B094C">
      <w:pPr>
        <w:pStyle w:val="CM14"/>
        <w:spacing w:line="360" w:lineRule="auto"/>
        <w:ind w:right="-34"/>
        <w:rPr>
          <w:sz w:val="22"/>
          <w:szCs w:val="22"/>
        </w:rPr>
      </w:pPr>
      <w:r>
        <w:rPr>
          <w:sz w:val="22"/>
          <w:szCs w:val="22"/>
        </w:rPr>
        <w:t>In addition to this o</w:t>
      </w:r>
      <w:r w:rsidR="005F30E7" w:rsidRPr="00FB11F1">
        <w:rPr>
          <w:sz w:val="22"/>
          <w:szCs w:val="22"/>
        </w:rPr>
        <w:t xml:space="preserve">n a quarterly basis, we produce a performance management report known as </w:t>
      </w:r>
      <w:r w:rsidRPr="003F0D31">
        <w:rPr>
          <w:sz w:val="22"/>
          <w:szCs w:val="22"/>
        </w:rPr>
        <w:t>‘</w:t>
      </w:r>
      <w:hyperlink r:id="rId18" w:history="1">
        <w:r w:rsidRPr="0076187A">
          <w:rPr>
            <w:rStyle w:val="Hyperlink"/>
            <w:rFonts w:cs="Arial"/>
            <w:sz w:val="22"/>
            <w:szCs w:val="22"/>
          </w:rPr>
          <w:t>Measuring Progress’</w:t>
        </w:r>
      </w:hyperlink>
      <w:r w:rsidRPr="0076187A">
        <w:rPr>
          <w:sz w:val="22"/>
          <w:szCs w:val="22"/>
        </w:rPr>
        <w:t>.</w:t>
      </w:r>
      <w:r w:rsidR="005F30E7" w:rsidRPr="00FB11F1">
        <w:rPr>
          <w:sz w:val="22"/>
          <w:szCs w:val="22"/>
        </w:rPr>
        <w:t xml:space="preserve">  The content of this report is considered at Senior Management Team meetings and by the Per</w:t>
      </w:r>
      <w:r w:rsidR="008341F2">
        <w:rPr>
          <w:sz w:val="22"/>
          <w:szCs w:val="22"/>
        </w:rPr>
        <w:t>formance Committee of the CFA.</w:t>
      </w:r>
    </w:p>
    <w:p w14:paraId="4D246962" w14:textId="77777777" w:rsidR="001B4FF5" w:rsidRPr="00C56EFF" w:rsidRDefault="001B4FF5" w:rsidP="004B094C">
      <w:pPr>
        <w:pStyle w:val="Heading3"/>
        <w:ind w:right="-34"/>
        <w:rPr>
          <w:rFonts w:ascii="Arial" w:hAnsi="Arial" w:cs="Arial"/>
          <w:i/>
          <w:sz w:val="22"/>
          <w:szCs w:val="22"/>
        </w:rPr>
      </w:pPr>
      <w:bookmarkStart w:id="11" w:name="_Toc21616118"/>
      <w:r w:rsidRPr="00C56EFF">
        <w:rPr>
          <w:rFonts w:ascii="Arial" w:hAnsi="Arial" w:cs="Arial"/>
          <w:i/>
          <w:sz w:val="22"/>
          <w:szCs w:val="22"/>
        </w:rPr>
        <w:t>Consultation</w:t>
      </w:r>
      <w:bookmarkEnd w:id="11"/>
    </w:p>
    <w:p w14:paraId="08EBC4D9" w14:textId="77777777" w:rsidR="00C56EFF" w:rsidRDefault="005F30E7" w:rsidP="004B094C">
      <w:pPr>
        <w:pStyle w:val="CM14"/>
        <w:spacing w:line="360" w:lineRule="auto"/>
        <w:ind w:right="-34"/>
        <w:rPr>
          <w:sz w:val="22"/>
          <w:szCs w:val="22"/>
        </w:rPr>
      </w:pPr>
      <w:r w:rsidRPr="00EE3702">
        <w:rPr>
          <w:sz w:val="22"/>
          <w:szCs w:val="22"/>
        </w:rPr>
        <w:t>External and internal consultation is an essential part of the development of the IRMP</w:t>
      </w:r>
      <w:r w:rsidR="009A01E9">
        <w:rPr>
          <w:sz w:val="22"/>
          <w:szCs w:val="22"/>
        </w:rPr>
        <w:t xml:space="preserve"> and subsequent reviews,</w:t>
      </w:r>
      <w:r w:rsidR="00EE3702" w:rsidRPr="00EE3702">
        <w:rPr>
          <w:sz w:val="22"/>
          <w:szCs w:val="22"/>
        </w:rPr>
        <w:t xml:space="preserve"> and as such we have a clearly defined </w:t>
      </w:r>
      <w:hyperlink r:id="rId19" w:history="1">
        <w:r w:rsidR="005B01B6" w:rsidRPr="005B01B6">
          <w:rPr>
            <w:rStyle w:val="Hyperlink"/>
            <w:rFonts w:cs="Arial"/>
            <w:sz w:val="22"/>
            <w:szCs w:val="22"/>
          </w:rPr>
          <w:t>Consultation Strategy</w:t>
        </w:r>
      </w:hyperlink>
      <w:r w:rsidR="00996339">
        <w:rPr>
          <w:color w:val="1F497D"/>
        </w:rPr>
        <w:t xml:space="preserve">. </w:t>
      </w:r>
      <w:r w:rsidRPr="00EE3702">
        <w:rPr>
          <w:sz w:val="22"/>
          <w:szCs w:val="22"/>
        </w:rPr>
        <w:t xml:space="preserve">We use a variety of methods for engaging with community members and for every consultation exercise completed, a summary report is provided to the relevant committee of the CFA. </w:t>
      </w:r>
      <w:r w:rsidR="00132AB6" w:rsidRPr="00EE3702">
        <w:rPr>
          <w:sz w:val="22"/>
          <w:szCs w:val="22"/>
        </w:rPr>
        <w:t xml:space="preserve"> </w:t>
      </w:r>
      <w:r w:rsidRPr="00EE3702">
        <w:rPr>
          <w:sz w:val="22"/>
          <w:szCs w:val="22"/>
        </w:rPr>
        <w:t xml:space="preserve">This process ensures that potential stakeholders are consulted, involved and informed of the proposals to ensure that their input is </w:t>
      </w:r>
      <w:r w:rsidR="00630598" w:rsidRPr="00EE3702">
        <w:rPr>
          <w:sz w:val="22"/>
          <w:szCs w:val="22"/>
        </w:rPr>
        <w:t>considered</w:t>
      </w:r>
      <w:r w:rsidRPr="00EE3702">
        <w:rPr>
          <w:sz w:val="22"/>
          <w:szCs w:val="22"/>
        </w:rPr>
        <w:t xml:space="preserve"> within the final plans.</w:t>
      </w:r>
      <w:r w:rsidR="00FF51C5" w:rsidRPr="00EE3702">
        <w:rPr>
          <w:sz w:val="22"/>
          <w:szCs w:val="22"/>
        </w:rPr>
        <w:br/>
      </w:r>
    </w:p>
    <w:p w14:paraId="57EB700E" w14:textId="77777777" w:rsidR="00996339" w:rsidRDefault="00996339" w:rsidP="00F530B0">
      <w:pPr>
        <w:pStyle w:val="CM14"/>
        <w:spacing w:line="360" w:lineRule="auto"/>
        <w:ind w:right="-34"/>
        <w:jc w:val="both"/>
        <w:rPr>
          <w:sz w:val="22"/>
          <w:szCs w:val="22"/>
        </w:rPr>
      </w:pPr>
      <w:bookmarkStart w:id="12" w:name="_Toc21616119"/>
      <w:r>
        <w:rPr>
          <w:rStyle w:val="Heading3Char"/>
          <w:rFonts w:ascii="Arial" w:hAnsi="Arial" w:cs="Arial"/>
          <w:i/>
          <w:sz w:val="22"/>
          <w:szCs w:val="22"/>
        </w:rPr>
        <w:t>Community Risk Management</w:t>
      </w:r>
      <w:bookmarkEnd w:id="12"/>
    </w:p>
    <w:p w14:paraId="7E369DE7" w14:textId="77777777" w:rsidR="00996339" w:rsidRDefault="00996339" w:rsidP="004B094C">
      <w:pPr>
        <w:pStyle w:val="CM14"/>
        <w:spacing w:line="360" w:lineRule="auto"/>
        <w:ind w:right="-34"/>
        <w:rPr>
          <w:sz w:val="22"/>
          <w:szCs w:val="22"/>
        </w:rPr>
      </w:pPr>
      <w:r>
        <w:rPr>
          <w:sz w:val="22"/>
          <w:szCs w:val="22"/>
        </w:rPr>
        <w:t>Our approach to integrated risk management is supported by the use of modelling.  The Office of National Statistics categorises every part of the UK into a small neighbourhood called a Lower Layer Super Output Area (SOA).  There are 941 SOA’s in Lancashire, containing an average of 1,500 people.  We use information about where fires have taken place in the past and combine this with various social deprivation data to give each area a risk grade.</w:t>
      </w:r>
    </w:p>
    <w:p w14:paraId="10549870" w14:textId="77777777" w:rsidR="00996339" w:rsidRDefault="00996339" w:rsidP="004B094C">
      <w:pPr>
        <w:pStyle w:val="CM14"/>
        <w:spacing w:line="360" w:lineRule="auto"/>
        <w:ind w:right="-34"/>
        <w:rPr>
          <w:sz w:val="22"/>
          <w:szCs w:val="22"/>
          <w:highlight w:val="yellow"/>
        </w:rPr>
      </w:pPr>
      <w:r>
        <w:rPr>
          <w:sz w:val="22"/>
          <w:szCs w:val="22"/>
        </w:rPr>
        <w:br/>
        <w:t>The information is then used to identify geographic areas at higher risk where a combination of Prevention, Protection and Response activities can have the greatest impact.</w:t>
      </w:r>
    </w:p>
    <w:p w14:paraId="1868BB5C" w14:textId="77777777" w:rsidR="00996339" w:rsidRDefault="00996339" w:rsidP="004B094C">
      <w:pPr>
        <w:pStyle w:val="CM14"/>
        <w:spacing w:line="360" w:lineRule="auto"/>
        <w:ind w:right="-34"/>
        <w:rPr>
          <w:sz w:val="22"/>
          <w:szCs w:val="22"/>
        </w:rPr>
      </w:pPr>
      <w:r>
        <w:rPr>
          <w:sz w:val="22"/>
          <w:szCs w:val="22"/>
          <w:highlight w:val="yellow"/>
        </w:rPr>
        <w:br/>
      </w:r>
      <w:r w:rsidRPr="00996339">
        <w:rPr>
          <w:sz w:val="22"/>
          <w:szCs w:val="22"/>
        </w:rPr>
        <w:t>This is utilised alongside the provision of a tailored Home Fire Safety Check service (HFSC) which is geared towards occupant risk and importantly, to those in greatest need and at greatest risk of fire.</w:t>
      </w:r>
    </w:p>
    <w:p w14:paraId="04E87485" w14:textId="77777777" w:rsidR="00996339" w:rsidRDefault="00996339" w:rsidP="004B094C">
      <w:pPr>
        <w:pStyle w:val="CM14"/>
        <w:tabs>
          <w:tab w:val="left" w:pos="9026"/>
        </w:tabs>
        <w:spacing w:line="360" w:lineRule="auto"/>
        <w:ind w:right="-34"/>
        <w:rPr>
          <w:sz w:val="22"/>
          <w:szCs w:val="22"/>
        </w:rPr>
      </w:pPr>
      <w:r>
        <w:rPr>
          <w:sz w:val="22"/>
          <w:szCs w:val="22"/>
        </w:rPr>
        <w:br/>
        <w:t>We update the risk model on a regular basis and use the outcomes to direct and re</w:t>
      </w:r>
      <w:r>
        <w:rPr>
          <w:sz w:val="22"/>
          <w:szCs w:val="22"/>
        </w:rPr>
        <w:softHyphen/>
        <w:t>prioritise our activities.  Risk reduction progress over the last 11 years is depicted in the table below.</w:t>
      </w:r>
    </w:p>
    <w:p w14:paraId="64CAB95A" w14:textId="77777777" w:rsidR="00996339" w:rsidRDefault="00996339" w:rsidP="00F530B0">
      <w:pPr>
        <w:ind w:left="-426" w:right="-34"/>
        <w:rPr>
          <w:rFonts w:ascii="Arial" w:hAnsi="Arial" w:cs="Arial"/>
        </w:rPr>
      </w:pPr>
    </w:p>
    <w:p w14:paraId="5035A3E3" w14:textId="77777777" w:rsidR="00996339" w:rsidRDefault="00996339" w:rsidP="00F530B0">
      <w:pPr>
        <w:ind w:left="-426" w:right="-34"/>
        <w:rPr>
          <w:rFonts w:cstheme="minorBidi"/>
        </w:rPr>
      </w:pPr>
      <w:r>
        <w:rPr>
          <w:noProof/>
        </w:rPr>
        <w:drawing>
          <wp:inline distT="0" distB="0" distL="0" distR="0" wp14:anchorId="739EE438" wp14:editId="31A64091">
            <wp:extent cx="6269355" cy="2706370"/>
            <wp:effectExtent l="0" t="0" r="0" b="0"/>
            <wp:docPr id="7" name="Picture 7" descr="This shows the changes in fire risk from 2009 to 2019. Risk reduction in very high risk super output areas has reduced 70%. Risk in high super output areas has reduced 43%. Risk in medium super output areas has increased 4%. Risk in low super output areas has increased 16%. Overall risk has reduce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69355" cy="2706370"/>
                    </a:xfrm>
                    <a:prstGeom prst="rect">
                      <a:avLst/>
                    </a:prstGeom>
                    <a:noFill/>
                    <a:ln>
                      <a:noFill/>
                    </a:ln>
                  </pic:spPr>
                </pic:pic>
              </a:graphicData>
            </a:graphic>
          </wp:inline>
        </w:drawing>
      </w:r>
    </w:p>
    <w:p w14:paraId="34DD0E69" w14:textId="77777777" w:rsidR="00996339" w:rsidRDefault="00996339" w:rsidP="00F530B0">
      <w:pPr>
        <w:ind w:left="-426" w:right="-34"/>
      </w:pPr>
    </w:p>
    <w:p w14:paraId="1F7EAEE8" w14:textId="6270F792" w:rsidR="00996339" w:rsidRDefault="00996339" w:rsidP="00F530B0">
      <w:pPr>
        <w:pStyle w:val="Caption"/>
        <w:ind w:right="-34"/>
      </w:pPr>
      <w:bookmarkStart w:id="13" w:name="_Toc21616129"/>
      <w:r>
        <w:t xml:space="preserve">Figure </w:t>
      </w:r>
      <w:r w:rsidR="00B602CB">
        <w:fldChar w:fldCharType="begin"/>
      </w:r>
      <w:r w:rsidR="00B602CB">
        <w:instrText xml:space="preserve"> SEQ Figure \* ARABIC </w:instrText>
      </w:r>
      <w:r w:rsidR="00B602CB">
        <w:fldChar w:fldCharType="separate"/>
      </w:r>
      <w:r w:rsidR="00B602CB">
        <w:rPr>
          <w:noProof/>
        </w:rPr>
        <w:t>3</w:t>
      </w:r>
      <w:r w:rsidR="00B602CB">
        <w:rPr>
          <w:noProof/>
        </w:rPr>
        <w:fldChar w:fldCharType="end"/>
      </w:r>
      <w:r>
        <w:t xml:space="preserve"> - Changes in Fire Risk 2009-2019</w:t>
      </w:r>
      <w:bookmarkEnd w:id="13"/>
    </w:p>
    <w:p w14:paraId="5A08CF2C" w14:textId="77777777" w:rsidR="00996339" w:rsidRPr="00996339" w:rsidRDefault="00996339" w:rsidP="00F530B0">
      <w:pPr>
        <w:ind w:right="-34"/>
      </w:pPr>
    </w:p>
    <w:p w14:paraId="1F00C379" w14:textId="77777777" w:rsidR="00D94803" w:rsidRDefault="00D94803">
      <w:pPr>
        <w:rPr>
          <w:rFonts w:ascii="Arial" w:eastAsiaTheme="majorEastAsia" w:hAnsi="Arial" w:cs="Arial"/>
          <w:b/>
          <w:bCs/>
          <w:i/>
          <w:iCs/>
          <w:sz w:val="28"/>
          <w:szCs w:val="28"/>
        </w:rPr>
      </w:pPr>
      <w:bookmarkStart w:id="14" w:name="_Toc21616120"/>
      <w:r>
        <w:rPr>
          <w:rFonts w:ascii="Arial" w:eastAsiaTheme="majorEastAsia" w:hAnsi="Arial" w:cs="Arial"/>
          <w:b/>
          <w:bCs/>
          <w:i/>
          <w:iCs/>
          <w:sz w:val="28"/>
          <w:szCs w:val="28"/>
        </w:rPr>
        <w:br w:type="page"/>
      </w:r>
    </w:p>
    <w:p w14:paraId="7B57AF6D" w14:textId="77777777" w:rsidR="00DF0E87" w:rsidRPr="00DF0E87" w:rsidRDefault="00DF0E87" w:rsidP="00F530B0">
      <w:pPr>
        <w:keepNext/>
        <w:spacing w:before="240" w:after="60"/>
        <w:ind w:right="-34"/>
        <w:outlineLvl w:val="1"/>
        <w:rPr>
          <w:rFonts w:ascii="Arial" w:eastAsiaTheme="majorEastAsia" w:hAnsi="Arial" w:cs="Arial"/>
          <w:b/>
          <w:bCs/>
          <w:i/>
          <w:iCs/>
          <w:sz w:val="28"/>
          <w:szCs w:val="28"/>
        </w:rPr>
      </w:pPr>
      <w:r w:rsidRPr="00DF0E87">
        <w:rPr>
          <w:rFonts w:ascii="Arial" w:eastAsiaTheme="majorEastAsia" w:hAnsi="Arial" w:cs="Arial"/>
          <w:b/>
          <w:bCs/>
          <w:i/>
          <w:iCs/>
          <w:sz w:val="28"/>
          <w:szCs w:val="28"/>
        </w:rPr>
        <w:lastRenderedPageBreak/>
        <w:t>Prevention, Protection and Response</w:t>
      </w:r>
      <w:bookmarkEnd w:id="14"/>
      <w:r w:rsidRPr="00DF0E87">
        <w:rPr>
          <w:rFonts w:ascii="Arial" w:eastAsiaTheme="majorEastAsia" w:hAnsi="Arial" w:cs="Arial"/>
          <w:b/>
          <w:bCs/>
          <w:i/>
          <w:iCs/>
          <w:sz w:val="28"/>
          <w:szCs w:val="28"/>
        </w:rPr>
        <w:t xml:space="preserve"> </w:t>
      </w:r>
    </w:p>
    <w:p w14:paraId="6DF1EAD2" w14:textId="77777777" w:rsidR="00DF0E87" w:rsidRPr="00DF0E87" w:rsidRDefault="00DF0E87" w:rsidP="004B094C">
      <w:pPr>
        <w:widowControl w:val="0"/>
        <w:autoSpaceDE w:val="0"/>
        <w:autoSpaceDN w:val="0"/>
        <w:adjustRightInd w:val="0"/>
        <w:spacing w:after="375" w:line="360" w:lineRule="auto"/>
        <w:ind w:right="-34"/>
        <w:rPr>
          <w:rFonts w:ascii="Arial" w:hAnsi="Arial" w:cs="Arial"/>
        </w:rPr>
      </w:pPr>
      <w:r w:rsidRPr="00DF0E87">
        <w:rPr>
          <w:rFonts w:ascii="Arial" w:hAnsi="Arial" w:cs="Arial"/>
        </w:rPr>
        <w:t xml:space="preserve">Over the course of our previous IRMP (2013-17) our Prevention and Protection activities and services were reviewed to ensure that we continue to deliver services in line with our changing environment. Prevention activities are now focussed around four key themes helping people to Start Safe, Live Safe, Age Safe and be Safe on our roads with a focus on working collaboratively with other organisations. </w:t>
      </w:r>
    </w:p>
    <w:p w14:paraId="74CA6ECD" w14:textId="77777777" w:rsidR="00DF0E87" w:rsidRPr="00DF0E87" w:rsidRDefault="00DF0E87" w:rsidP="004B094C">
      <w:pPr>
        <w:widowControl w:val="0"/>
        <w:autoSpaceDE w:val="0"/>
        <w:autoSpaceDN w:val="0"/>
        <w:adjustRightInd w:val="0"/>
        <w:spacing w:after="375" w:line="360" w:lineRule="auto"/>
        <w:ind w:right="-34"/>
        <w:rPr>
          <w:rFonts w:ascii="Arial" w:hAnsi="Arial" w:cs="Arial"/>
        </w:rPr>
      </w:pPr>
      <w:r w:rsidRPr="00DF0E87">
        <w:rPr>
          <w:rFonts w:ascii="Arial" w:hAnsi="Arial" w:cs="Arial"/>
        </w:rPr>
        <w:t>To further complement this we have changed our working practices</w:t>
      </w:r>
      <w:r w:rsidR="006E77AE">
        <w:rPr>
          <w:rFonts w:ascii="Arial" w:hAnsi="Arial" w:cs="Arial"/>
        </w:rPr>
        <w:t xml:space="preserve"> in order</w:t>
      </w:r>
      <w:r w:rsidRPr="00DF0E87">
        <w:rPr>
          <w:rFonts w:ascii="Arial" w:hAnsi="Arial" w:cs="Arial"/>
        </w:rPr>
        <w:t xml:space="preserve"> to transform our Home Fire Safety Check Service to a Safe &amp; Well Service. Delivery methods for this Service have been improved to provide a more targeted risk based approach for home visits. The service now includes brief intervention and advice to reduce risk, falls risk assessments, alcohol and mental health advice and access to other services. This provides the gateway for further collaboration with colleagues in health and social care with a joint aim to improve the health and quality of life for those most at risk in our communities. </w:t>
      </w:r>
    </w:p>
    <w:p w14:paraId="150999B3" w14:textId="77777777" w:rsidR="00DF0E87" w:rsidRPr="00DF0E87" w:rsidRDefault="00DF0E87" w:rsidP="004B094C">
      <w:pPr>
        <w:widowControl w:val="0"/>
        <w:autoSpaceDE w:val="0"/>
        <w:autoSpaceDN w:val="0"/>
        <w:adjustRightInd w:val="0"/>
        <w:spacing w:after="375" w:line="360" w:lineRule="auto"/>
        <w:ind w:right="-34"/>
        <w:rPr>
          <w:rFonts w:ascii="Arial" w:hAnsi="Arial" w:cs="Arial"/>
        </w:rPr>
      </w:pPr>
      <w:r w:rsidRPr="00DF0E87">
        <w:rPr>
          <w:rFonts w:ascii="Arial" w:hAnsi="Arial" w:cs="Arial"/>
        </w:rPr>
        <w:t>Protection services have been transformed</w:t>
      </w:r>
      <w:r w:rsidR="006E77AE">
        <w:rPr>
          <w:rFonts w:ascii="Arial" w:hAnsi="Arial" w:cs="Arial"/>
        </w:rPr>
        <w:t xml:space="preserve"> in order</w:t>
      </w:r>
      <w:r w:rsidRPr="00DF0E87">
        <w:rPr>
          <w:rFonts w:ascii="Arial" w:hAnsi="Arial" w:cs="Arial"/>
        </w:rPr>
        <w:t xml:space="preserve"> to help the businesses of Lancashire in being more compliant with fire safety regulations, by providing information and access to a great range of services through a business support function. Protection activity is undertaken through the utilisation of a Risk Based Inspection Programme (RBIP) ensuring the highest risk premises are effectively targeted for compliance.  We have continued to develop and establish Primary Authority schemes with an aim to develop effective partnerships with businesses, in order to provide reliable and consistent regulatory advice in relation to fire safety.</w:t>
      </w:r>
    </w:p>
    <w:p w14:paraId="2C5A18CF" w14:textId="77777777" w:rsidR="005B01B6" w:rsidRPr="00A93FD7" w:rsidRDefault="005B01B6" w:rsidP="004B094C">
      <w:pPr>
        <w:pStyle w:val="Heading3"/>
        <w:ind w:right="-34"/>
        <w:rPr>
          <w:rFonts w:ascii="Arial" w:hAnsi="Arial" w:cs="Arial"/>
          <w:i/>
          <w:sz w:val="22"/>
          <w:szCs w:val="22"/>
        </w:rPr>
      </w:pPr>
      <w:bookmarkStart w:id="15" w:name="_Toc21616121"/>
      <w:r w:rsidRPr="00A93FD7">
        <w:rPr>
          <w:rFonts w:ascii="Arial" w:hAnsi="Arial" w:cs="Arial"/>
          <w:i/>
          <w:sz w:val="22"/>
          <w:szCs w:val="22"/>
        </w:rPr>
        <w:t>Mutual Aid Agreements</w:t>
      </w:r>
      <w:bookmarkEnd w:id="15"/>
      <w:r w:rsidRPr="00A93FD7">
        <w:rPr>
          <w:rFonts w:ascii="Arial" w:hAnsi="Arial" w:cs="Arial"/>
          <w:i/>
          <w:sz w:val="22"/>
          <w:szCs w:val="22"/>
        </w:rPr>
        <w:t xml:space="preserve"> </w:t>
      </w:r>
    </w:p>
    <w:p w14:paraId="17767A32" w14:textId="77777777" w:rsidR="005B01B6" w:rsidRPr="00507267" w:rsidRDefault="005B01B6" w:rsidP="004B094C">
      <w:pPr>
        <w:spacing w:line="360" w:lineRule="auto"/>
        <w:ind w:right="-34"/>
        <w:rPr>
          <w:rFonts w:ascii="Arial" w:eastAsiaTheme="majorEastAsia" w:hAnsi="Arial" w:cs="Arial"/>
        </w:rPr>
      </w:pPr>
      <w:r w:rsidRPr="00507267">
        <w:rPr>
          <w:rFonts w:ascii="Arial" w:eastAsiaTheme="majorEastAsia" w:hAnsi="Arial" w:cs="Arial"/>
        </w:rPr>
        <w:t xml:space="preserve">The National Framework states that Fire and Rescue Authorities must make provision to respond to incidents such as fires, road traffic collisions and other emergencies within their area and in other areas in line with mutual aid agreements. </w:t>
      </w:r>
      <w:r>
        <w:rPr>
          <w:rFonts w:ascii="Arial" w:eastAsiaTheme="majorEastAsia" w:hAnsi="Arial" w:cs="Arial"/>
        </w:rPr>
        <w:t xml:space="preserve"> </w:t>
      </w:r>
      <w:r w:rsidRPr="00507267">
        <w:rPr>
          <w:rFonts w:ascii="Arial" w:eastAsiaTheme="majorEastAsia" w:hAnsi="Arial" w:cs="Arial"/>
        </w:rPr>
        <w:t xml:space="preserve">LFRS maintain mutual agreements for reinforcements with our five bordering Fire and Rescue Authorities - Cumbria, Greater Manchester, Merseyside, North Yorkshire and West Yorkshire. </w:t>
      </w:r>
      <w:r>
        <w:rPr>
          <w:rFonts w:ascii="Arial" w:eastAsiaTheme="majorEastAsia" w:hAnsi="Arial" w:cs="Arial"/>
        </w:rPr>
        <w:t xml:space="preserve"> </w:t>
      </w:r>
      <w:r w:rsidRPr="00507267">
        <w:rPr>
          <w:rFonts w:ascii="Arial" w:eastAsiaTheme="majorEastAsia" w:hAnsi="Arial" w:cs="Arial"/>
        </w:rPr>
        <w:t>These agreements are periodically reviewed to maintain currency and provide</w:t>
      </w:r>
      <w:r>
        <w:rPr>
          <w:rFonts w:ascii="Arial" w:eastAsiaTheme="majorEastAsia" w:hAnsi="Arial" w:cs="Arial"/>
        </w:rPr>
        <w:t xml:space="preserve"> optimal response arrangements.</w:t>
      </w:r>
    </w:p>
    <w:p w14:paraId="373A7E19" w14:textId="77777777" w:rsidR="005B01B6" w:rsidRPr="00A93FD7" w:rsidRDefault="005B01B6" w:rsidP="004B094C">
      <w:pPr>
        <w:pStyle w:val="Heading3"/>
        <w:ind w:right="-34"/>
        <w:rPr>
          <w:rFonts w:ascii="Arial" w:hAnsi="Arial" w:cs="Arial"/>
          <w:i/>
          <w:sz w:val="22"/>
          <w:szCs w:val="22"/>
        </w:rPr>
      </w:pPr>
      <w:bookmarkStart w:id="16" w:name="_Toc21616122"/>
      <w:r w:rsidRPr="00A93FD7">
        <w:rPr>
          <w:rFonts w:ascii="Arial" w:hAnsi="Arial" w:cs="Arial"/>
          <w:i/>
          <w:sz w:val="22"/>
          <w:szCs w:val="22"/>
        </w:rPr>
        <w:t>National Resilience</w:t>
      </w:r>
      <w:bookmarkEnd w:id="16"/>
      <w:r w:rsidRPr="00A93FD7">
        <w:rPr>
          <w:rFonts w:ascii="Arial" w:hAnsi="Arial" w:cs="Arial"/>
          <w:i/>
          <w:sz w:val="22"/>
          <w:szCs w:val="22"/>
        </w:rPr>
        <w:t xml:space="preserve"> </w:t>
      </w:r>
    </w:p>
    <w:p w14:paraId="5A0445D2" w14:textId="77777777" w:rsidR="005B01B6" w:rsidRPr="00507267" w:rsidRDefault="005B01B6" w:rsidP="004B094C">
      <w:pPr>
        <w:tabs>
          <w:tab w:val="left" w:pos="9072"/>
        </w:tabs>
        <w:spacing w:line="360" w:lineRule="auto"/>
        <w:ind w:right="-34"/>
        <w:rPr>
          <w:rFonts w:ascii="Arial" w:eastAsiaTheme="majorEastAsia" w:hAnsi="Arial" w:cs="Arial"/>
        </w:rPr>
      </w:pPr>
      <w:r w:rsidRPr="00507267">
        <w:rPr>
          <w:rFonts w:ascii="Arial" w:eastAsiaTheme="majorEastAsia" w:hAnsi="Arial" w:cs="Arial"/>
        </w:rPr>
        <w:t xml:space="preserve">For the purposes of this document, National Resilience (NR) is defined as the capacity and capability of Fire and Rescue Authorities to work together and with other Category 1 and 2 responders to deliver a sustained, effective response to major incidents, emergencies and disruptive challenges, such as (but not limited to) those identified in the National Risk Register of Civil Emergencies.  It refers to risks that need to be planned for on a strategic, national </w:t>
      </w:r>
      <w:r w:rsidRPr="00507267">
        <w:rPr>
          <w:rFonts w:ascii="Arial" w:eastAsiaTheme="majorEastAsia" w:hAnsi="Arial" w:cs="Arial"/>
        </w:rPr>
        <w:lastRenderedPageBreak/>
        <w:t>basis because their impacts and consequences would be of such scale and / or complexity that local resources would be insufficient, even when taking into account mutual aid arrangements.</w:t>
      </w:r>
    </w:p>
    <w:p w14:paraId="70F760BA" w14:textId="77777777" w:rsidR="005B01B6" w:rsidRPr="00507267" w:rsidRDefault="005B01B6" w:rsidP="004B094C">
      <w:pPr>
        <w:tabs>
          <w:tab w:val="left" w:pos="9072"/>
        </w:tabs>
        <w:spacing w:line="360" w:lineRule="auto"/>
        <w:ind w:right="-34"/>
        <w:rPr>
          <w:rFonts w:ascii="Arial" w:eastAsiaTheme="majorEastAsia" w:hAnsi="Arial" w:cs="Arial"/>
        </w:rPr>
      </w:pPr>
      <w:r w:rsidRPr="00507267">
        <w:rPr>
          <w:rFonts w:ascii="Arial" w:eastAsiaTheme="majorEastAsia" w:hAnsi="Arial" w:cs="Arial"/>
        </w:rPr>
        <w:t>LFRS is a signatory to the National Mutual Aid protocol and has deployed assets to major incidents outside the region.  The costs of such mobilisations are borne by the FRA within whose area the incident occurs and are therefore re-claimed by LFRS.</w:t>
      </w:r>
    </w:p>
    <w:p w14:paraId="5D46BECC" w14:textId="77777777" w:rsidR="005B01B6" w:rsidRPr="00507267" w:rsidRDefault="005B01B6" w:rsidP="004B094C">
      <w:pPr>
        <w:tabs>
          <w:tab w:val="left" w:pos="9072"/>
        </w:tabs>
        <w:spacing w:line="360" w:lineRule="auto"/>
        <w:ind w:right="-34"/>
        <w:rPr>
          <w:rFonts w:ascii="Arial" w:eastAsiaTheme="majorEastAsia" w:hAnsi="Arial" w:cs="Arial"/>
        </w:rPr>
      </w:pPr>
      <w:r w:rsidRPr="00507267">
        <w:rPr>
          <w:rFonts w:ascii="Arial" w:eastAsiaTheme="majorEastAsia" w:hAnsi="Arial" w:cs="Arial"/>
        </w:rPr>
        <w:t xml:space="preserve">We remain subject to </w:t>
      </w:r>
      <w:r>
        <w:rPr>
          <w:rFonts w:ascii="Arial" w:eastAsiaTheme="majorEastAsia" w:hAnsi="Arial" w:cs="Arial"/>
        </w:rPr>
        <w:t xml:space="preserve">the </w:t>
      </w:r>
      <w:r w:rsidRPr="00507267">
        <w:rPr>
          <w:rFonts w:ascii="Arial" w:eastAsiaTheme="majorEastAsia" w:hAnsi="Arial" w:cs="Arial"/>
        </w:rPr>
        <w:t>Nat</w:t>
      </w:r>
      <w:r>
        <w:rPr>
          <w:rFonts w:ascii="Arial" w:eastAsiaTheme="majorEastAsia" w:hAnsi="Arial" w:cs="Arial"/>
        </w:rPr>
        <w:t>ional Resilience</w:t>
      </w:r>
      <w:r w:rsidRPr="00507267">
        <w:rPr>
          <w:rFonts w:ascii="Arial" w:eastAsiaTheme="majorEastAsia" w:hAnsi="Arial" w:cs="Arial"/>
        </w:rPr>
        <w:t xml:space="preserve"> audit processes which test the various aspects of our NR capabilities. </w:t>
      </w:r>
      <w:r>
        <w:rPr>
          <w:rFonts w:ascii="Arial" w:eastAsiaTheme="majorEastAsia" w:hAnsi="Arial" w:cs="Arial"/>
        </w:rPr>
        <w:t xml:space="preserve"> </w:t>
      </w:r>
      <w:r w:rsidRPr="00507267">
        <w:rPr>
          <w:rFonts w:ascii="Arial" w:eastAsiaTheme="majorEastAsia" w:hAnsi="Arial" w:cs="Arial"/>
        </w:rPr>
        <w:t xml:space="preserve">National Resilience has transferred from The Home Office to Merseyside Fire &amp; Rescue </w:t>
      </w:r>
      <w:r>
        <w:rPr>
          <w:rFonts w:ascii="Arial" w:eastAsiaTheme="majorEastAsia" w:hAnsi="Arial" w:cs="Arial"/>
        </w:rPr>
        <w:t xml:space="preserve">Service </w:t>
      </w:r>
      <w:r w:rsidRPr="00507267">
        <w:rPr>
          <w:rFonts w:ascii="Arial" w:eastAsiaTheme="majorEastAsia" w:hAnsi="Arial" w:cs="Arial"/>
        </w:rPr>
        <w:t>as the Primary Authority.</w:t>
      </w:r>
    </w:p>
    <w:p w14:paraId="7E12826E" w14:textId="77777777" w:rsidR="005B01B6" w:rsidRPr="00A93FD7" w:rsidRDefault="005B01B6" w:rsidP="004B094C">
      <w:pPr>
        <w:pStyle w:val="Heading3"/>
        <w:ind w:right="-34"/>
        <w:rPr>
          <w:rFonts w:ascii="Arial" w:hAnsi="Arial" w:cs="Arial"/>
          <w:i/>
          <w:sz w:val="22"/>
          <w:szCs w:val="22"/>
        </w:rPr>
      </w:pPr>
      <w:bookmarkStart w:id="17" w:name="_Toc21616123"/>
      <w:r w:rsidRPr="00A93FD7">
        <w:rPr>
          <w:rFonts w:ascii="Arial" w:hAnsi="Arial" w:cs="Arial"/>
          <w:i/>
          <w:sz w:val="22"/>
          <w:szCs w:val="22"/>
        </w:rPr>
        <w:t>Business Continuity</w:t>
      </w:r>
      <w:bookmarkEnd w:id="17"/>
      <w:r w:rsidRPr="00A93FD7">
        <w:rPr>
          <w:rFonts w:ascii="Arial" w:hAnsi="Arial" w:cs="Arial"/>
          <w:i/>
          <w:sz w:val="22"/>
          <w:szCs w:val="22"/>
        </w:rPr>
        <w:t xml:space="preserve"> </w:t>
      </w:r>
    </w:p>
    <w:p w14:paraId="2722AC80" w14:textId="77777777" w:rsidR="005B01B6" w:rsidRPr="00507267" w:rsidRDefault="005B01B6" w:rsidP="004B094C">
      <w:pPr>
        <w:spacing w:line="360" w:lineRule="auto"/>
        <w:ind w:right="-34"/>
        <w:rPr>
          <w:rFonts w:ascii="Arial" w:eastAsiaTheme="majorEastAsia" w:hAnsi="Arial" w:cs="Arial"/>
        </w:rPr>
      </w:pPr>
      <w:r w:rsidRPr="00507267">
        <w:rPr>
          <w:rFonts w:ascii="Arial" w:eastAsiaTheme="majorEastAsia" w:hAnsi="Arial" w:cs="Arial"/>
        </w:rPr>
        <w:t xml:space="preserve">Business Continuity Management (BCM) is an integral part of our corporate risk management process.  In relation to BCM processes and procedures, all FRA’s have to satisfy the requirements of both the Civil Contingencies Act 2004 and Fire &amp; Rescue Services Act 2004. </w:t>
      </w:r>
    </w:p>
    <w:p w14:paraId="78406BC2" w14:textId="77777777" w:rsidR="005B01B6" w:rsidRPr="00507267" w:rsidRDefault="005B01B6" w:rsidP="004B094C">
      <w:pPr>
        <w:spacing w:line="360" w:lineRule="auto"/>
        <w:ind w:right="-34"/>
        <w:rPr>
          <w:rFonts w:ascii="Arial" w:eastAsiaTheme="majorEastAsia" w:hAnsi="Arial" w:cs="Arial"/>
        </w:rPr>
      </w:pPr>
      <w:r w:rsidRPr="00507267">
        <w:rPr>
          <w:rFonts w:ascii="Arial" w:eastAsiaTheme="majorEastAsia" w:hAnsi="Arial" w:cs="Arial"/>
        </w:rPr>
        <w:t>We are required to ‘write and maintain plans for the purpose of ensuring, so far as reasonably practicable, that if an emergency occurs the Authority is able to continue its functions’.  This include</w:t>
      </w:r>
      <w:r>
        <w:rPr>
          <w:rFonts w:ascii="Arial" w:eastAsiaTheme="majorEastAsia" w:hAnsi="Arial" w:cs="Arial"/>
        </w:rPr>
        <w:t>s periods of industrial action.</w:t>
      </w:r>
    </w:p>
    <w:p w14:paraId="5A72F9B2" w14:textId="77777777" w:rsidR="005B01B6" w:rsidRDefault="005B01B6" w:rsidP="004B094C">
      <w:pPr>
        <w:spacing w:line="360" w:lineRule="auto"/>
        <w:ind w:right="-34"/>
        <w:rPr>
          <w:rFonts w:ascii="Arial" w:eastAsiaTheme="majorEastAsia" w:hAnsi="Arial" w:cs="Arial"/>
        </w:rPr>
      </w:pPr>
      <w:r w:rsidRPr="00507267">
        <w:rPr>
          <w:rFonts w:ascii="Arial" w:eastAsiaTheme="majorEastAsia" w:hAnsi="Arial" w:cs="Arial"/>
        </w:rPr>
        <w:t xml:space="preserve">In order to ensure that Lancashire Fire and Rescue Service comply with both pieces of legislation, </w:t>
      </w:r>
      <w:r>
        <w:rPr>
          <w:rFonts w:ascii="Arial" w:eastAsiaTheme="majorEastAsia" w:hAnsi="Arial" w:cs="Arial"/>
        </w:rPr>
        <w:t xml:space="preserve">our BCM complies with the </w:t>
      </w:r>
      <w:r w:rsidRPr="00507267">
        <w:rPr>
          <w:rFonts w:ascii="Arial" w:eastAsiaTheme="majorEastAsia" w:hAnsi="Arial" w:cs="Arial"/>
        </w:rPr>
        <w:t>Business Continuity Institute</w:t>
      </w:r>
      <w:r>
        <w:rPr>
          <w:rFonts w:ascii="Arial" w:eastAsiaTheme="majorEastAsia" w:hAnsi="Arial" w:cs="Arial"/>
        </w:rPr>
        <w:t>s’</w:t>
      </w:r>
      <w:r w:rsidRPr="00507267">
        <w:rPr>
          <w:rFonts w:ascii="Arial" w:eastAsiaTheme="majorEastAsia" w:hAnsi="Arial" w:cs="Arial"/>
        </w:rPr>
        <w:t xml:space="preserve"> Best Practice</w:t>
      </w:r>
      <w:r>
        <w:rPr>
          <w:rFonts w:ascii="Arial" w:eastAsiaTheme="majorEastAsia" w:hAnsi="Arial" w:cs="Arial"/>
        </w:rPr>
        <w:t xml:space="preserve"> Guidelines</w:t>
      </w:r>
      <w:r w:rsidRPr="00507267">
        <w:rPr>
          <w:rFonts w:ascii="Arial" w:eastAsiaTheme="majorEastAsia" w:hAnsi="Arial" w:cs="Arial"/>
        </w:rPr>
        <w:t xml:space="preserve">.  </w:t>
      </w:r>
      <w:r>
        <w:rPr>
          <w:rFonts w:ascii="Arial" w:eastAsiaTheme="majorEastAsia" w:hAnsi="Arial" w:cs="Arial"/>
        </w:rPr>
        <w:t>This</w:t>
      </w:r>
      <w:r w:rsidRPr="00507267">
        <w:rPr>
          <w:rFonts w:ascii="Arial" w:eastAsiaTheme="majorEastAsia" w:hAnsi="Arial" w:cs="Arial"/>
        </w:rPr>
        <w:t xml:space="preserve"> provides a framework through which:</w:t>
      </w:r>
    </w:p>
    <w:p w14:paraId="07E20433" w14:textId="77777777" w:rsidR="005B01B6" w:rsidRPr="008A3D54" w:rsidRDefault="005B01B6" w:rsidP="004B094C">
      <w:pPr>
        <w:pStyle w:val="CM9"/>
        <w:numPr>
          <w:ilvl w:val="0"/>
          <w:numId w:val="16"/>
        </w:numPr>
        <w:spacing w:line="360" w:lineRule="auto"/>
        <w:ind w:right="-34"/>
        <w:rPr>
          <w:sz w:val="22"/>
          <w:szCs w:val="22"/>
        </w:rPr>
      </w:pPr>
      <w:r w:rsidRPr="008A3D54">
        <w:rPr>
          <w:sz w:val="22"/>
          <w:szCs w:val="22"/>
        </w:rPr>
        <w:t>Critical processes are identified</w:t>
      </w:r>
    </w:p>
    <w:p w14:paraId="04C7C68A" w14:textId="77777777" w:rsidR="005B01B6" w:rsidRPr="008A3D54" w:rsidRDefault="005B01B6" w:rsidP="004B094C">
      <w:pPr>
        <w:pStyle w:val="CM9"/>
        <w:numPr>
          <w:ilvl w:val="0"/>
          <w:numId w:val="16"/>
        </w:numPr>
        <w:spacing w:line="360" w:lineRule="auto"/>
        <w:ind w:right="-34"/>
        <w:rPr>
          <w:sz w:val="22"/>
          <w:szCs w:val="22"/>
        </w:rPr>
      </w:pPr>
      <w:r w:rsidRPr="008A3D54">
        <w:rPr>
          <w:sz w:val="22"/>
          <w:szCs w:val="22"/>
        </w:rPr>
        <w:t xml:space="preserve">Assessments of both internal and external risks which may impact on business </w:t>
      </w:r>
    </w:p>
    <w:p w14:paraId="7F183D79" w14:textId="77777777" w:rsidR="005B01B6" w:rsidRPr="008A3D54" w:rsidRDefault="005B01B6" w:rsidP="004B094C">
      <w:pPr>
        <w:pStyle w:val="CM9"/>
        <w:spacing w:line="360" w:lineRule="auto"/>
        <w:ind w:left="720" w:right="-34"/>
        <w:rPr>
          <w:sz w:val="22"/>
          <w:szCs w:val="22"/>
        </w:rPr>
      </w:pPr>
      <w:r w:rsidRPr="008A3D54">
        <w:rPr>
          <w:sz w:val="22"/>
          <w:szCs w:val="22"/>
        </w:rPr>
        <w:t xml:space="preserve">continuity </w:t>
      </w:r>
      <w:proofErr w:type="gramStart"/>
      <w:r w:rsidRPr="008A3D54">
        <w:rPr>
          <w:sz w:val="22"/>
          <w:szCs w:val="22"/>
        </w:rPr>
        <w:t>are</w:t>
      </w:r>
      <w:proofErr w:type="gramEnd"/>
      <w:r w:rsidRPr="008A3D54">
        <w:rPr>
          <w:sz w:val="22"/>
          <w:szCs w:val="22"/>
        </w:rPr>
        <w:t xml:space="preserve"> made;</w:t>
      </w:r>
    </w:p>
    <w:p w14:paraId="5FFB44A4" w14:textId="77777777" w:rsidR="005B01B6" w:rsidRPr="008A3D54" w:rsidRDefault="005B01B6" w:rsidP="004B094C">
      <w:pPr>
        <w:pStyle w:val="CM9"/>
        <w:numPr>
          <w:ilvl w:val="0"/>
          <w:numId w:val="16"/>
        </w:numPr>
        <w:spacing w:line="360" w:lineRule="auto"/>
        <w:ind w:right="-34"/>
        <w:rPr>
          <w:sz w:val="22"/>
          <w:szCs w:val="22"/>
        </w:rPr>
      </w:pPr>
      <w:r w:rsidRPr="008A3D54">
        <w:rPr>
          <w:sz w:val="22"/>
          <w:szCs w:val="22"/>
        </w:rPr>
        <w:t>Strategic and Tactical Plans have been produced to ensure an acceptable level of service can be maintained following disruption;</w:t>
      </w:r>
    </w:p>
    <w:p w14:paraId="458520D1" w14:textId="77777777" w:rsidR="005B01B6" w:rsidRPr="008A3D54" w:rsidRDefault="005B01B6" w:rsidP="004B094C">
      <w:pPr>
        <w:pStyle w:val="CM9"/>
        <w:numPr>
          <w:ilvl w:val="0"/>
          <w:numId w:val="16"/>
        </w:numPr>
        <w:spacing w:line="360" w:lineRule="auto"/>
        <w:ind w:right="-34"/>
        <w:rPr>
          <w:sz w:val="22"/>
          <w:szCs w:val="22"/>
        </w:rPr>
      </w:pPr>
      <w:r w:rsidRPr="008A3D54">
        <w:rPr>
          <w:sz w:val="22"/>
          <w:szCs w:val="22"/>
        </w:rPr>
        <w:t>Procedures are developed to invoke the BCP;</w:t>
      </w:r>
    </w:p>
    <w:p w14:paraId="1F48D894" w14:textId="77777777" w:rsidR="005B01B6" w:rsidRPr="008A3D54" w:rsidRDefault="005B01B6" w:rsidP="004B094C">
      <w:pPr>
        <w:pStyle w:val="CM9"/>
        <w:numPr>
          <w:ilvl w:val="0"/>
          <w:numId w:val="16"/>
        </w:numPr>
        <w:spacing w:line="360" w:lineRule="auto"/>
        <w:ind w:right="-34"/>
        <w:rPr>
          <w:sz w:val="22"/>
          <w:szCs w:val="22"/>
        </w:rPr>
      </w:pPr>
      <w:r w:rsidRPr="008A3D54">
        <w:rPr>
          <w:sz w:val="22"/>
          <w:szCs w:val="22"/>
        </w:rPr>
        <w:t>Arrangements are made to test the BCP;</w:t>
      </w:r>
    </w:p>
    <w:p w14:paraId="48A979C3" w14:textId="77777777" w:rsidR="005B01B6" w:rsidRPr="008A3D54" w:rsidRDefault="005B01B6" w:rsidP="004B094C">
      <w:pPr>
        <w:pStyle w:val="CM9"/>
        <w:numPr>
          <w:ilvl w:val="0"/>
          <w:numId w:val="16"/>
        </w:numPr>
        <w:spacing w:line="360" w:lineRule="auto"/>
        <w:ind w:right="-34"/>
        <w:rPr>
          <w:sz w:val="22"/>
          <w:szCs w:val="22"/>
        </w:rPr>
      </w:pPr>
      <w:r w:rsidRPr="008A3D54">
        <w:rPr>
          <w:sz w:val="22"/>
          <w:szCs w:val="22"/>
        </w:rPr>
        <w:t>All key personnel are trained to understand their role within the plan;</w:t>
      </w:r>
    </w:p>
    <w:p w14:paraId="28B0F912" w14:textId="77777777" w:rsidR="005B01B6" w:rsidRPr="008A3D54" w:rsidRDefault="005B01B6" w:rsidP="004B094C">
      <w:pPr>
        <w:pStyle w:val="CM9"/>
        <w:numPr>
          <w:ilvl w:val="0"/>
          <w:numId w:val="16"/>
        </w:numPr>
        <w:spacing w:line="360" w:lineRule="auto"/>
        <w:ind w:right="-34"/>
        <w:rPr>
          <w:sz w:val="22"/>
          <w:szCs w:val="22"/>
        </w:rPr>
      </w:pPr>
      <w:r w:rsidRPr="008A3D54">
        <w:rPr>
          <w:sz w:val="22"/>
          <w:szCs w:val="22"/>
        </w:rPr>
        <w:t>Responsibilities are clearly identified and assigned.</w:t>
      </w:r>
    </w:p>
    <w:p w14:paraId="284FE91A" w14:textId="77777777" w:rsidR="005B01B6" w:rsidRDefault="005B01B6" w:rsidP="004B094C">
      <w:pPr>
        <w:spacing w:line="360" w:lineRule="auto"/>
        <w:ind w:right="-34"/>
        <w:rPr>
          <w:rFonts w:ascii="Arial" w:eastAsiaTheme="majorEastAsia" w:hAnsi="Arial" w:cs="Arial"/>
        </w:rPr>
      </w:pPr>
    </w:p>
    <w:p w14:paraId="1CAE61D0" w14:textId="77777777" w:rsidR="005B01B6" w:rsidRPr="00507267" w:rsidRDefault="005B01B6" w:rsidP="004B094C">
      <w:pPr>
        <w:spacing w:line="360" w:lineRule="auto"/>
        <w:ind w:right="-34"/>
        <w:rPr>
          <w:rFonts w:ascii="Arial" w:hAnsi="Arial" w:cs="Arial"/>
          <w:color w:val="FF0000"/>
        </w:rPr>
      </w:pPr>
      <w:r>
        <w:rPr>
          <w:rFonts w:ascii="Arial" w:eastAsiaTheme="majorEastAsia" w:hAnsi="Arial" w:cs="Arial"/>
        </w:rPr>
        <w:t>Each year the plans are reviewed and tested to ensure our plans are fit for purpose. The protracted Winter Hill incident demonstrated the Service’s ability to deal with a Major Incident, whilst at the same time responding to other emergencies in a timely manner and continuing with business as usual, as much as reasonably practicable.</w:t>
      </w:r>
    </w:p>
    <w:p w14:paraId="68EB3A75" w14:textId="77777777" w:rsidR="00DF0E87" w:rsidRPr="00F57065" w:rsidRDefault="00DF0E87" w:rsidP="004B094C">
      <w:pPr>
        <w:pStyle w:val="Heading2"/>
        <w:ind w:right="-34"/>
        <w:rPr>
          <w:rFonts w:ascii="Arial" w:hAnsi="Arial" w:cs="Arial"/>
        </w:rPr>
      </w:pPr>
      <w:bookmarkStart w:id="18" w:name="_Toc21616124"/>
      <w:r w:rsidRPr="00F57065">
        <w:rPr>
          <w:rFonts w:ascii="Arial" w:hAnsi="Arial" w:cs="Arial"/>
        </w:rPr>
        <w:lastRenderedPageBreak/>
        <w:t>Safety, Health &amp; Environment</w:t>
      </w:r>
      <w:bookmarkEnd w:id="18"/>
    </w:p>
    <w:p w14:paraId="232E88CD" w14:textId="77777777" w:rsidR="00DF0E87" w:rsidRDefault="00DF0E87" w:rsidP="004B094C">
      <w:pPr>
        <w:spacing w:line="360" w:lineRule="auto"/>
        <w:ind w:right="-34"/>
        <w:rPr>
          <w:rFonts w:ascii="Arial" w:hAnsi="Arial" w:cs="Arial"/>
        </w:rPr>
      </w:pPr>
      <w:r w:rsidRPr="00F57065">
        <w:rPr>
          <w:rFonts w:ascii="Arial" w:hAnsi="Arial" w:cs="Arial"/>
        </w:rPr>
        <w:t>The Combined Fire Authority meets regularly to consider local and national Safety, Health and Environment issues and to provide strategic political leadership to the Service.  The Authority has overall responsibility for the effective governance of Safety, Health and Environment</w:t>
      </w:r>
      <w:r>
        <w:rPr>
          <w:rFonts w:ascii="Arial" w:hAnsi="Arial" w:cs="Arial"/>
        </w:rPr>
        <w:t xml:space="preserve"> (SHE)</w:t>
      </w:r>
      <w:r w:rsidRPr="00F57065">
        <w:rPr>
          <w:rFonts w:ascii="Arial" w:hAnsi="Arial" w:cs="Arial"/>
        </w:rPr>
        <w:t>, including</w:t>
      </w:r>
      <w:r>
        <w:rPr>
          <w:rFonts w:ascii="Arial" w:hAnsi="Arial" w:cs="Arial"/>
        </w:rPr>
        <w:t>:</w:t>
      </w:r>
    </w:p>
    <w:p w14:paraId="4B42E256" w14:textId="77777777" w:rsidR="00DF0E87" w:rsidRPr="00E270BC" w:rsidRDefault="00DF0E87" w:rsidP="004B094C">
      <w:pPr>
        <w:numPr>
          <w:ilvl w:val="0"/>
          <w:numId w:val="17"/>
        </w:numPr>
        <w:spacing w:line="360" w:lineRule="auto"/>
        <w:ind w:right="-34"/>
        <w:rPr>
          <w:rFonts w:ascii="Arial" w:hAnsi="Arial" w:cs="Arial"/>
        </w:rPr>
      </w:pPr>
      <w:r w:rsidRPr="00E270BC">
        <w:rPr>
          <w:rFonts w:ascii="Arial" w:hAnsi="Arial" w:cs="Arial"/>
        </w:rPr>
        <w:t xml:space="preserve">Agreeing the </w:t>
      </w:r>
      <w:hyperlink r:id="rId21" w:history="1">
        <w:r w:rsidRPr="006E124B">
          <w:rPr>
            <w:rStyle w:val="Hyperlink"/>
            <w:rFonts w:ascii="Arial" w:hAnsi="Arial" w:cs="Arial"/>
          </w:rPr>
          <w:t>SHE Policy</w:t>
        </w:r>
      </w:hyperlink>
      <w:r w:rsidRPr="00E270BC">
        <w:rPr>
          <w:rFonts w:ascii="Arial" w:hAnsi="Arial" w:cs="Arial"/>
        </w:rPr>
        <w:t xml:space="preserve"> which outlines their commitments</w:t>
      </w:r>
      <w:r>
        <w:rPr>
          <w:rFonts w:ascii="Arial" w:hAnsi="Arial" w:cs="Arial"/>
        </w:rPr>
        <w:t xml:space="preserve"> and</w:t>
      </w:r>
      <w:r w:rsidRPr="00E270BC">
        <w:rPr>
          <w:rFonts w:ascii="Arial" w:hAnsi="Arial" w:cs="Arial"/>
        </w:rPr>
        <w:t xml:space="preserve"> ensuring adequate resources is available for the establishment, ongoing implementation and control of a Health and Safety Management System (HSMS) and Environmental Management System (EMS).</w:t>
      </w:r>
    </w:p>
    <w:p w14:paraId="5FF1CA1E" w14:textId="77777777" w:rsidR="00DF0E87" w:rsidRPr="00E270BC" w:rsidRDefault="00DF0E87" w:rsidP="004B094C">
      <w:pPr>
        <w:numPr>
          <w:ilvl w:val="0"/>
          <w:numId w:val="17"/>
        </w:numPr>
        <w:spacing w:line="360" w:lineRule="auto"/>
        <w:ind w:right="-34"/>
        <w:rPr>
          <w:rFonts w:ascii="Arial" w:hAnsi="Arial" w:cs="Arial"/>
        </w:rPr>
      </w:pPr>
      <w:r w:rsidRPr="00AC56DA">
        <w:rPr>
          <w:rFonts w:ascii="Arial" w:hAnsi="Arial" w:cs="Arial"/>
        </w:rPr>
        <w:t xml:space="preserve">Providing </w:t>
      </w:r>
      <w:r w:rsidRPr="00E270BC">
        <w:rPr>
          <w:rFonts w:ascii="Arial" w:hAnsi="Arial" w:cs="Arial"/>
        </w:rPr>
        <w:t>a clear direction for the Executive Board and S</w:t>
      </w:r>
      <w:r>
        <w:rPr>
          <w:rFonts w:ascii="Arial" w:hAnsi="Arial" w:cs="Arial"/>
        </w:rPr>
        <w:t xml:space="preserve">enior </w:t>
      </w:r>
      <w:r w:rsidRPr="00E270BC">
        <w:rPr>
          <w:rFonts w:ascii="Arial" w:hAnsi="Arial" w:cs="Arial"/>
        </w:rPr>
        <w:t>M</w:t>
      </w:r>
      <w:r>
        <w:rPr>
          <w:rFonts w:ascii="Arial" w:hAnsi="Arial" w:cs="Arial"/>
        </w:rPr>
        <w:t xml:space="preserve">anagement </w:t>
      </w:r>
      <w:r w:rsidRPr="00E270BC">
        <w:rPr>
          <w:rFonts w:ascii="Arial" w:hAnsi="Arial" w:cs="Arial"/>
        </w:rPr>
        <w:t>T</w:t>
      </w:r>
      <w:r>
        <w:rPr>
          <w:rFonts w:ascii="Arial" w:hAnsi="Arial" w:cs="Arial"/>
        </w:rPr>
        <w:t>eam</w:t>
      </w:r>
      <w:r w:rsidRPr="00E270BC">
        <w:rPr>
          <w:rFonts w:ascii="Arial" w:hAnsi="Arial" w:cs="Arial"/>
        </w:rPr>
        <w:t xml:space="preserve"> to establish policies and manage health and safety performance effectively.  </w:t>
      </w:r>
    </w:p>
    <w:p w14:paraId="59E3C8AC" w14:textId="77777777" w:rsidR="00DF0E87" w:rsidRPr="00AC56DA" w:rsidRDefault="00DF0E87" w:rsidP="004B094C">
      <w:pPr>
        <w:numPr>
          <w:ilvl w:val="0"/>
          <w:numId w:val="17"/>
        </w:numPr>
        <w:spacing w:line="360" w:lineRule="auto"/>
        <w:ind w:right="-34"/>
        <w:rPr>
          <w:rFonts w:ascii="Arial" w:hAnsi="Arial" w:cs="Arial"/>
        </w:rPr>
      </w:pPr>
      <w:r w:rsidRPr="00AC56DA">
        <w:rPr>
          <w:rFonts w:ascii="Arial" w:hAnsi="Arial" w:cs="Arial"/>
        </w:rPr>
        <w:t>Monitoring performance through receipt of the Annual SHE Report, to provide governance and assurance that an effective HSMS is operational within LFRS.</w:t>
      </w:r>
    </w:p>
    <w:p w14:paraId="12965E48" w14:textId="77777777" w:rsidR="00DF0E87" w:rsidRPr="00F57065" w:rsidRDefault="00DF0E87" w:rsidP="004B094C">
      <w:pPr>
        <w:spacing w:line="360" w:lineRule="auto"/>
        <w:ind w:right="-34"/>
        <w:rPr>
          <w:rFonts w:ascii="Arial" w:hAnsi="Arial" w:cs="Arial"/>
        </w:rPr>
      </w:pPr>
      <w:r w:rsidRPr="00F57065">
        <w:rPr>
          <w:rFonts w:ascii="Arial" w:hAnsi="Arial" w:cs="Arial"/>
        </w:rPr>
        <w:t xml:space="preserve"> </w:t>
      </w:r>
    </w:p>
    <w:p w14:paraId="2DABA3EF" w14:textId="673C9FAF" w:rsidR="00DF0E87" w:rsidRPr="00F57065" w:rsidRDefault="00DF0E87" w:rsidP="004B094C">
      <w:pPr>
        <w:spacing w:line="360" w:lineRule="auto"/>
        <w:ind w:right="-34"/>
        <w:rPr>
          <w:rFonts w:ascii="Arial" w:hAnsi="Arial" w:cs="Arial"/>
          <w:bCs/>
          <w:iCs/>
        </w:rPr>
      </w:pPr>
      <w:r w:rsidRPr="00F57065">
        <w:rPr>
          <w:rFonts w:ascii="Arial" w:hAnsi="Arial" w:cs="Arial"/>
          <w:bCs/>
          <w:iCs/>
        </w:rPr>
        <w:t xml:space="preserve">Our HSMS is based on the model Plan, Do, Check, Act laid down in the Health and Safety Executive publication HS(G)65 – Successful Health and Safety Management and written and implemented to the </w:t>
      </w:r>
      <w:r>
        <w:rPr>
          <w:rFonts w:ascii="Arial" w:hAnsi="Arial" w:cs="Arial"/>
          <w:bCs/>
          <w:iCs/>
        </w:rPr>
        <w:t>International S</w:t>
      </w:r>
      <w:r w:rsidRPr="00F57065">
        <w:rPr>
          <w:rFonts w:ascii="Arial" w:hAnsi="Arial" w:cs="Arial"/>
          <w:bCs/>
          <w:iCs/>
        </w:rPr>
        <w:t>tandard for Health and Safety Management Systems,</w:t>
      </w:r>
      <w:r>
        <w:rPr>
          <w:rFonts w:ascii="Arial" w:hAnsi="Arial" w:cs="Arial"/>
          <w:bCs/>
          <w:iCs/>
        </w:rPr>
        <w:t xml:space="preserve"> ISO 45001:2018</w:t>
      </w:r>
      <w:r w:rsidRPr="00F57065">
        <w:rPr>
          <w:rFonts w:ascii="Arial" w:hAnsi="Arial" w:cs="Arial"/>
          <w:bCs/>
          <w:iCs/>
        </w:rPr>
        <w:t>. The EMS is written and implemented to the International Standard ISO 14001:20</w:t>
      </w:r>
      <w:r>
        <w:rPr>
          <w:rFonts w:ascii="Arial" w:hAnsi="Arial" w:cs="Arial"/>
          <w:bCs/>
          <w:iCs/>
        </w:rPr>
        <w:t>15</w:t>
      </w:r>
      <w:r w:rsidRPr="00F57065">
        <w:rPr>
          <w:rFonts w:ascii="Arial" w:hAnsi="Arial" w:cs="Arial"/>
          <w:bCs/>
          <w:iCs/>
        </w:rPr>
        <w:t xml:space="preserve">.  </w:t>
      </w:r>
      <w:r>
        <w:rPr>
          <w:rFonts w:ascii="Arial" w:hAnsi="Arial" w:cs="Arial"/>
          <w:bCs/>
          <w:iCs/>
        </w:rPr>
        <w:t>Certification for both standards has been in place since 2011/12 with re-certification taking place every 3 years followed by annual surveillance audits.</w:t>
      </w:r>
      <w:r w:rsidRPr="00F57065">
        <w:rPr>
          <w:rFonts w:ascii="Arial" w:hAnsi="Arial" w:cs="Arial"/>
          <w:bCs/>
          <w:iCs/>
        </w:rPr>
        <w:t xml:space="preserve"> </w:t>
      </w:r>
      <w:r>
        <w:rPr>
          <w:rFonts w:ascii="Arial" w:hAnsi="Arial" w:cs="Arial"/>
          <w:bCs/>
          <w:iCs/>
        </w:rPr>
        <w:t xml:space="preserve">The last successful audit took place in 2019, where certification was extended. </w:t>
      </w:r>
      <w:r w:rsidRPr="00F57065">
        <w:rPr>
          <w:rFonts w:ascii="Arial" w:hAnsi="Arial" w:cs="Arial"/>
          <w:bCs/>
          <w:iCs/>
        </w:rPr>
        <w:t xml:space="preserve">As part of the audit process, the auditors visit a range of stations and departments and examine the ‘Full provision of fire, rescue and supporting services across Lancashire’ delivered by the Combined Fire Authority from a health and safety and environmental perspective.  </w:t>
      </w:r>
    </w:p>
    <w:p w14:paraId="2CBCCF02" w14:textId="77777777" w:rsidR="00DF0E87" w:rsidRPr="00F57065" w:rsidRDefault="00DF0E87" w:rsidP="004B094C">
      <w:pPr>
        <w:spacing w:line="360" w:lineRule="auto"/>
        <w:ind w:right="-34"/>
        <w:rPr>
          <w:rFonts w:ascii="Arial" w:hAnsi="Arial" w:cs="Arial"/>
          <w:bCs/>
          <w:iCs/>
        </w:rPr>
      </w:pPr>
      <w:r w:rsidRPr="00F57065">
        <w:rPr>
          <w:rFonts w:ascii="Arial" w:hAnsi="Arial" w:cs="Arial"/>
          <w:bCs/>
          <w:iCs/>
        </w:rPr>
        <w:t>Each year a performance review of Safety, Health and Environment is carried out and reported to the Combined Fire Authority in the</w:t>
      </w:r>
      <w:r>
        <w:rPr>
          <w:rFonts w:ascii="Arial" w:hAnsi="Arial" w:cs="Arial"/>
          <w:bCs/>
          <w:iCs/>
        </w:rPr>
        <w:t xml:space="preserve"> </w:t>
      </w:r>
      <w:hyperlink r:id="rId22" w:history="1">
        <w:r w:rsidRPr="006E124B">
          <w:rPr>
            <w:rStyle w:val="Hyperlink"/>
            <w:rFonts w:ascii="Arial" w:hAnsi="Arial" w:cs="Arial"/>
            <w:bCs/>
            <w:iCs/>
          </w:rPr>
          <w:t>Annual SHE Report</w:t>
        </w:r>
      </w:hyperlink>
      <w:r w:rsidRPr="0076187A">
        <w:rPr>
          <w:rFonts w:ascii="Arial" w:hAnsi="Arial" w:cs="Arial"/>
          <w:bCs/>
          <w:iCs/>
        </w:rPr>
        <w:t>.</w:t>
      </w:r>
      <w:r w:rsidRPr="00F57065">
        <w:rPr>
          <w:rFonts w:ascii="Arial" w:hAnsi="Arial" w:cs="Arial"/>
          <w:bCs/>
          <w:iCs/>
        </w:rPr>
        <w:t xml:space="preserve"> </w:t>
      </w:r>
      <w:r>
        <w:rPr>
          <w:rFonts w:ascii="Arial" w:hAnsi="Arial" w:cs="Arial"/>
          <w:bCs/>
          <w:iCs/>
        </w:rPr>
        <w:t xml:space="preserve"> </w:t>
      </w:r>
      <w:r w:rsidRPr="00F57065">
        <w:rPr>
          <w:rFonts w:ascii="Arial" w:hAnsi="Arial" w:cs="Arial"/>
          <w:bCs/>
          <w:iCs/>
        </w:rPr>
        <w:t xml:space="preserve">Part of business-as-usual is the review of all policies, procedures, instructions and guidance to ensure that we continue to meet our legal obligations in respect of safety, health and environment and we validate this by a system of internal </w:t>
      </w:r>
      <w:r>
        <w:rPr>
          <w:rFonts w:ascii="Arial" w:hAnsi="Arial" w:cs="Arial"/>
          <w:bCs/>
          <w:iCs/>
        </w:rPr>
        <w:t xml:space="preserve">and external </w:t>
      </w:r>
      <w:r w:rsidRPr="00F57065">
        <w:rPr>
          <w:rFonts w:ascii="Arial" w:hAnsi="Arial" w:cs="Arial"/>
          <w:bCs/>
          <w:iCs/>
        </w:rPr>
        <w:t>audits</w:t>
      </w:r>
      <w:r>
        <w:rPr>
          <w:rFonts w:ascii="Arial" w:hAnsi="Arial" w:cs="Arial"/>
          <w:bCs/>
          <w:iCs/>
        </w:rPr>
        <w:t>.</w:t>
      </w:r>
    </w:p>
    <w:p w14:paraId="625E48A1" w14:textId="77777777" w:rsidR="00DF0E87" w:rsidRPr="00F57065" w:rsidRDefault="00DF0E87" w:rsidP="004B094C">
      <w:pPr>
        <w:spacing w:line="360" w:lineRule="auto"/>
        <w:ind w:right="-34"/>
        <w:rPr>
          <w:rFonts w:ascii="Arial" w:hAnsi="Arial" w:cs="Arial"/>
          <w:bCs/>
          <w:iCs/>
        </w:rPr>
      </w:pPr>
      <w:r w:rsidRPr="00F57065">
        <w:rPr>
          <w:rFonts w:ascii="Arial" w:hAnsi="Arial" w:cs="Arial"/>
          <w:bCs/>
          <w:iCs/>
        </w:rPr>
        <w:t>To ensure continuous improvement is made in both the HSMS and EMS, we have developed an action plan to assist in delivering future improvements.</w:t>
      </w:r>
    </w:p>
    <w:p w14:paraId="56153E93" w14:textId="77777777" w:rsidR="00D94803" w:rsidRDefault="00D94803" w:rsidP="004B094C">
      <w:pPr>
        <w:rPr>
          <w:rFonts w:ascii="Arial" w:eastAsia="Times New Roman" w:hAnsi="Arial" w:cs="Arial"/>
          <w:b/>
          <w:bCs/>
          <w:i/>
          <w:iCs/>
          <w:sz w:val="28"/>
          <w:szCs w:val="28"/>
        </w:rPr>
      </w:pPr>
      <w:bookmarkStart w:id="19" w:name="_Toc21616125"/>
      <w:r>
        <w:rPr>
          <w:rFonts w:ascii="Arial" w:eastAsia="Times New Roman" w:hAnsi="Arial" w:cs="Arial"/>
          <w:b/>
          <w:bCs/>
          <w:i/>
          <w:iCs/>
          <w:sz w:val="28"/>
          <w:szCs w:val="28"/>
        </w:rPr>
        <w:br w:type="page"/>
      </w:r>
    </w:p>
    <w:p w14:paraId="080E716F" w14:textId="77777777" w:rsidR="00DF0E87" w:rsidRPr="00DF0E87" w:rsidRDefault="00DF0E87" w:rsidP="004B094C">
      <w:pPr>
        <w:keepNext/>
        <w:spacing w:before="240" w:after="60"/>
        <w:ind w:right="-34"/>
        <w:outlineLvl w:val="1"/>
        <w:rPr>
          <w:rFonts w:ascii="Arial" w:eastAsia="Times New Roman" w:hAnsi="Arial" w:cs="Arial"/>
          <w:b/>
          <w:bCs/>
          <w:i/>
          <w:iCs/>
          <w:sz w:val="28"/>
          <w:szCs w:val="28"/>
        </w:rPr>
      </w:pPr>
      <w:r w:rsidRPr="00DF0E87">
        <w:rPr>
          <w:rFonts w:ascii="Arial" w:eastAsia="Times New Roman" w:hAnsi="Arial" w:cs="Arial"/>
          <w:b/>
          <w:bCs/>
          <w:i/>
          <w:iCs/>
          <w:sz w:val="28"/>
          <w:szCs w:val="28"/>
        </w:rPr>
        <w:lastRenderedPageBreak/>
        <w:t>Training and Development</w:t>
      </w:r>
      <w:bookmarkEnd w:id="19"/>
      <w:r w:rsidRPr="00DF0E87">
        <w:rPr>
          <w:rFonts w:ascii="Arial" w:eastAsia="Times New Roman" w:hAnsi="Arial" w:cs="Arial"/>
          <w:b/>
          <w:bCs/>
          <w:i/>
          <w:iCs/>
          <w:sz w:val="28"/>
          <w:szCs w:val="28"/>
        </w:rPr>
        <w:t xml:space="preserve"> </w:t>
      </w:r>
    </w:p>
    <w:p w14:paraId="2D22759C" w14:textId="77777777" w:rsidR="00DF0E87" w:rsidRPr="00DF0E87" w:rsidRDefault="00DF0E87" w:rsidP="004B094C">
      <w:pPr>
        <w:widowControl w:val="0"/>
        <w:autoSpaceDE w:val="0"/>
        <w:autoSpaceDN w:val="0"/>
        <w:adjustRightInd w:val="0"/>
        <w:spacing w:after="375" w:line="380" w:lineRule="atLeast"/>
        <w:ind w:right="-34"/>
        <w:rPr>
          <w:rFonts w:ascii="Arial" w:eastAsiaTheme="minorHAnsi" w:hAnsi="Arial" w:cs="Arial"/>
        </w:rPr>
      </w:pPr>
      <w:r w:rsidRPr="00DF0E87">
        <w:rPr>
          <w:rFonts w:ascii="Arial" w:hAnsi="Arial" w:cs="Arial"/>
        </w:rPr>
        <w:t xml:space="preserve">Lancashire Fire and Rescue Service Training and Operational Review policy is designed to provide training and development to personnel to enable the organisation to fulfil its vision of 'Making Lancashire Safer'.  Training is based on the needs of the organisation with a strong focus on ensuring that personnel are safe and competent in the delivery of the prevention, protection and response services we provide. </w:t>
      </w:r>
    </w:p>
    <w:p w14:paraId="1E06A3B0" w14:textId="77777777" w:rsidR="00DF0E87" w:rsidRPr="00DF0E87" w:rsidRDefault="00DF0E87" w:rsidP="004B094C">
      <w:pPr>
        <w:widowControl w:val="0"/>
        <w:autoSpaceDE w:val="0"/>
        <w:autoSpaceDN w:val="0"/>
        <w:adjustRightInd w:val="0"/>
        <w:spacing w:after="0" w:line="380" w:lineRule="atLeast"/>
        <w:ind w:right="-34"/>
        <w:rPr>
          <w:rFonts w:ascii="Arial" w:hAnsi="Arial" w:cs="Arial"/>
        </w:rPr>
      </w:pPr>
      <w:r w:rsidRPr="00DF0E87">
        <w:rPr>
          <w:rFonts w:ascii="Arial" w:hAnsi="Arial" w:cs="Arial"/>
        </w:rPr>
        <w:t>The training programme takes into account learning identified through our own operational review processes as well as from reports describing learning from events of national significance. The Training and Operational Review department supports continual learning and organisational development through a wide range of programmes tailored to role and responsibility, as well as managing the selection processes which identify managers for advancement. Ongoing development and maintenance of competence is a key focus and this is facilitated through a robust maintenance of skills programme linked to an e-learning system which is continually updated.</w:t>
      </w:r>
    </w:p>
    <w:p w14:paraId="7FC24B62" w14:textId="77777777" w:rsidR="00DF0E87" w:rsidRPr="00DF0E87" w:rsidRDefault="00DF0E87" w:rsidP="004B094C">
      <w:pPr>
        <w:widowControl w:val="0"/>
        <w:autoSpaceDE w:val="0"/>
        <w:autoSpaceDN w:val="0"/>
        <w:adjustRightInd w:val="0"/>
        <w:spacing w:after="0" w:line="380" w:lineRule="atLeast"/>
        <w:ind w:right="-34"/>
        <w:rPr>
          <w:rFonts w:ascii="Arial" w:hAnsi="Arial" w:cs="Arial"/>
        </w:rPr>
      </w:pPr>
    </w:p>
    <w:p w14:paraId="5BD2F47F" w14:textId="77777777" w:rsidR="00DF0E87" w:rsidRPr="00DF0E87" w:rsidRDefault="00DF0E87" w:rsidP="004B094C">
      <w:pPr>
        <w:widowControl w:val="0"/>
        <w:autoSpaceDE w:val="0"/>
        <w:autoSpaceDN w:val="0"/>
        <w:adjustRightInd w:val="0"/>
        <w:spacing w:after="0" w:line="380" w:lineRule="atLeast"/>
        <w:ind w:right="-34"/>
        <w:rPr>
          <w:rFonts w:ascii="Arial" w:hAnsi="Arial" w:cs="Arial"/>
        </w:rPr>
      </w:pPr>
      <w:r w:rsidRPr="00DF0E87">
        <w:rPr>
          <w:rFonts w:ascii="Arial" w:hAnsi="Arial" w:cs="Arial"/>
        </w:rPr>
        <w:t>Trainers are selected and developed across an extremely diverse variety of specialisms ranging from the intricacies of boat handling and rope rescue through to the complexities of mounting a successful fire safety prosecution. Where necessary, support is commissioned from specialist providers.</w:t>
      </w:r>
    </w:p>
    <w:p w14:paraId="46FA9CC1" w14:textId="77777777" w:rsidR="00482CBB" w:rsidRPr="00482CBB" w:rsidRDefault="00482CBB" w:rsidP="004B094C">
      <w:pPr>
        <w:pStyle w:val="Default"/>
        <w:ind w:right="-34"/>
      </w:pPr>
    </w:p>
    <w:p w14:paraId="175C722E" w14:textId="77777777" w:rsidR="005F30E7" w:rsidRPr="00701EEC" w:rsidRDefault="00482CBB" w:rsidP="004B094C">
      <w:pPr>
        <w:pStyle w:val="Heading1"/>
        <w:ind w:right="-34"/>
        <w:rPr>
          <w:rFonts w:cs="Arial"/>
        </w:rPr>
      </w:pPr>
      <w:r w:rsidRPr="00701EEC">
        <w:rPr>
          <w:rFonts w:cs="Arial"/>
        </w:rPr>
        <w:t xml:space="preserve"> </w:t>
      </w:r>
      <w:bookmarkStart w:id="20" w:name="_Toc21616126"/>
      <w:r w:rsidR="005F30E7" w:rsidRPr="00701EEC">
        <w:rPr>
          <w:rFonts w:cs="Arial"/>
        </w:rPr>
        <w:t>5. Assurance Declaration</w:t>
      </w:r>
      <w:bookmarkEnd w:id="20"/>
      <w:r w:rsidR="005F30E7" w:rsidRPr="00701EEC">
        <w:rPr>
          <w:rFonts w:cs="Arial"/>
        </w:rPr>
        <w:t xml:space="preserve"> </w:t>
      </w:r>
    </w:p>
    <w:p w14:paraId="50950EEC" w14:textId="77777777" w:rsidR="00003415" w:rsidRDefault="006701A4" w:rsidP="004B094C">
      <w:pPr>
        <w:pStyle w:val="CM12"/>
        <w:spacing w:after="615" w:line="383" w:lineRule="atLeast"/>
        <w:ind w:right="-34"/>
        <w:rPr>
          <w:sz w:val="22"/>
          <w:szCs w:val="22"/>
        </w:rPr>
      </w:pPr>
      <w:r>
        <w:rPr>
          <w:noProof/>
          <w:sz w:val="22"/>
          <w:szCs w:val="22"/>
        </w:rPr>
        <w:drawing>
          <wp:anchor distT="0" distB="0" distL="114300" distR="114300" simplePos="0" relativeHeight="251660288" behindDoc="1" locked="0" layoutInCell="1" allowOverlap="1" wp14:anchorId="3CF40703" wp14:editId="78BDDC59">
            <wp:simplePos x="0" y="0"/>
            <wp:positionH relativeFrom="column">
              <wp:posOffset>2902585</wp:posOffset>
            </wp:positionH>
            <wp:positionV relativeFrom="paragraph">
              <wp:posOffset>1077595</wp:posOffset>
            </wp:positionV>
            <wp:extent cx="530679" cy="495300"/>
            <wp:effectExtent l="0" t="0" r="3175" b="0"/>
            <wp:wrapNone/>
            <wp:docPr id="4" name="Picture 4" descr="Signature of Justin Johnston, Chief Fir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XEC BOARD &amp; AREA MANAGER DETAILS\EXEC BOARD &amp; AREA MANAGER SIGNATURES\Exec Board\Justin Johnston - DCFO\Justin Johnston si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73" cy="502295"/>
                    </a:xfrm>
                    <a:prstGeom prst="rect">
                      <a:avLst/>
                    </a:prstGeom>
                    <a:noFill/>
                    <a:ln>
                      <a:noFill/>
                    </a:ln>
                  </pic:spPr>
                </pic:pic>
              </a:graphicData>
            </a:graphic>
            <wp14:sizeRelH relativeFrom="page">
              <wp14:pctWidth>0</wp14:pctWidth>
            </wp14:sizeRelH>
            <wp14:sizeRelV relativeFrom="page">
              <wp14:pctHeight>0</wp14:pctHeight>
            </wp14:sizeRelV>
          </wp:anchor>
        </w:drawing>
      </w:r>
      <w:r w:rsidR="005F30E7">
        <w:rPr>
          <w:sz w:val="22"/>
          <w:szCs w:val="22"/>
        </w:rPr>
        <w:t>The Chairman of Lancashire Combined Fire Authority and Chief Fire Officer of Lancashire Fire and Rescue Service are satisfied that the Authority’s financial, governance and operational assurance arrangements are adequate and operating effectively and meet the requirements detailed within the Fire and Rescue National Frame</w:t>
      </w:r>
      <w:bookmarkStart w:id="21" w:name="_GoBack"/>
      <w:bookmarkEnd w:id="21"/>
      <w:r w:rsidR="005F30E7">
        <w:rPr>
          <w:sz w:val="22"/>
          <w:szCs w:val="22"/>
        </w:rPr>
        <w:t xml:space="preserve">work. </w:t>
      </w:r>
    </w:p>
    <w:p w14:paraId="016A6721" w14:textId="3ABA8361" w:rsidR="00003415" w:rsidRDefault="006E77AE" w:rsidP="00F530B0">
      <w:pPr>
        <w:pStyle w:val="CM12"/>
        <w:spacing w:line="383" w:lineRule="atLeast"/>
        <w:ind w:right="-34"/>
        <w:jc w:val="both"/>
        <w:rPr>
          <w:sz w:val="22"/>
          <w:szCs w:val="22"/>
        </w:rPr>
      </w:pPr>
      <w:r>
        <w:rPr>
          <w:sz w:val="22"/>
          <w:szCs w:val="22"/>
        </w:rPr>
        <w:t>Justin Johnston</w:t>
      </w:r>
      <w:r w:rsidR="005F30E7">
        <w:rPr>
          <w:sz w:val="22"/>
          <w:szCs w:val="22"/>
        </w:rPr>
        <w:t xml:space="preserve"> - Chief Fire Officer </w:t>
      </w:r>
      <w:r w:rsidR="00701EEC">
        <w:rPr>
          <w:sz w:val="22"/>
          <w:szCs w:val="22"/>
        </w:rPr>
        <w:tab/>
      </w:r>
      <w:r w:rsidR="00701EEC">
        <w:rPr>
          <w:sz w:val="22"/>
          <w:szCs w:val="22"/>
        </w:rPr>
        <w:tab/>
      </w:r>
      <w:r w:rsidR="00B7558D">
        <w:rPr>
          <w:sz w:val="22"/>
          <w:szCs w:val="22"/>
        </w:rPr>
        <w:t>…………………………….</w:t>
      </w:r>
    </w:p>
    <w:p w14:paraId="6A0305F9" w14:textId="5C7492D5" w:rsidR="00701EEC" w:rsidRDefault="00E52ED6" w:rsidP="00E52ED6">
      <w:pPr>
        <w:pStyle w:val="CM12"/>
        <w:tabs>
          <w:tab w:val="left" w:pos="720"/>
          <w:tab w:val="left" w:pos="1440"/>
          <w:tab w:val="center" w:pos="4635"/>
        </w:tabs>
        <w:spacing w:line="383" w:lineRule="atLeast"/>
        <w:ind w:right="-34"/>
        <w:jc w:val="both"/>
        <w:rPr>
          <w:sz w:val="22"/>
          <w:szCs w:val="22"/>
        </w:rPr>
      </w:pPr>
      <w:r>
        <w:rPr>
          <w:noProof/>
          <w:sz w:val="22"/>
          <w:szCs w:val="22"/>
        </w:rPr>
        <w:drawing>
          <wp:anchor distT="0" distB="0" distL="114300" distR="114300" simplePos="0" relativeHeight="251658240" behindDoc="0" locked="0" layoutInCell="1" allowOverlap="1" wp14:anchorId="26BB2F81" wp14:editId="12A088E6">
            <wp:simplePos x="0" y="0"/>
            <wp:positionH relativeFrom="column">
              <wp:posOffset>2769235</wp:posOffset>
            </wp:positionH>
            <wp:positionV relativeFrom="paragraph">
              <wp:posOffset>8255</wp:posOffset>
            </wp:positionV>
            <wp:extent cx="1168906" cy="333375"/>
            <wp:effectExtent l="0" t="0" r="0" b="0"/>
            <wp:wrapNone/>
            <wp:docPr id="3" name="Picture 3" descr="Signature of Frank de Molfetta, Chairman of The Lancashire Combined Fire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nk De Molfetta - Chairman.png"/>
                    <pic:cNvPicPr/>
                  </pic:nvPicPr>
                  <pic:blipFill>
                    <a:blip r:embed="rId24">
                      <a:extLst>
                        <a:ext uri="{28A0092B-C50C-407E-A947-70E740481C1C}">
                          <a14:useLocalDpi xmlns:a14="http://schemas.microsoft.com/office/drawing/2010/main" val="0"/>
                        </a:ext>
                      </a:extLst>
                    </a:blip>
                    <a:stretch>
                      <a:fillRect/>
                    </a:stretch>
                  </pic:blipFill>
                  <pic:spPr>
                    <a:xfrm>
                      <a:off x="0" y="0"/>
                      <a:ext cx="1168906" cy="333375"/>
                    </a:xfrm>
                    <a:prstGeom prst="rect">
                      <a:avLst/>
                    </a:prstGeom>
                  </pic:spPr>
                </pic:pic>
              </a:graphicData>
            </a:graphic>
            <wp14:sizeRelH relativeFrom="page">
              <wp14:pctWidth>0</wp14:pctWidth>
            </wp14:sizeRelH>
            <wp14:sizeRelV relativeFrom="page">
              <wp14:pctHeight>0</wp14:pctHeight>
            </wp14:sizeRelV>
          </wp:anchor>
        </w:drawing>
      </w:r>
      <w:r w:rsidR="00701EEC">
        <w:rPr>
          <w:sz w:val="22"/>
          <w:szCs w:val="22"/>
        </w:rPr>
        <w:tab/>
      </w:r>
      <w:r w:rsidR="00701EEC">
        <w:rPr>
          <w:sz w:val="22"/>
          <w:szCs w:val="22"/>
        </w:rPr>
        <w:tab/>
      </w:r>
      <w:r>
        <w:rPr>
          <w:sz w:val="22"/>
          <w:szCs w:val="22"/>
        </w:rPr>
        <w:tab/>
      </w:r>
    </w:p>
    <w:p w14:paraId="11090903" w14:textId="77777777" w:rsidR="005F30E7" w:rsidRDefault="00701EEC" w:rsidP="00F530B0">
      <w:pPr>
        <w:pStyle w:val="CM8"/>
        <w:spacing w:line="256" w:lineRule="atLeast"/>
        <w:ind w:right="-34"/>
        <w:rPr>
          <w:sz w:val="22"/>
          <w:szCs w:val="22"/>
        </w:rPr>
      </w:pPr>
      <w:r>
        <w:rPr>
          <w:sz w:val="22"/>
          <w:szCs w:val="22"/>
        </w:rPr>
        <w:t>Frank De Molfetta – CFA Chairman</w:t>
      </w:r>
      <w:r w:rsidR="00B7558D">
        <w:rPr>
          <w:sz w:val="22"/>
          <w:szCs w:val="22"/>
        </w:rPr>
        <w:tab/>
      </w:r>
      <w:r w:rsidR="001A1DC9">
        <w:rPr>
          <w:sz w:val="22"/>
          <w:szCs w:val="22"/>
        </w:rPr>
        <w:tab/>
      </w:r>
      <w:r w:rsidR="00B7558D">
        <w:rPr>
          <w:sz w:val="22"/>
          <w:szCs w:val="22"/>
        </w:rPr>
        <w:t>…………………………….</w:t>
      </w:r>
    </w:p>
    <w:p w14:paraId="22AB7815" w14:textId="77777777" w:rsidR="00003415" w:rsidRPr="00003415" w:rsidRDefault="00003415" w:rsidP="00F530B0">
      <w:pPr>
        <w:pStyle w:val="Default"/>
        <w:ind w:right="-34"/>
      </w:pPr>
    </w:p>
    <w:p w14:paraId="272A75C1" w14:textId="77777777" w:rsidR="005F30E7" w:rsidRPr="007F482E" w:rsidRDefault="005F30E7" w:rsidP="00F530B0">
      <w:pPr>
        <w:pStyle w:val="Default"/>
        <w:ind w:right="-34"/>
        <w:rPr>
          <w:i/>
        </w:rPr>
      </w:pPr>
      <w:r>
        <w:rPr>
          <w:color w:val="auto"/>
          <w:sz w:val="22"/>
          <w:szCs w:val="22"/>
        </w:rPr>
        <w:t xml:space="preserve">Date: </w:t>
      </w:r>
      <w:r w:rsidR="00042537">
        <w:rPr>
          <w:color w:val="auto"/>
          <w:sz w:val="22"/>
          <w:szCs w:val="22"/>
        </w:rPr>
        <w:t>16 December 2019</w:t>
      </w:r>
    </w:p>
    <w:sectPr w:rsidR="005F30E7" w:rsidRPr="007F482E" w:rsidSect="00F530B0">
      <w:footerReference w:type="default" r:id="rId25"/>
      <w:pgSz w:w="11907" w:h="16840" w:code="9"/>
      <w:pgMar w:top="1134" w:right="1197" w:bottom="652" w:left="1474" w:header="720" w:footer="374" w:gutter="0"/>
      <w:paperSrc w:other="26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ECC458" w14:textId="77777777" w:rsidR="00467B8D" w:rsidRDefault="00467B8D" w:rsidP="00701EEC">
      <w:pPr>
        <w:spacing w:after="0" w:line="240" w:lineRule="auto"/>
      </w:pPr>
      <w:r>
        <w:separator/>
      </w:r>
    </w:p>
  </w:endnote>
  <w:endnote w:type="continuationSeparator" w:id="0">
    <w:p w14:paraId="3FBCCBF9" w14:textId="77777777" w:rsidR="00467B8D" w:rsidRDefault="00467B8D" w:rsidP="00701E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75380" w14:textId="77777777" w:rsidR="00467B8D" w:rsidRDefault="00467B8D" w:rsidP="00012103">
    <w:pPr>
      <w:pStyle w:val="Footer"/>
      <w:ind w:right="936"/>
      <w:jc w:val="right"/>
    </w:pPr>
    <w:r>
      <w:fldChar w:fldCharType="begin"/>
    </w:r>
    <w:r>
      <w:instrText xml:space="preserve"> PAGE   \* MERGEFORMAT </w:instrText>
    </w:r>
    <w:r>
      <w:fldChar w:fldCharType="separate"/>
    </w:r>
    <w:r w:rsidR="00520ED4">
      <w:rPr>
        <w:noProof/>
      </w:rPr>
      <w:t>14</w:t>
    </w:r>
    <w:r>
      <w:fldChar w:fldCharType="end"/>
    </w:r>
  </w:p>
  <w:p w14:paraId="52CB2CDE" w14:textId="77777777" w:rsidR="00467B8D" w:rsidRDefault="00467B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07B6D8" w14:textId="77777777" w:rsidR="00467B8D" w:rsidRDefault="00467B8D" w:rsidP="00701EEC">
      <w:pPr>
        <w:spacing w:after="0" w:line="240" w:lineRule="auto"/>
      </w:pPr>
      <w:r>
        <w:separator/>
      </w:r>
    </w:p>
  </w:footnote>
  <w:footnote w:type="continuationSeparator" w:id="0">
    <w:p w14:paraId="13700FD1" w14:textId="77777777" w:rsidR="00467B8D" w:rsidRDefault="00467B8D" w:rsidP="00701E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08139FA"/>
    <w:multiLevelType w:val="hybridMultilevel"/>
    <w:tmpl w:val="EFEE61A7"/>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31900C5"/>
    <w:multiLevelType w:val="hybridMultilevel"/>
    <w:tmpl w:val="8834A126"/>
    <w:lvl w:ilvl="0" w:tplc="08090001">
      <w:start w:val="1"/>
      <w:numFmt w:val="bullet"/>
      <w:lvlText w:val=""/>
      <w:lvlJc w:val="left"/>
      <w:pPr>
        <w:ind w:left="815" w:hanging="360"/>
      </w:pPr>
      <w:rPr>
        <w:rFonts w:ascii="Symbol" w:hAnsi="Symbol" w:hint="default"/>
      </w:rPr>
    </w:lvl>
    <w:lvl w:ilvl="1" w:tplc="08090003" w:tentative="1">
      <w:start w:val="1"/>
      <w:numFmt w:val="bullet"/>
      <w:lvlText w:val="o"/>
      <w:lvlJc w:val="left"/>
      <w:pPr>
        <w:ind w:left="1535" w:hanging="360"/>
      </w:pPr>
      <w:rPr>
        <w:rFonts w:ascii="Courier New" w:hAnsi="Courier New" w:hint="default"/>
      </w:rPr>
    </w:lvl>
    <w:lvl w:ilvl="2" w:tplc="08090005" w:tentative="1">
      <w:start w:val="1"/>
      <w:numFmt w:val="bullet"/>
      <w:lvlText w:val=""/>
      <w:lvlJc w:val="left"/>
      <w:pPr>
        <w:ind w:left="2255" w:hanging="360"/>
      </w:pPr>
      <w:rPr>
        <w:rFonts w:ascii="Wingdings" w:hAnsi="Wingdings" w:hint="default"/>
      </w:rPr>
    </w:lvl>
    <w:lvl w:ilvl="3" w:tplc="08090001" w:tentative="1">
      <w:start w:val="1"/>
      <w:numFmt w:val="bullet"/>
      <w:lvlText w:val=""/>
      <w:lvlJc w:val="left"/>
      <w:pPr>
        <w:ind w:left="2975" w:hanging="360"/>
      </w:pPr>
      <w:rPr>
        <w:rFonts w:ascii="Symbol" w:hAnsi="Symbol" w:hint="default"/>
      </w:rPr>
    </w:lvl>
    <w:lvl w:ilvl="4" w:tplc="08090003" w:tentative="1">
      <w:start w:val="1"/>
      <w:numFmt w:val="bullet"/>
      <w:lvlText w:val="o"/>
      <w:lvlJc w:val="left"/>
      <w:pPr>
        <w:ind w:left="3695" w:hanging="360"/>
      </w:pPr>
      <w:rPr>
        <w:rFonts w:ascii="Courier New" w:hAnsi="Courier New" w:hint="default"/>
      </w:rPr>
    </w:lvl>
    <w:lvl w:ilvl="5" w:tplc="08090005" w:tentative="1">
      <w:start w:val="1"/>
      <w:numFmt w:val="bullet"/>
      <w:lvlText w:val=""/>
      <w:lvlJc w:val="left"/>
      <w:pPr>
        <w:ind w:left="4415" w:hanging="360"/>
      </w:pPr>
      <w:rPr>
        <w:rFonts w:ascii="Wingdings" w:hAnsi="Wingdings" w:hint="default"/>
      </w:rPr>
    </w:lvl>
    <w:lvl w:ilvl="6" w:tplc="08090001" w:tentative="1">
      <w:start w:val="1"/>
      <w:numFmt w:val="bullet"/>
      <w:lvlText w:val=""/>
      <w:lvlJc w:val="left"/>
      <w:pPr>
        <w:ind w:left="5135" w:hanging="360"/>
      </w:pPr>
      <w:rPr>
        <w:rFonts w:ascii="Symbol" w:hAnsi="Symbol" w:hint="default"/>
      </w:rPr>
    </w:lvl>
    <w:lvl w:ilvl="7" w:tplc="08090003" w:tentative="1">
      <w:start w:val="1"/>
      <w:numFmt w:val="bullet"/>
      <w:lvlText w:val="o"/>
      <w:lvlJc w:val="left"/>
      <w:pPr>
        <w:ind w:left="5855" w:hanging="360"/>
      </w:pPr>
      <w:rPr>
        <w:rFonts w:ascii="Courier New" w:hAnsi="Courier New" w:hint="default"/>
      </w:rPr>
    </w:lvl>
    <w:lvl w:ilvl="8" w:tplc="08090005" w:tentative="1">
      <w:start w:val="1"/>
      <w:numFmt w:val="bullet"/>
      <w:lvlText w:val=""/>
      <w:lvlJc w:val="left"/>
      <w:pPr>
        <w:ind w:left="6575" w:hanging="360"/>
      </w:pPr>
      <w:rPr>
        <w:rFonts w:ascii="Wingdings" w:hAnsi="Wingdings" w:hint="default"/>
      </w:rPr>
    </w:lvl>
  </w:abstractNum>
  <w:abstractNum w:abstractNumId="2" w15:restartNumberingAfterBreak="0">
    <w:nsid w:val="092C1B8E"/>
    <w:multiLevelType w:val="hybridMultilevel"/>
    <w:tmpl w:val="8D1E49C2"/>
    <w:lvl w:ilvl="0" w:tplc="B7D02EDE">
      <w:numFmt w:val="bullet"/>
      <w:lvlText w:val=""/>
      <w:lvlJc w:val="left"/>
      <w:pPr>
        <w:ind w:left="492" w:hanging="360"/>
      </w:pPr>
      <w:rPr>
        <w:rFonts w:ascii="Arial" w:eastAsiaTheme="minorEastAsia" w:hAnsi="Aria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D731ACF"/>
    <w:multiLevelType w:val="hybridMultilevel"/>
    <w:tmpl w:val="422A9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DD222D"/>
    <w:multiLevelType w:val="hybridMultilevel"/>
    <w:tmpl w:val="BA04AF26"/>
    <w:lvl w:ilvl="0" w:tplc="B7D02EDE">
      <w:numFmt w:val="bullet"/>
      <w:lvlText w:val=""/>
      <w:lvlJc w:val="left"/>
      <w:pPr>
        <w:ind w:left="492" w:hanging="360"/>
      </w:pPr>
      <w:rPr>
        <w:rFonts w:ascii="Arial" w:eastAsiaTheme="minorEastAsia" w:hAnsi="Aria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5" w15:restartNumberingAfterBreak="0">
    <w:nsid w:val="2412058C"/>
    <w:multiLevelType w:val="hybridMultilevel"/>
    <w:tmpl w:val="0186C7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EB0A6C"/>
    <w:multiLevelType w:val="hybridMultilevel"/>
    <w:tmpl w:val="E6BAEB2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7" w15:restartNumberingAfterBreak="0">
    <w:nsid w:val="416B5B37"/>
    <w:multiLevelType w:val="hybridMultilevel"/>
    <w:tmpl w:val="0CFA3E1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8" w15:restartNumberingAfterBreak="0">
    <w:nsid w:val="41D559B4"/>
    <w:multiLevelType w:val="hybridMultilevel"/>
    <w:tmpl w:val="1E20027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4CD42834"/>
    <w:multiLevelType w:val="hybridMultilevel"/>
    <w:tmpl w:val="09BE2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543278"/>
    <w:multiLevelType w:val="hybridMultilevel"/>
    <w:tmpl w:val="AB0C8A2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072338A"/>
    <w:multiLevelType w:val="hybridMultilevel"/>
    <w:tmpl w:val="CC4AAF0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2" w15:restartNumberingAfterBreak="0">
    <w:nsid w:val="627B6519"/>
    <w:multiLevelType w:val="hybridMultilevel"/>
    <w:tmpl w:val="54A0E4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7C35F46"/>
    <w:multiLevelType w:val="hybridMultilevel"/>
    <w:tmpl w:val="6F4898F2"/>
    <w:lvl w:ilvl="0" w:tplc="B7D02EDE">
      <w:numFmt w:val="bullet"/>
      <w:lvlText w:val=""/>
      <w:lvlJc w:val="left"/>
      <w:pPr>
        <w:ind w:left="426" w:hanging="360"/>
      </w:pPr>
      <w:rPr>
        <w:rFonts w:ascii="Arial" w:eastAsiaTheme="minorEastAsia" w:hAnsi="Arial" w:hint="default"/>
      </w:rPr>
    </w:lvl>
    <w:lvl w:ilvl="1" w:tplc="08090003" w:tentative="1">
      <w:start w:val="1"/>
      <w:numFmt w:val="bullet"/>
      <w:lvlText w:val="o"/>
      <w:lvlJc w:val="left"/>
      <w:pPr>
        <w:ind w:left="1146" w:hanging="360"/>
      </w:pPr>
      <w:rPr>
        <w:rFonts w:ascii="Courier New" w:hAnsi="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4" w15:restartNumberingAfterBreak="0">
    <w:nsid w:val="7AE16D5D"/>
    <w:multiLevelType w:val="hybridMultilevel"/>
    <w:tmpl w:val="CB309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13"/>
  </w:num>
  <w:num w:numId="5">
    <w:abstractNumId w:val="2"/>
  </w:num>
  <w:num w:numId="6">
    <w:abstractNumId w:val="4"/>
  </w:num>
  <w:num w:numId="7">
    <w:abstractNumId w:val="7"/>
  </w:num>
  <w:num w:numId="8">
    <w:abstractNumId w:val="11"/>
  </w:num>
  <w:num w:numId="9">
    <w:abstractNumId w:val="1"/>
  </w:num>
  <w:num w:numId="10">
    <w:abstractNumId w:val="9"/>
  </w:num>
  <w:num w:numId="11">
    <w:abstractNumId w:val="11"/>
  </w:num>
  <w:num w:numId="12">
    <w:abstractNumId w:val="0"/>
    <w:lvlOverride w:ilvl="0">
      <w:startOverride w:val="1"/>
    </w:lvlOverride>
    <w:lvlOverride w:ilvl="1"/>
    <w:lvlOverride w:ilvl="2"/>
    <w:lvlOverride w:ilvl="3"/>
    <w:lvlOverride w:ilvl="4"/>
    <w:lvlOverride w:ilvl="5"/>
    <w:lvlOverride w:ilvl="6"/>
    <w:lvlOverride w:ilvl="7"/>
    <w:lvlOverride w:ilvl="8"/>
  </w:num>
  <w:num w:numId="13">
    <w:abstractNumId w:val="14"/>
  </w:num>
  <w:num w:numId="14">
    <w:abstractNumId w:val="12"/>
  </w:num>
  <w:num w:numId="15">
    <w:abstractNumId w:val="10"/>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0854"/>
    <w:rsid w:val="00000D27"/>
    <w:rsid w:val="00003415"/>
    <w:rsid w:val="00012103"/>
    <w:rsid w:val="000209DC"/>
    <w:rsid w:val="00042537"/>
    <w:rsid w:val="00046AB4"/>
    <w:rsid w:val="0007389E"/>
    <w:rsid w:val="00092AC8"/>
    <w:rsid w:val="000B5B32"/>
    <w:rsid w:val="000C134A"/>
    <w:rsid w:val="000C4EB5"/>
    <w:rsid w:val="000C5E4C"/>
    <w:rsid w:val="000D2B7C"/>
    <w:rsid w:val="000D57B4"/>
    <w:rsid w:val="000E7AF2"/>
    <w:rsid w:val="000E7DBF"/>
    <w:rsid w:val="001004DF"/>
    <w:rsid w:val="00102E9B"/>
    <w:rsid w:val="001067F9"/>
    <w:rsid w:val="00114A34"/>
    <w:rsid w:val="00132AB6"/>
    <w:rsid w:val="00155982"/>
    <w:rsid w:val="001563B5"/>
    <w:rsid w:val="00156569"/>
    <w:rsid w:val="00182820"/>
    <w:rsid w:val="00184909"/>
    <w:rsid w:val="001A1DC9"/>
    <w:rsid w:val="001B4FF5"/>
    <w:rsid w:val="001C0E74"/>
    <w:rsid w:val="001D04A6"/>
    <w:rsid w:val="001F3B51"/>
    <w:rsid w:val="00214A70"/>
    <w:rsid w:val="00220580"/>
    <w:rsid w:val="00236ABE"/>
    <w:rsid w:val="00272B80"/>
    <w:rsid w:val="00281950"/>
    <w:rsid w:val="00292445"/>
    <w:rsid w:val="002C36A7"/>
    <w:rsid w:val="002D3095"/>
    <w:rsid w:val="002F115A"/>
    <w:rsid w:val="002F2F95"/>
    <w:rsid w:val="002F64E4"/>
    <w:rsid w:val="003035B6"/>
    <w:rsid w:val="003230B5"/>
    <w:rsid w:val="00324B2B"/>
    <w:rsid w:val="0033300E"/>
    <w:rsid w:val="003368D6"/>
    <w:rsid w:val="00341095"/>
    <w:rsid w:val="003513B1"/>
    <w:rsid w:val="00394CCE"/>
    <w:rsid w:val="003A2E41"/>
    <w:rsid w:val="003B00F0"/>
    <w:rsid w:val="003B1F2A"/>
    <w:rsid w:val="003B258A"/>
    <w:rsid w:val="003D033F"/>
    <w:rsid w:val="003F0D31"/>
    <w:rsid w:val="003F15FB"/>
    <w:rsid w:val="00401E2C"/>
    <w:rsid w:val="00412B21"/>
    <w:rsid w:val="00424318"/>
    <w:rsid w:val="004262F8"/>
    <w:rsid w:val="004533A1"/>
    <w:rsid w:val="004679CE"/>
    <w:rsid w:val="00467B8D"/>
    <w:rsid w:val="004709BC"/>
    <w:rsid w:val="00473DC0"/>
    <w:rsid w:val="004808CA"/>
    <w:rsid w:val="00482CBB"/>
    <w:rsid w:val="00487201"/>
    <w:rsid w:val="00491B1D"/>
    <w:rsid w:val="004B094C"/>
    <w:rsid w:val="004B3AE0"/>
    <w:rsid w:val="004C2AB6"/>
    <w:rsid w:val="004C394B"/>
    <w:rsid w:val="004D179A"/>
    <w:rsid w:val="004D26F7"/>
    <w:rsid w:val="004D66E2"/>
    <w:rsid w:val="004E6D1E"/>
    <w:rsid w:val="00500575"/>
    <w:rsid w:val="00507267"/>
    <w:rsid w:val="005111DD"/>
    <w:rsid w:val="0051263C"/>
    <w:rsid w:val="00516433"/>
    <w:rsid w:val="00516E04"/>
    <w:rsid w:val="00520ED4"/>
    <w:rsid w:val="005239D0"/>
    <w:rsid w:val="005462ED"/>
    <w:rsid w:val="005466D6"/>
    <w:rsid w:val="00563914"/>
    <w:rsid w:val="0057185A"/>
    <w:rsid w:val="005B01B6"/>
    <w:rsid w:val="005B036C"/>
    <w:rsid w:val="005E4790"/>
    <w:rsid w:val="005F30E7"/>
    <w:rsid w:val="005F5ED1"/>
    <w:rsid w:val="00600B6A"/>
    <w:rsid w:val="006163F8"/>
    <w:rsid w:val="00630598"/>
    <w:rsid w:val="00643C15"/>
    <w:rsid w:val="00657DB3"/>
    <w:rsid w:val="0066210F"/>
    <w:rsid w:val="00662F6B"/>
    <w:rsid w:val="006701A4"/>
    <w:rsid w:val="00674E66"/>
    <w:rsid w:val="00675723"/>
    <w:rsid w:val="00683483"/>
    <w:rsid w:val="00683BF9"/>
    <w:rsid w:val="00684247"/>
    <w:rsid w:val="006A28E5"/>
    <w:rsid w:val="006A45EA"/>
    <w:rsid w:val="006B51B8"/>
    <w:rsid w:val="006C159C"/>
    <w:rsid w:val="006D0578"/>
    <w:rsid w:val="006D370C"/>
    <w:rsid w:val="006D5943"/>
    <w:rsid w:val="006E77AE"/>
    <w:rsid w:val="006F0316"/>
    <w:rsid w:val="00701EEC"/>
    <w:rsid w:val="00720D07"/>
    <w:rsid w:val="00725FE4"/>
    <w:rsid w:val="00751870"/>
    <w:rsid w:val="0076187A"/>
    <w:rsid w:val="00774362"/>
    <w:rsid w:val="00785FF9"/>
    <w:rsid w:val="007B280D"/>
    <w:rsid w:val="007C422C"/>
    <w:rsid w:val="007D7627"/>
    <w:rsid w:val="007D7D46"/>
    <w:rsid w:val="007E7638"/>
    <w:rsid w:val="007F482E"/>
    <w:rsid w:val="00807632"/>
    <w:rsid w:val="00820D47"/>
    <w:rsid w:val="00823159"/>
    <w:rsid w:val="008341F2"/>
    <w:rsid w:val="008371AB"/>
    <w:rsid w:val="00854E99"/>
    <w:rsid w:val="00871BFF"/>
    <w:rsid w:val="008814CC"/>
    <w:rsid w:val="008828F5"/>
    <w:rsid w:val="00897ECD"/>
    <w:rsid w:val="008A10FD"/>
    <w:rsid w:val="008A3D54"/>
    <w:rsid w:val="008C5335"/>
    <w:rsid w:val="008D32BD"/>
    <w:rsid w:val="008D3327"/>
    <w:rsid w:val="008E36FE"/>
    <w:rsid w:val="008E3975"/>
    <w:rsid w:val="00906860"/>
    <w:rsid w:val="00910788"/>
    <w:rsid w:val="00911E51"/>
    <w:rsid w:val="00921A43"/>
    <w:rsid w:val="00922285"/>
    <w:rsid w:val="00923BED"/>
    <w:rsid w:val="00925D2A"/>
    <w:rsid w:val="00943CA1"/>
    <w:rsid w:val="00957615"/>
    <w:rsid w:val="00983386"/>
    <w:rsid w:val="00996339"/>
    <w:rsid w:val="009A01E9"/>
    <w:rsid w:val="009A0AFB"/>
    <w:rsid w:val="009B18B8"/>
    <w:rsid w:val="009F0E15"/>
    <w:rsid w:val="009F32A6"/>
    <w:rsid w:val="00A20854"/>
    <w:rsid w:val="00A22C48"/>
    <w:rsid w:val="00A30AAC"/>
    <w:rsid w:val="00A47E8A"/>
    <w:rsid w:val="00A818A7"/>
    <w:rsid w:val="00A93FD7"/>
    <w:rsid w:val="00AA412D"/>
    <w:rsid w:val="00AC5FE5"/>
    <w:rsid w:val="00AF0AD5"/>
    <w:rsid w:val="00B479A0"/>
    <w:rsid w:val="00B602CB"/>
    <w:rsid w:val="00B7558D"/>
    <w:rsid w:val="00B94BD3"/>
    <w:rsid w:val="00B95CE7"/>
    <w:rsid w:val="00BC76B5"/>
    <w:rsid w:val="00BD38AF"/>
    <w:rsid w:val="00BF01C1"/>
    <w:rsid w:val="00C004FF"/>
    <w:rsid w:val="00C0364F"/>
    <w:rsid w:val="00C142C4"/>
    <w:rsid w:val="00C1559E"/>
    <w:rsid w:val="00C56EFF"/>
    <w:rsid w:val="00C64B09"/>
    <w:rsid w:val="00C9050C"/>
    <w:rsid w:val="00CB2D6D"/>
    <w:rsid w:val="00CC1A68"/>
    <w:rsid w:val="00CC6874"/>
    <w:rsid w:val="00CD3EE4"/>
    <w:rsid w:val="00CD460D"/>
    <w:rsid w:val="00CF6C84"/>
    <w:rsid w:val="00D02094"/>
    <w:rsid w:val="00D03033"/>
    <w:rsid w:val="00D252DC"/>
    <w:rsid w:val="00D37FF5"/>
    <w:rsid w:val="00D40E2B"/>
    <w:rsid w:val="00D731C8"/>
    <w:rsid w:val="00D8515E"/>
    <w:rsid w:val="00D94803"/>
    <w:rsid w:val="00D94E0F"/>
    <w:rsid w:val="00DA60B9"/>
    <w:rsid w:val="00DB0E9E"/>
    <w:rsid w:val="00DB6A1B"/>
    <w:rsid w:val="00DD432C"/>
    <w:rsid w:val="00DE2446"/>
    <w:rsid w:val="00DE4CD6"/>
    <w:rsid w:val="00DF0E87"/>
    <w:rsid w:val="00E52ED6"/>
    <w:rsid w:val="00E670CE"/>
    <w:rsid w:val="00E85165"/>
    <w:rsid w:val="00E91AA5"/>
    <w:rsid w:val="00EA081D"/>
    <w:rsid w:val="00EA161E"/>
    <w:rsid w:val="00EA2976"/>
    <w:rsid w:val="00EC70FB"/>
    <w:rsid w:val="00EE3702"/>
    <w:rsid w:val="00EE42CC"/>
    <w:rsid w:val="00F1260C"/>
    <w:rsid w:val="00F16DF1"/>
    <w:rsid w:val="00F31A69"/>
    <w:rsid w:val="00F330C8"/>
    <w:rsid w:val="00F478AC"/>
    <w:rsid w:val="00F530B0"/>
    <w:rsid w:val="00F57065"/>
    <w:rsid w:val="00F57DE8"/>
    <w:rsid w:val="00F809FF"/>
    <w:rsid w:val="00FB11F1"/>
    <w:rsid w:val="00FD15F9"/>
    <w:rsid w:val="00FF252B"/>
    <w:rsid w:val="00FF51C5"/>
    <w:rsid w:val="00FF56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17BE79"/>
  <w14:defaultImageDpi w14:val="0"/>
  <w15:docId w15:val="{F46E0307-A08B-4EAF-B658-41F792BE8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2537"/>
    <w:pPr>
      <w:keepNext/>
      <w:spacing w:before="240" w:after="60"/>
      <w:outlineLvl w:val="0"/>
    </w:pPr>
    <w:rPr>
      <w:rFonts w:ascii="Arial" w:eastAsiaTheme="majorEastAsia" w:hAnsi="Arial"/>
      <w:b/>
      <w:bCs/>
      <w:kern w:val="32"/>
      <w:sz w:val="44"/>
      <w:szCs w:val="32"/>
    </w:rPr>
  </w:style>
  <w:style w:type="paragraph" w:styleId="Heading2">
    <w:name w:val="heading 2"/>
    <w:basedOn w:val="Normal"/>
    <w:next w:val="Normal"/>
    <w:link w:val="Heading2Char"/>
    <w:uiPriority w:val="9"/>
    <w:unhideWhenUsed/>
    <w:qFormat/>
    <w:rsid w:val="00701EEC"/>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unhideWhenUsed/>
    <w:qFormat/>
    <w:rsid w:val="00701EEC"/>
    <w:pPr>
      <w:keepNext/>
      <w:spacing w:before="240" w:after="60"/>
      <w:outlineLvl w:val="2"/>
    </w:pPr>
    <w:rPr>
      <w:rFonts w:asciiTheme="majorHAnsi" w:eastAsiaTheme="majorEastAsia" w:hAnsiTheme="majorHAnsi"/>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42537"/>
    <w:rPr>
      <w:rFonts w:ascii="Arial" w:eastAsiaTheme="majorEastAsia" w:hAnsi="Arial"/>
      <w:b/>
      <w:bCs/>
      <w:kern w:val="32"/>
      <w:sz w:val="44"/>
      <w:szCs w:val="32"/>
    </w:rPr>
  </w:style>
  <w:style w:type="character" w:customStyle="1" w:styleId="Heading2Char">
    <w:name w:val="Heading 2 Char"/>
    <w:basedOn w:val="DefaultParagraphFont"/>
    <w:link w:val="Heading2"/>
    <w:uiPriority w:val="9"/>
    <w:locked/>
    <w:rsid w:val="00701EEC"/>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locked/>
    <w:rsid w:val="00701EEC"/>
    <w:rPr>
      <w:rFonts w:asciiTheme="majorHAnsi" w:eastAsiaTheme="majorEastAsia" w:hAnsiTheme="majorHAnsi" w:cs="Times New Roman"/>
      <w:b/>
      <w:bCs/>
      <w:sz w:val="26"/>
      <w:szCs w:val="26"/>
    </w:rPr>
  </w:style>
  <w:style w:type="paragraph" w:customStyle="1" w:styleId="Default">
    <w:name w:val="Default"/>
    <w:pPr>
      <w:widowControl w:val="0"/>
      <w:autoSpaceDE w:val="0"/>
      <w:autoSpaceDN w:val="0"/>
      <w:adjustRightInd w:val="0"/>
      <w:spacing w:after="0" w:line="240" w:lineRule="auto"/>
    </w:pPr>
    <w:rPr>
      <w:rFonts w:ascii="Arial" w:hAnsi="Arial" w:cs="Arial"/>
      <w:color w:val="000000"/>
      <w:sz w:val="24"/>
      <w:szCs w:val="24"/>
    </w:rPr>
  </w:style>
  <w:style w:type="paragraph" w:customStyle="1" w:styleId="CM1">
    <w:name w:val="CM1"/>
    <w:basedOn w:val="Default"/>
    <w:next w:val="Default"/>
    <w:uiPriority w:val="99"/>
    <w:rPr>
      <w:color w:val="auto"/>
    </w:rPr>
  </w:style>
  <w:style w:type="paragraph" w:customStyle="1" w:styleId="CM8">
    <w:name w:val="CM8"/>
    <w:basedOn w:val="Default"/>
    <w:next w:val="Default"/>
    <w:uiPriority w:val="99"/>
    <w:rPr>
      <w:color w:val="auto"/>
    </w:rPr>
  </w:style>
  <w:style w:type="paragraph" w:customStyle="1" w:styleId="CM2">
    <w:name w:val="CM2"/>
    <w:basedOn w:val="Default"/>
    <w:next w:val="Default"/>
    <w:uiPriority w:val="99"/>
    <w:pPr>
      <w:spacing w:line="493" w:lineRule="atLeast"/>
    </w:pPr>
    <w:rPr>
      <w:color w:val="auto"/>
    </w:rPr>
  </w:style>
  <w:style w:type="paragraph" w:customStyle="1" w:styleId="CM9">
    <w:name w:val="CM9"/>
    <w:basedOn w:val="Default"/>
    <w:next w:val="Default"/>
    <w:uiPriority w:val="99"/>
    <w:rPr>
      <w:color w:val="auto"/>
    </w:rPr>
  </w:style>
  <w:style w:type="paragraph" w:customStyle="1" w:styleId="CM10">
    <w:name w:val="CM10"/>
    <w:basedOn w:val="Default"/>
    <w:next w:val="Default"/>
    <w:uiPriority w:val="99"/>
    <w:rPr>
      <w:color w:val="auto"/>
    </w:rPr>
  </w:style>
  <w:style w:type="paragraph" w:customStyle="1" w:styleId="CM3">
    <w:name w:val="CM3"/>
    <w:basedOn w:val="Default"/>
    <w:next w:val="Default"/>
    <w:uiPriority w:val="99"/>
    <w:pPr>
      <w:spacing w:line="380" w:lineRule="atLeast"/>
    </w:pPr>
    <w:rPr>
      <w:color w:val="auto"/>
    </w:rPr>
  </w:style>
  <w:style w:type="paragraph" w:customStyle="1" w:styleId="CM11">
    <w:name w:val="CM11"/>
    <w:basedOn w:val="Default"/>
    <w:next w:val="Default"/>
    <w:uiPriority w:val="99"/>
    <w:rPr>
      <w:color w:val="auto"/>
    </w:rPr>
  </w:style>
  <w:style w:type="paragraph" w:customStyle="1" w:styleId="CM12">
    <w:name w:val="CM12"/>
    <w:basedOn w:val="Default"/>
    <w:next w:val="Default"/>
    <w:uiPriority w:val="99"/>
    <w:rPr>
      <w:color w:val="auto"/>
    </w:rPr>
  </w:style>
  <w:style w:type="paragraph" w:customStyle="1" w:styleId="CM13">
    <w:name w:val="CM13"/>
    <w:basedOn w:val="Default"/>
    <w:next w:val="Default"/>
    <w:uiPriority w:val="99"/>
    <w:rPr>
      <w:color w:val="auto"/>
    </w:rPr>
  </w:style>
  <w:style w:type="paragraph" w:customStyle="1" w:styleId="CM14">
    <w:name w:val="CM14"/>
    <w:basedOn w:val="Default"/>
    <w:next w:val="Default"/>
    <w:uiPriority w:val="99"/>
    <w:rPr>
      <w:color w:val="auto"/>
    </w:rPr>
  </w:style>
  <w:style w:type="paragraph" w:customStyle="1" w:styleId="CM5">
    <w:name w:val="CM5"/>
    <w:basedOn w:val="Default"/>
    <w:next w:val="Default"/>
    <w:uiPriority w:val="99"/>
    <w:pPr>
      <w:spacing w:line="383" w:lineRule="atLeast"/>
    </w:pPr>
    <w:rPr>
      <w:color w:val="auto"/>
    </w:rPr>
  </w:style>
  <w:style w:type="paragraph" w:customStyle="1" w:styleId="CM15">
    <w:name w:val="CM15"/>
    <w:basedOn w:val="Default"/>
    <w:next w:val="Default"/>
    <w:uiPriority w:val="99"/>
    <w:rPr>
      <w:color w:val="auto"/>
    </w:rPr>
  </w:style>
  <w:style w:type="paragraph" w:customStyle="1" w:styleId="CM6">
    <w:name w:val="CM6"/>
    <w:basedOn w:val="Default"/>
    <w:next w:val="Default"/>
    <w:uiPriority w:val="99"/>
    <w:rPr>
      <w:color w:val="auto"/>
    </w:rPr>
  </w:style>
  <w:style w:type="paragraph" w:customStyle="1" w:styleId="CM7">
    <w:name w:val="CM7"/>
    <w:basedOn w:val="Default"/>
    <w:next w:val="Default"/>
    <w:uiPriority w:val="99"/>
    <w:rPr>
      <w:color w:val="auto"/>
    </w:rPr>
  </w:style>
  <w:style w:type="paragraph" w:styleId="BalloonText">
    <w:name w:val="Balloon Text"/>
    <w:basedOn w:val="Normal"/>
    <w:link w:val="BalloonTextChar"/>
    <w:uiPriority w:val="99"/>
    <w:semiHidden/>
    <w:unhideWhenUsed/>
    <w:rsid w:val="00A208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20854"/>
    <w:rPr>
      <w:rFonts w:ascii="Tahoma" w:hAnsi="Tahoma" w:cs="Tahoma"/>
      <w:sz w:val="16"/>
      <w:szCs w:val="16"/>
    </w:rPr>
  </w:style>
  <w:style w:type="paragraph" w:styleId="Header">
    <w:name w:val="header"/>
    <w:basedOn w:val="Normal"/>
    <w:link w:val="HeaderChar"/>
    <w:uiPriority w:val="99"/>
    <w:unhideWhenUsed/>
    <w:rsid w:val="00701EEC"/>
    <w:pPr>
      <w:tabs>
        <w:tab w:val="center" w:pos="4513"/>
        <w:tab w:val="right" w:pos="9026"/>
      </w:tabs>
    </w:pPr>
  </w:style>
  <w:style w:type="character" w:customStyle="1" w:styleId="HeaderChar">
    <w:name w:val="Header Char"/>
    <w:basedOn w:val="DefaultParagraphFont"/>
    <w:link w:val="Header"/>
    <w:uiPriority w:val="99"/>
    <w:locked/>
    <w:rsid w:val="00701EEC"/>
    <w:rPr>
      <w:rFonts w:cs="Times New Roman"/>
    </w:rPr>
  </w:style>
  <w:style w:type="paragraph" w:styleId="Footer">
    <w:name w:val="footer"/>
    <w:basedOn w:val="Normal"/>
    <w:link w:val="FooterChar"/>
    <w:uiPriority w:val="99"/>
    <w:unhideWhenUsed/>
    <w:rsid w:val="00701EEC"/>
    <w:pPr>
      <w:tabs>
        <w:tab w:val="center" w:pos="4513"/>
        <w:tab w:val="right" w:pos="9026"/>
      </w:tabs>
    </w:pPr>
  </w:style>
  <w:style w:type="character" w:customStyle="1" w:styleId="FooterChar">
    <w:name w:val="Footer Char"/>
    <w:basedOn w:val="DefaultParagraphFont"/>
    <w:link w:val="Footer"/>
    <w:uiPriority w:val="99"/>
    <w:locked/>
    <w:rsid w:val="00701EEC"/>
    <w:rPr>
      <w:rFonts w:cs="Times New Roman"/>
    </w:rPr>
  </w:style>
  <w:style w:type="paragraph" w:styleId="TOCHeading">
    <w:name w:val="TOC Heading"/>
    <w:basedOn w:val="Heading1"/>
    <w:next w:val="Normal"/>
    <w:uiPriority w:val="39"/>
    <w:semiHidden/>
    <w:unhideWhenUsed/>
    <w:qFormat/>
    <w:rsid w:val="004E6D1E"/>
    <w:pPr>
      <w:keepLines/>
      <w:spacing w:before="480" w:after="0"/>
      <w:outlineLvl w:val="9"/>
    </w:pPr>
    <w:rPr>
      <w:color w:val="365F91"/>
      <w:kern w:val="0"/>
      <w:sz w:val="28"/>
      <w:szCs w:val="28"/>
      <w:lang w:val="en-US" w:eastAsia="ja-JP"/>
    </w:rPr>
  </w:style>
  <w:style w:type="paragraph" w:styleId="TOC1">
    <w:name w:val="toc 1"/>
    <w:basedOn w:val="Normal"/>
    <w:next w:val="Normal"/>
    <w:autoRedefine/>
    <w:uiPriority w:val="39"/>
    <w:unhideWhenUsed/>
    <w:rsid w:val="004E6D1E"/>
  </w:style>
  <w:style w:type="paragraph" w:styleId="TOC2">
    <w:name w:val="toc 2"/>
    <w:basedOn w:val="Normal"/>
    <w:next w:val="Normal"/>
    <w:autoRedefine/>
    <w:uiPriority w:val="39"/>
    <w:unhideWhenUsed/>
    <w:rsid w:val="004E6D1E"/>
    <w:pPr>
      <w:ind w:left="220"/>
    </w:pPr>
  </w:style>
  <w:style w:type="paragraph" w:styleId="TOC3">
    <w:name w:val="toc 3"/>
    <w:basedOn w:val="Normal"/>
    <w:next w:val="Normal"/>
    <w:autoRedefine/>
    <w:uiPriority w:val="39"/>
    <w:unhideWhenUsed/>
    <w:rsid w:val="004E6D1E"/>
    <w:pPr>
      <w:ind w:left="440"/>
    </w:pPr>
  </w:style>
  <w:style w:type="character" w:styleId="Hyperlink">
    <w:name w:val="Hyperlink"/>
    <w:basedOn w:val="DefaultParagraphFont"/>
    <w:uiPriority w:val="99"/>
    <w:unhideWhenUsed/>
    <w:rsid w:val="004E6D1E"/>
    <w:rPr>
      <w:rFonts w:cs="Times New Roman"/>
      <w:color w:val="0000FF"/>
      <w:u w:val="single"/>
    </w:rPr>
  </w:style>
  <w:style w:type="paragraph" w:styleId="Caption">
    <w:name w:val="caption"/>
    <w:basedOn w:val="Normal"/>
    <w:next w:val="Normal"/>
    <w:uiPriority w:val="35"/>
    <w:unhideWhenUsed/>
    <w:qFormat/>
    <w:rsid w:val="007D7D46"/>
    <w:rPr>
      <w:b/>
      <w:bCs/>
      <w:sz w:val="20"/>
      <w:szCs w:val="20"/>
    </w:rPr>
  </w:style>
  <w:style w:type="paragraph" w:styleId="TableofFigures">
    <w:name w:val="table of figures"/>
    <w:basedOn w:val="Normal"/>
    <w:next w:val="Normal"/>
    <w:uiPriority w:val="99"/>
    <w:unhideWhenUsed/>
    <w:rsid w:val="007D7D46"/>
  </w:style>
  <w:style w:type="character" w:styleId="FollowedHyperlink">
    <w:name w:val="FollowedHyperlink"/>
    <w:basedOn w:val="DefaultParagraphFont"/>
    <w:uiPriority w:val="99"/>
    <w:semiHidden/>
    <w:unhideWhenUsed/>
    <w:rsid w:val="00CD3EE4"/>
    <w:rPr>
      <w:rFonts w:cs="Times New Roman"/>
      <w:color w:val="800080" w:themeColor="followedHyperlink"/>
      <w:u w:val="single"/>
    </w:rPr>
  </w:style>
  <w:style w:type="character" w:styleId="CommentReference">
    <w:name w:val="annotation reference"/>
    <w:basedOn w:val="DefaultParagraphFont"/>
    <w:uiPriority w:val="99"/>
    <w:semiHidden/>
    <w:unhideWhenUsed/>
    <w:rsid w:val="003D033F"/>
    <w:rPr>
      <w:sz w:val="16"/>
      <w:szCs w:val="16"/>
    </w:rPr>
  </w:style>
  <w:style w:type="paragraph" w:styleId="CommentText">
    <w:name w:val="annotation text"/>
    <w:basedOn w:val="Normal"/>
    <w:link w:val="CommentTextChar"/>
    <w:uiPriority w:val="99"/>
    <w:semiHidden/>
    <w:unhideWhenUsed/>
    <w:rsid w:val="003D033F"/>
    <w:pPr>
      <w:spacing w:line="240" w:lineRule="auto"/>
    </w:pPr>
    <w:rPr>
      <w:sz w:val="20"/>
      <w:szCs w:val="20"/>
    </w:rPr>
  </w:style>
  <w:style w:type="character" w:customStyle="1" w:styleId="CommentTextChar">
    <w:name w:val="Comment Text Char"/>
    <w:basedOn w:val="DefaultParagraphFont"/>
    <w:link w:val="CommentText"/>
    <w:uiPriority w:val="99"/>
    <w:semiHidden/>
    <w:rsid w:val="003D033F"/>
    <w:rPr>
      <w:sz w:val="20"/>
      <w:szCs w:val="20"/>
    </w:rPr>
  </w:style>
  <w:style w:type="paragraph" w:styleId="CommentSubject">
    <w:name w:val="annotation subject"/>
    <w:basedOn w:val="CommentText"/>
    <w:next w:val="CommentText"/>
    <w:link w:val="CommentSubjectChar"/>
    <w:uiPriority w:val="99"/>
    <w:semiHidden/>
    <w:unhideWhenUsed/>
    <w:rsid w:val="003D033F"/>
    <w:rPr>
      <w:b/>
      <w:bCs/>
    </w:rPr>
  </w:style>
  <w:style w:type="character" w:customStyle="1" w:styleId="CommentSubjectChar">
    <w:name w:val="Comment Subject Char"/>
    <w:basedOn w:val="CommentTextChar"/>
    <w:link w:val="CommentSubject"/>
    <w:uiPriority w:val="99"/>
    <w:semiHidden/>
    <w:rsid w:val="003D033F"/>
    <w:rPr>
      <w:b/>
      <w:bCs/>
      <w:sz w:val="20"/>
      <w:szCs w:val="20"/>
    </w:rPr>
  </w:style>
  <w:style w:type="character" w:styleId="Emphasis">
    <w:name w:val="Emphasis"/>
    <w:uiPriority w:val="20"/>
    <w:qFormat/>
    <w:rsid w:val="00662F6B"/>
    <w:rPr>
      <w:i/>
      <w:iCs/>
    </w:rPr>
  </w:style>
  <w:style w:type="paragraph" w:styleId="ListParagraph">
    <w:name w:val="List Paragraph"/>
    <w:basedOn w:val="Normal"/>
    <w:uiPriority w:val="34"/>
    <w:qFormat/>
    <w:rsid w:val="008A3D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631163">
      <w:bodyDiv w:val="1"/>
      <w:marLeft w:val="0"/>
      <w:marRight w:val="0"/>
      <w:marTop w:val="0"/>
      <w:marBottom w:val="0"/>
      <w:divBdr>
        <w:top w:val="none" w:sz="0" w:space="0" w:color="auto"/>
        <w:left w:val="none" w:sz="0" w:space="0" w:color="auto"/>
        <w:bottom w:val="none" w:sz="0" w:space="0" w:color="auto"/>
        <w:right w:val="none" w:sz="0" w:space="0" w:color="auto"/>
      </w:divBdr>
    </w:div>
    <w:div w:id="581448389">
      <w:bodyDiv w:val="1"/>
      <w:marLeft w:val="0"/>
      <w:marRight w:val="0"/>
      <w:marTop w:val="0"/>
      <w:marBottom w:val="0"/>
      <w:divBdr>
        <w:top w:val="none" w:sz="0" w:space="0" w:color="auto"/>
        <w:left w:val="none" w:sz="0" w:space="0" w:color="auto"/>
        <w:bottom w:val="none" w:sz="0" w:space="0" w:color="auto"/>
        <w:right w:val="none" w:sz="0" w:space="0" w:color="auto"/>
      </w:divBdr>
    </w:div>
    <w:div w:id="974214020">
      <w:bodyDiv w:val="1"/>
      <w:marLeft w:val="0"/>
      <w:marRight w:val="0"/>
      <w:marTop w:val="0"/>
      <w:marBottom w:val="0"/>
      <w:divBdr>
        <w:top w:val="none" w:sz="0" w:space="0" w:color="auto"/>
        <w:left w:val="none" w:sz="0" w:space="0" w:color="auto"/>
        <w:bottom w:val="none" w:sz="0" w:space="0" w:color="auto"/>
        <w:right w:val="none" w:sz="0" w:space="0" w:color="auto"/>
      </w:divBdr>
    </w:div>
    <w:div w:id="1231961221">
      <w:bodyDiv w:val="1"/>
      <w:marLeft w:val="0"/>
      <w:marRight w:val="0"/>
      <w:marTop w:val="0"/>
      <w:marBottom w:val="0"/>
      <w:divBdr>
        <w:top w:val="none" w:sz="0" w:space="0" w:color="auto"/>
        <w:left w:val="none" w:sz="0" w:space="0" w:color="auto"/>
        <w:bottom w:val="none" w:sz="0" w:space="0" w:color="auto"/>
        <w:right w:val="none" w:sz="0" w:space="0" w:color="auto"/>
      </w:divBdr>
    </w:div>
    <w:div w:id="1584214847">
      <w:bodyDiv w:val="1"/>
      <w:marLeft w:val="0"/>
      <w:marRight w:val="0"/>
      <w:marTop w:val="0"/>
      <w:marBottom w:val="0"/>
      <w:divBdr>
        <w:top w:val="none" w:sz="0" w:space="0" w:color="auto"/>
        <w:left w:val="none" w:sz="0" w:space="0" w:color="auto"/>
        <w:bottom w:val="none" w:sz="0" w:space="0" w:color="auto"/>
        <w:right w:val="none" w:sz="0" w:space="0" w:color="auto"/>
      </w:divBdr>
    </w:div>
    <w:div w:id="1772311256">
      <w:bodyDiv w:val="1"/>
      <w:marLeft w:val="0"/>
      <w:marRight w:val="0"/>
      <w:marTop w:val="0"/>
      <w:marBottom w:val="0"/>
      <w:divBdr>
        <w:top w:val="none" w:sz="0" w:space="0" w:color="auto"/>
        <w:left w:val="none" w:sz="0" w:space="0" w:color="auto"/>
        <w:bottom w:val="none" w:sz="0" w:space="0" w:color="auto"/>
        <w:right w:val="none" w:sz="0" w:space="0" w:color="auto"/>
      </w:divBdr>
    </w:div>
    <w:div w:id="197062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ancsfirerescue.org.uk/flipbook/?file=https://vault.ecloud.co.uk/lancsfire/2019/08/2018-2019_Lancashire_Combined_Fire_Authority_Audit_Opinion.pdf" TargetMode="External"/><Relationship Id="rId18" Type="http://schemas.openxmlformats.org/officeDocument/2006/relationships/hyperlink" Target="https://www.lancsfirerescue.org.uk/about-us/performanc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intranet/Corporate/Service_Order_Safety_Health_Environment_00_section_1_Policy_SO.pdf" TargetMode="External"/><Relationship Id="rId7" Type="http://schemas.openxmlformats.org/officeDocument/2006/relationships/endnotes" Target="endnotes.xml"/><Relationship Id="rId12" Type="http://schemas.openxmlformats.org/officeDocument/2006/relationships/hyperlink" Target="https://www.lancsfirerescue.org.uk/flipbook/?file=https://vault.ecloud.co.uk/lancsfire/2019/08/Statement-of-Accounts-1819-inc-audit-opinion.pdf" TargetMode="External"/><Relationship Id="rId17" Type="http://schemas.openxmlformats.org/officeDocument/2006/relationships/hyperlink" Target="https://www.lancsfirerescue.org.uk/flipbook/?file=https://www.lancsfirerescue.org.uk/wp-content/uploads/2018/09/Annual-Service-Report-2017-18.pdf"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lancsfirerescue.org.uk/flipbook/?file=https://www.lancsfirerescue.org.uk/wp-content/uploads/2018/04/Annual-Service-Plan-FINAL.pdf"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lancsfirerescue.org.uk/flipbook/?file=https://www.lancsfirerescue.org.uk/wp-content/uploads/2018/02/Strategic-Assessment-of-Risk-2017-2018.pdf" TargetMode="External"/><Relationship Id="rId23" Type="http://schemas.openxmlformats.org/officeDocument/2006/relationships/image" Target="media/image5.jpeg"/><Relationship Id="rId10" Type="http://schemas.openxmlformats.org/officeDocument/2006/relationships/hyperlink" Target="https://cfa.lancsfirerescue.org.uk/" TargetMode="External"/><Relationship Id="rId19" Type="http://schemas.openxmlformats.org/officeDocument/2006/relationships/hyperlink" Target="https://vault.ecloud.co.uk/lancsfire/2019/09/Lancashire-Combined-Authority-Consultation-Strategy-August-2018.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lancsfirerescue.org.uk/flipbook/?file=https://vault.ecloud.co.uk/lancsfire/2019/08/2018-2019_Annual_Governance_Statement.pdf" TargetMode="External"/><Relationship Id="rId22" Type="http://schemas.openxmlformats.org/officeDocument/2006/relationships/hyperlink" Target="http://intranet/Shared%20Documents/2019_Annual_Safety_Health_Environment_Review_REPT.pdf"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4AA83-6220-4C3F-BF78-F1F9794F3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CDA61EF2</Template>
  <TotalTime>12</TotalTime>
  <Pages>14</Pages>
  <Words>3462</Words>
  <Characters>22344</Characters>
  <Application>Microsoft Office Word</Application>
  <DocSecurity>0</DocSecurity>
  <Lines>186</Lines>
  <Paragraphs>51</Paragraphs>
  <ScaleCrop>false</ScaleCrop>
  <HeadingPairs>
    <vt:vector size="2" baseType="variant">
      <vt:variant>
        <vt:lpstr>Title</vt:lpstr>
      </vt:variant>
      <vt:variant>
        <vt:i4>1</vt:i4>
      </vt:variant>
    </vt:vector>
  </HeadingPairs>
  <TitlesOfParts>
    <vt:vector size="1" baseType="lpstr">
      <vt:lpstr>Annual Statement of Assurance 2018-2019</vt:lpstr>
    </vt:vector>
  </TitlesOfParts>
  <Company/>
  <LinksUpToDate>false</LinksUpToDate>
  <CharactersWithSpaces>25755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Statement of Assurance 2018-2019</dc:title>
  <dc:subject>DOCUMENTS</dc:subject>
  <dc:creator>Justin Johnston</dc:creator>
  <cp:keywords>Governance</cp:keywords>
  <cp:lastModifiedBy>SHQ - Edney, Richard</cp:lastModifiedBy>
  <cp:revision>4</cp:revision>
  <cp:lastPrinted>2020-01-17T17:12:00Z</cp:lastPrinted>
  <dcterms:created xsi:type="dcterms:W3CDTF">2020-01-17T17:02:00Z</dcterms:created>
  <dcterms:modified xsi:type="dcterms:W3CDTF">2020-01-17T17:13:00Z</dcterms:modified>
</cp:coreProperties>
</file>