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753" w:rsidRPr="00155753" w:rsidRDefault="00155753" w:rsidP="00155753">
      <w:pPr>
        <w:jc w:val="center"/>
        <w:rPr>
          <w:rFonts w:ascii="Arial" w:hAnsi="Arial"/>
          <w:lang w:eastAsia="en-US"/>
        </w:rPr>
      </w:pPr>
      <w:r w:rsidRPr="00155753">
        <w:rPr>
          <w:rFonts w:ascii="Arial" w:hAnsi="Arial"/>
          <w:noProof/>
        </w:rPr>
        <w:drawing>
          <wp:inline distT="0" distB="0" distL="0" distR="0" wp14:anchorId="63DDF453" wp14:editId="54F30FDC">
            <wp:extent cx="2647315" cy="1743710"/>
            <wp:effectExtent l="0" t="0" r="635" b="8890"/>
            <wp:docPr id="1" name="Picture 1" descr="LFRS -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RS -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743710"/>
                    </a:xfrm>
                    <a:prstGeom prst="rect">
                      <a:avLst/>
                    </a:prstGeom>
                    <a:noFill/>
                    <a:ln>
                      <a:noFill/>
                    </a:ln>
                  </pic:spPr>
                </pic:pic>
              </a:graphicData>
            </a:graphic>
          </wp:inline>
        </w:drawing>
      </w:r>
    </w:p>
    <w:p w:rsidR="00155753" w:rsidRPr="00155753" w:rsidRDefault="00155753" w:rsidP="00155753">
      <w:pPr>
        <w:jc w:val="center"/>
        <w:rPr>
          <w:rFonts w:ascii="Arial" w:hAnsi="Arial"/>
          <w:lang w:eastAsia="en-US"/>
        </w:rPr>
      </w:pPr>
    </w:p>
    <w:p w:rsidR="00155753" w:rsidRPr="00155753" w:rsidRDefault="00155753" w:rsidP="00155753">
      <w:pPr>
        <w:jc w:val="center"/>
        <w:rPr>
          <w:rFonts w:ascii="Arial" w:hAnsi="Arial"/>
          <w:sz w:val="36"/>
          <w:szCs w:val="36"/>
          <w:lang w:eastAsia="en-US"/>
        </w:rPr>
      </w:pPr>
    </w:p>
    <w:p w:rsidR="00155753" w:rsidRPr="00155753" w:rsidRDefault="00155753" w:rsidP="00155753">
      <w:pPr>
        <w:jc w:val="center"/>
        <w:rPr>
          <w:rFonts w:ascii="Arial" w:hAnsi="Arial"/>
          <w:sz w:val="36"/>
          <w:szCs w:val="36"/>
          <w:lang w:eastAsia="en-US"/>
        </w:rPr>
      </w:pPr>
    </w:p>
    <w:p w:rsidR="00155753" w:rsidRPr="00155753" w:rsidRDefault="00155753" w:rsidP="00155753">
      <w:pPr>
        <w:jc w:val="center"/>
        <w:rPr>
          <w:rFonts w:ascii="Arial" w:hAnsi="Arial"/>
          <w:sz w:val="36"/>
          <w:szCs w:val="36"/>
          <w:lang w:eastAsia="en-US"/>
        </w:rPr>
      </w:pPr>
      <w:r>
        <w:rPr>
          <w:rFonts w:ascii="Arial" w:hAnsi="Arial"/>
          <w:sz w:val="36"/>
          <w:szCs w:val="36"/>
          <w:lang w:eastAsia="en-US"/>
        </w:rPr>
        <w:t xml:space="preserve">RESERVES AND BALANCES </w:t>
      </w:r>
      <w:r w:rsidR="00D07871">
        <w:rPr>
          <w:rFonts w:ascii="Arial" w:hAnsi="Arial"/>
          <w:sz w:val="36"/>
          <w:szCs w:val="36"/>
          <w:lang w:eastAsia="en-US"/>
        </w:rPr>
        <w:t>STRATEGY</w:t>
      </w:r>
    </w:p>
    <w:p w:rsidR="00155753" w:rsidRPr="00155753" w:rsidRDefault="00155753" w:rsidP="00155753">
      <w:pPr>
        <w:jc w:val="center"/>
        <w:rPr>
          <w:rFonts w:ascii="Arial" w:hAnsi="Arial"/>
          <w:sz w:val="36"/>
          <w:szCs w:val="36"/>
          <w:lang w:eastAsia="en-US"/>
        </w:rPr>
      </w:pPr>
    </w:p>
    <w:p w:rsidR="00155753" w:rsidRPr="00155753" w:rsidRDefault="00155753" w:rsidP="00155753">
      <w:pPr>
        <w:jc w:val="center"/>
        <w:rPr>
          <w:rFonts w:ascii="Arial" w:hAnsi="Arial"/>
          <w:sz w:val="36"/>
          <w:szCs w:val="36"/>
          <w:lang w:eastAsia="en-US"/>
        </w:rPr>
      </w:pPr>
      <w:r>
        <w:rPr>
          <w:rFonts w:ascii="Arial" w:hAnsi="Arial"/>
          <w:sz w:val="36"/>
          <w:szCs w:val="36"/>
          <w:lang w:eastAsia="en-US"/>
        </w:rPr>
        <w:t>20</w:t>
      </w:r>
      <w:r w:rsidR="00A83FCE">
        <w:rPr>
          <w:rFonts w:ascii="Arial" w:hAnsi="Arial"/>
          <w:sz w:val="36"/>
          <w:szCs w:val="36"/>
          <w:lang w:eastAsia="en-US"/>
        </w:rPr>
        <w:t>20</w:t>
      </w:r>
      <w:r>
        <w:rPr>
          <w:rFonts w:ascii="Arial" w:hAnsi="Arial"/>
          <w:sz w:val="36"/>
          <w:szCs w:val="36"/>
          <w:lang w:eastAsia="en-US"/>
        </w:rPr>
        <w:t>/2</w:t>
      </w:r>
      <w:r w:rsidR="00A83FCE">
        <w:rPr>
          <w:rFonts w:ascii="Arial" w:hAnsi="Arial"/>
          <w:sz w:val="36"/>
          <w:szCs w:val="36"/>
          <w:lang w:eastAsia="en-US"/>
        </w:rPr>
        <w:t>1</w:t>
      </w:r>
      <w:r>
        <w:rPr>
          <w:rFonts w:ascii="Arial" w:hAnsi="Arial"/>
          <w:sz w:val="36"/>
          <w:szCs w:val="36"/>
          <w:lang w:eastAsia="en-US"/>
        </w:rPr>
        <w:t xml:space="preserve"> – 202</w:t>
      </w:r>
      <w:r w:rsidR="00A83FCE">
        <w:rPr>
          <w:rFonts w:ascii="Arial" w:hAnsi="Arial"/>
          <w:sz w:val="36"/>
          <w:szCs w:val="36"/>
          <w:lang w:eastAsia="en-US"/>
        </w:rPr>
        <w:t>3</w:t>
      </w:r>
      <w:r>
        <w:rPr>
          <w:rFonts w:ascii="Arial" w:hAnsi="Arial"/>
          <w:sz w:val="36"/>
          <w:szCs w:val="36"/>
          <w:lang w:eastAsia="en-US"/>
        </w:rPr>
        <w:t>/2</w:t>
      </w:r>
      <w:r w:rsidR="00A83FCE">
        <w:rPr>
          <w:rFonts w:ascii="Arial" w:hAnsi="Arial"/>
          <w:sz w:val="36"/>
          <w:szCs w:val="36"/>
          <w:lang w:eastAsia="en-US"/>
        </w:rPr>
        <w:t>4</w:t>
      </w:r>
    </w:p>
    <w:p w:rsidR="00155753" w:rsidRDefault="00155753">
      <w:pPr>
        <w:rPr>
          <w:rFonts w:ascii="Arial" w:hAnsi="Arial" w:cs="Arial"/>
          <w:b/>
          <w:szCs w:val="24"/>
        </w:rPr>
      </w:pPr>
      <w:r>
        <w:rPr>
          <w:rFonts w:ascii="Arial" w:hAnsi="Arial" w:cs="Arial"/>
          <w:b/>
          <w:szCs w:val="24"/>
        </w:rPr>
        <w:br w:type="page"/>
      </w:r>
    </w:p>
    <w:p w:rsidR="00A83FCE" w:rsidRPr="001C3D91" w:rsidRDefault="00A83FCE" w:rsidP="00A83FCE">
      <w:pPr>
        <w:jc w:val="both"/>
        <w:rPr>
          <w:rFonts w:ascii="Arial" w:hAnsi="Arial" w:cs="Arial"/>
          <w:b/>
          <w:szCs w:val="24"/>
        </w:rPr>
      </w:pPr>
      <w:r w:rsidRPr="001C3D91">
        <w:rPr>
          <w:rFonts w:ascii="Arial" w:hAnsi="Arial" w:cs="Arial"/>
          <w:b/>
          <w:szCs w:val="24"/>
        </w:rPr>
        <w:lastRenderedPageBreak/>
        <w:t>Reserves and Balances Policy</w:t>
      </w:r>
    </w:p>
    <w:p w:rsidR="00A83FCE" w:rsidRPr="001C3D91" w:rsidRDefault="00A83FCE" w:rsidP="00A83FCE">
      <w:pPr>
        <w:jc w:val="both"/>
        <w:rPr>
          <w:rFonts w:ascii="Arial" w:hAnsi="Arial" w:cs="Arial"/>
          <w:szCs w:val="24"/>
        </w:rPr>
      </w:pPr>
    </w:p>
    <w:p w:rsidR="00A83FCE" w:rsidRPr="009C64C2" w:rsidRDefault="00A83FCE" w:rsidP="00A83FCE">
      <w:pPr>
        <w:pStyle w:val="BodyText3"/>
        <w:jc w:val="both"/>
        <w:rPr>
          <w:color w:val="auto"/>
        </w:rPr>
      </w:pPr>
      <w:r w:rsidRPr="009C64C2">
        <w:rPr>
          <w:rFonts w:ascii="Arial" w:hAnsi="Arial" w:cs="Arial"/>
          <w:color w:val="auto"/>
          <w:sz w:val="24"/>
          <w:szCs w:val="24"/>
        </w:rPr>
        <w:t>The National Framework inc</w:t>
      </w:r>
      <w:r>
        <w:rPr>
          <w:rFonts w:ascii="Arial" w:hAnsi="Arial" w:cs="Arial"/>
          <w:color w:val="auto"/>
          <w:sz w:val="24"/>
          <w:szCs w:val="24"/>
        </w:rPr>
        <w:t>lu</w:t>
      </w:r>
      <w:r w:rsidRPr="009C64C2">
        <w:rPr>
          <w:rFonts w:ascii="Arial" w:hAnsi="Arial" w:cs="Arial"/>
          <w:color w:val="auto"/>
          <w:sz w:val="24"/>
          <w:szCs w:val="24"/>
        </w:rPr>
        <w:t>des a section o</w:t>
      </w:r>
      <w:r>
        <w:rPr>
          <w:rFonts w:ascii="Arial" w:hAnsi="Arial" w:cs="Arial"/>
          <w:color w:val="auto"/>
          <w:sz w:val="24"/>
          <w:szCs w:val="24"/>
        </w:rPr>
        <w:t>n</w:t>
      </w:r>
      <w:r w:rsidRPr="009C64C2">
        <w:rPr>
          <w:rFonts w:ascii="Arial" w:hAnsi="Arial" w:cs="Arial"/>
          <w:color w:val="auto"/>
          <w:sz w:val="24"/>
          <w:szCs w:val="24"/>
        </w:rPr>
        <w:t xml:space="preserve"> reserves. The main component</w:t>
      </w:r>
      <w:r>
        <w:rPr>
          <w:rFonts w:ascii="Arial" w:hAnsi="Arial" w:cs="Arial"/>
          <w:color w:val="auto"/>
          <w:sz w:val="24"/>
          <w:szCs w:val="24"/>
        </w:rPr>
        <w:t>s</w:t>
      </w:r>
      <w:r w:rsidRPr="009C64C2">
        <w:rPr>
          <w:rFonts w:ascii="Arial" w:hAnsi="Arial" w:cs="Arial"/>
          <w:color w:val="auto"/>
          <w:sz w:val="24"/>
          <w:szCs w:val="24"/>
        </w:rPr>
        <w:t xml:space="preserve"> of which </w:t>
      </w:r>
      <w:proofErr w:type="gramStart"/>
      <w:r w:rsidRPr="009C64C2">
        <w:rPr>
          <w:rFonts w:ascii="Arial" w:hAnsi="Arial" w:cs="Arial"/>
          <w:color w:val="auto"/>
          <w:sz w:val="24"/>
          <w:szCs w:val="24"/>
        </w:rPr>
        <w:t>are:-</w:t>
      </w:r>
      <w:proofErr w:type="gramEnd"/>
    </w:p>
    <w:p w:rsidR="00A83FCE" w:rsidRPr="009C64C2" w:rsidRDefault="00A83FCE" w:rsidP="00A83FCE">
      <w:pPr>
        <w:pStyle w:val="BodyText3"/>
        <w:jc w:val="both"/>
        <w:rPr>
          <w:color w:val="auto"/>
          <w:sz w:val="24"/>
          <w:szCs w:val="24"/>
        </w:rPr>
      </w:pPr>
    </w:p>
    <w:p w:rsidR="00A83FCE" w:rsidRPr="009C64C2" w:rsidRDefault="00A83FCE" w:rsidP="00A83FCE">
      <w:pPr>
        <w:pStyle w:val="BodyText3"/>
        <w:numPr>
          <w:ilvl w:val="0"/>
          <w:numId w:val="46"/>
        </w:numPr>
        <w:jc w:val="both"/>
        <w:rPr>
          <w:color w:val="auto"/>
          <w:sz w:val="24"/>
          <w:szCs w:val="24"/>
        </w:rPr>
      </w:pPr>
      <w:r w:rsidRPr="009C64C2">
        <w:rPr>
          <w:rFonts w:ascii="Arial" w:hAnsi="Arial" w:cs="Arial"/>
          <w:color w:val="auto"/>
          <w:sz w:val="24"/>
          <w:szCs w:val="24"/>
        </w:rPr>
        <w:t xml:space="preserve">General reserves should be held by the fire and rescue authority and managed to balance funding and spending priorities and to manage risks. This should be established as part of the medium-term financial planning process. </w:t>
      </w:r>
    </w:p>
    <w:p w:rsidR="00A83FCE" w:rsidRPr="009C64C2" w:rsidRDefault="00A83FCE" w:rsidP="00A83FCE">
      <w:pPr>
        <w:pStyle w:val="BodyText3"/>
        <w:numPr>
          <w:ilvl w:val="0"/>
          <w:numId w:val="46"/>
        </w:numPr>
        <w:jc w:val="both"/>
        <w:rPr>
          <w:color w:val="auto"/>
          <w:sz w:val="24"/>
          <w:szCs w:val="24"/>
        </w:rPr>
      </w:pPr>
      <w:r w:rsidRPr="009C64C2">
        <w:rPr>
          <w:rFonts w:ascii="Arial" w:hAnsi="Arial" w:cs="Arial"/>
          <w:color w:val="auto"/>
          <w:sz w:val="24"/>
          <w:szCs w:val="24"/>
        </w:rPr>
        <w:t xml:space="preserve">Each fire and rescue authority should publish their reserves strategy on their website. The reserves strategy should include details of current and future planned reserve levels, setting out a total amount of reserves and the amount of each specific reserve that is held for each year. The reserves strategy should provide information for at least two years ahead. </w:t>
      </w:r>
    </w:p>
    <w:p w:rsidR="00A83FCE" w:rsidRPr="009C64C2" w:rsidRDefault="00A83FCE" w:rsidP="00A83FCE">
      <w:pPr>
        <w:pStyle w:val="BodyText3"/>
        <w:numPr>
          <w:ilvl w:val="0"/>
          <w:numId w:val="46"/>
        </w:numPr>
        <w:jc w:val="both"/>
        <w:rPr>
          <w:color w:val="auto"/>
          <w:sz w:val="24"/>
          <w:szCs w:val="24"/>
        </w:rPr>
      </w:pPr>
      <w:r w:rsidRPr="009C64C2">
        <w:rPr>
          <w:rFonts w:ascii="Arial" w:hAnsi="Arial" w:cs="Arial"/>
          <w:color w:val="auto"/>
          <w:sz w:val="24"/>
          <w:szCs w:val="24"/>
        </w:rPr>
        <w:t xml:space="preserve">Sufficient information should be provided to enable understanding of the purpose for which each reserve is held and how holding each reserve supports the fire and rescue authority’s </w:t>
      </w:r>
      <w:proofErr w:type="gramStart"/>
      <w:r w:rsidRPr="009C64C2">
        <w:rPr>
          <w:rFonts w:ascii="Arial" w:hAnsi="Arial" w:cs="Arial"/>
          <w:color w:val="auto"/>
          <w:sz w:val="24"/>
          <w:szCs w:val="24"/>
        </w:rPr>
        <w:t>medium term</w:t>
      </w:r>
      <w:proofErr w:type="gramEnd"/>
      <w:r w:rsidRPr="009C64C2">
        <w:rPr>
          <w:rFonts w:ascii="Arial" w:hAnsi="Arial" w:cs="Arial"/>
          <w:color w:val="auto"/>
          <w:sz w:val="24"/>
          <w:szCs w:val="24"/>
        </w:rPr>
        <w:t xml:space="preserve"> financial plan.</w:t>
      </w:r>
    </w:p>
    <w:p w:rsidR="00A83FCE" w:rsidRPr="009C64C2" w:rsidRDefault="00A83FCE" w:rsidP="00A83FCE">
      <w:pPr>
        <w:pStyle w:val="BodyText3"/>
        <w:numPr>
          <w:ilvl w:val="0"/>
          <w:numId w:val="46"/>
        </w:numPr>
        <w:jc w:val="both"/>
        <w:rPr>
          <w:color w:val="auto"/>
          <w:sz w:val="24"/>
          <w:szCs w:val="24"/>
        </w:rPr>
      </w:pPr>
      <w:r w:rsidRPr="009C64C2">
        <w:rPr>
          <w:rFonts w:ascii="Arial" w:hAnsi="Arial" w:cs="Arial"/>
          <w:color w:val="auto"/>
          <w:sz w:val="24"/>
          <w:szCs w:val="24"/>
        </w:rPr>
        <w:t xml:space="preserve">Information should be set out in a way that is clear and understandable for members of the public, and should include: </w:t>
      </w:r>
    </w:p>
    <w:p w:rsidR="00A83FCE" w:rsidRPr="009C64C2" w:rsidRDefault="00A83FCE" w:rsidP="00A83FCE">
      <w:pPr>
        <w:pStyle w:val="BodyText3"/>
        <w:numPr>
          <w:ilvl w:val="0"/>
          <w:numId w:val="47"/>
        </w:numPr>
        <w:jc w:val="both"/>
        <w:rPr>
          <w:color w:val="auto"/>
          <w:sz w:val="24"/>
          <w:szCs w:val="24"/>
        </w:rPr>
      </w:pPr>
      <w:r w:rsidRPr="009C64C2">
        <w:rPr>
          <w:rFonts w:ascii="Arial" w:hAnsi="Arial" w:cs="Arial"/>
          <w:color w:val="auto"/>
          <w:sz w:val="24"/>
          <w:szCs w:val="24"/>
        </w:rPr>
        <w:t xml:space="preserve">how the level of the general reserve has been set; </w:t>
      </w:r>
    </w:p>
    <w:p w:rsidR="00A83FCE" w:rsidRPr="009C64C2" w:rsidRDefault="00A83FCE" w:rsidP="00A83FCE">
      <w:pPr>
        <w:pStyle w:val="BodyText3"/>
        <w:numPr>
          <w:ilvl w:val="0"/>
          <w:numId w:val="47"/>
        </w:numPr>
        <w:jc w:val="both"/>
        <w:rPr>
          <w:color w:val="auto"/>
          <w:sz w:val="24"/>
          <w:szCs w:val="24"/>
        </w:rPr>
      </w:pPr>
      <w:r w:rsidRPr="009C64C2">
        <w:rPr>
          <w:rFonts w:ascii="Arial" w:hAnsi="Arial" w:cs="Arial"/>
          <w:color w:val="auto"/>
          <w:sz w:val="24"/>
          <w:szCs w:val="24"/>
        </w:rPr>
        <w:t xml:space="preserve">justification for holding a general reserve larger than five percent of budget; </w:t>
      </w:r>
    </w:p>
    <w:p w:rsidR="00A83FCE" w:rsidRPr="009C64C2" w:rsidRDefault="00A83FCE" w:rsidP="00A83FCE">
      <w:pPr>
        <w:pStyle w:val="BodyText3"/>
        <w:numPr>
          <w:ilvl w:val="0"/>
          <w:numId w:val="47"/>
        </w:numPr>
        <w:jc w:val="both"/>
        <w:rPr>
          <w:color w:val="auto"/>
          <w:sz w:val="24"/>
          <w:szCs w:val="24"/>
        </w:rPr>
      </w:pPr>
      <w:r w:rsidRPr="009C64C2">
        <w:rPr>
          <w:rFonts w:ascii="Arial" w:hAnsi="Arial" w:cs="Arial"/>
          <w:color w:val="auto"/>
          <w:sz w:val="24"/>
          <w:szCs w:val="24"/>
        </w:rPr>
        <w:t xml:space="preserve">whether the funds in each earmarked reserve are legally or contractually committed, and if so what amount is so committed; and </w:t>
      </w:r>
    </w:p>
    <w:p w:rsidR="00A83FCE" w:rsidRPr="009C64C2" w:rsidRDefault="00A83FCE" w:rsidP="00A83FCE">
      <w:pPr>
        <w:pStyle w:val="BodyText3"/>
        <w:numPr>
          <w:ilvl w:val="0"/>
          <w:numId w:val="47"/>
        </w:numPr>
        <w:jc w:val="both"/>
        <w:rPr>
          <w:color w:val="auto"/>
          <w:sz w:val="24"/>
          <w:szCs w:val="24"/>
        </w:rPr>
      </w:pPr>
      <w:r w:rsidRPr="009C64C2">
        <w:rPr>
          <w:rFonts w:ascii="Arial" w:hAnsi="Arial" w:cs="Arial"/>
          <w:color w:val="auto"/>
          <w:sz w:val="24"/>
          <w:szCs w:val="24"/>
        </w:rPr>
        <w:t xml:space="preserve">a summary of what activities or items will be funded by each earmarked reserve, and how </w:t>
      </w:r>
      <w:proofErr w:type="gramStart"/>
      <w:r w:rsidRPr="009C64C2">
        <w:rPr>
          <w:rFonts w:ascii="Arial" w:hAnsi="Arial" w:cs="Arial"/>
          <w:color w:val="auto"/>
          <w:sz w:val="24"/>
          <w:szCs w:val="24"/>
        </w:rPr>
        <w:t>these support</w:t>
      </w:r>
      <w:proofErr w:type="gramEnd"/>
      <w:r w:rsidRPr="009C64C2">
        <w:rPr>
          <w:rFonts w:ascii="Arial" w:hAnsi="Arial" w:cs="Arial"/>
          <w:color w:val="auto"/>
          <w:sz w:val="24"/>
          <w:szCs w:val="24"/>
        </w:rPr>
        <w:t xml:space="preserve"> the fire and rescue authority’s strategy to deliver good quality services to the public. </w:t>
      </w:r>
    </w:p>
    <w:p w:rsidR="00A83FCE" w:rsidRPr="009C64C2" w:rsidRDefault="00A83FCE" w:rsidP="00A83FCE">
      <w:pPr>
        <w:pStyle w:val="BodyText3"/>
        <w:jc w:val="both"/>
        <w:rPr>
          <w:rFonts w:ascii="Arial" w:hAnsi="Arial" w:cs="Arial"/>
          <w:szCs w:val="24"/>
        </w:rPr>
      </w:pPr>
    </w:p>
    <w:p w:rsidR="00A83FCE" w:rsidRDefault="00A83FCE" w:rsidP="00A83FCE">
      <w:pPr>
        <w:pStyle w:val="BodyText3"/>
        <w:jc w:val="both"/>
        <w:rPr>
          <w:rFonts w:ascii="Arial" w:hAnsi="Arial" w:cs="Arial"/>
          <w:szCs w:val="24"/>
        </w:rPr>
      </w:pPr>
      <w:r>
        <w:rPr>
          <w:rFonts w:ascii="Arial" w:hAnsi="Arial" w:cs="Arial"/>
          <w:color w:val="auto"/>
          <w:sz w:val="24"/>
          <w:szCs w:val="24"/>
        </w:rPr>
        <w:t>The reserves policy complies with these requirements.</w:t>
      </w:r>
    </w:p>
    <w:p w:rsidR="00A83FCE" w:rsidRPr="009C64C2" w:rsidRDefault="00A83FCE" w:rsidP="00A83FCE">
      <w:pPr>
        <w:pStyle w:val="BodyText3"/>
        <w:jc w:val="both"/>
        <w:rPr>
          <w:rFonts w:ascii="Arial" w:hAnsi="Arial" w:cs="Arial"/>
          <w:szCs w:val="24"/>
        </w:rPr>
      </w:pPr>
    </w:p>
    <w:p w:rsidR="00A83FCE" w:rsidRPr="001C3D91" w:rsidRDefault="00A83FCE" w:rsidP="00A83FCE">
      <w:pPr>
        <w:jc w:val="both"/>
        <w:rPr>
          <w:rFonts w:ascii="Arial" w:hAnsi="Arial" w:cs="Arial"/>
          <w:b/>
          <w:szCs w:val="24"/>
        </w:rPr>
      </w:pPr>
      <w:r w:rsidRPr="001C3D91">
        <w:rPr>
          <w:rFonts w:ascii="Arial" w:hAnsi="Arial" w:cs="Arial"/>
          <w:b/>
          <w:szCs w:val="24"/>
        </w:rPr>
        <w:t>General Reserves</w:t>
      </w:r>
    </w:p>
    <w:p w:rsidR="00A83FCE" w:rsidRPr="001C3D91" w:rsidRDefault="00A83FCE" w:rsidP="00A83FCE">
      <w:pPr>
        <w:jc w:val="both"/>
        <w:rPr>
          <w:rFonts w:ascii="Arial" w:hAnsi="Arial" w:cs="Arial"/>
          <w:szCs w:val="24"/>
        </w:rPr>
      </w:pPr>
    </w:p>
    <w:p w:rsidR="00A83FCE" w:rsidRPr="001C3D91" w:rsidRDefault="00A83FCE" w:rsidP="00A83FCE">
      <w:pPr>
        <w:pStyle w:val="BodyText3"/>
        <w:jc w:val="both"/>
        <w:rPr>
          <w:rFonts w:ascii="Arial" w:hAnsi="Arial" w:cs="Arial"/>
          <w:color w:val="auto"/>
          <w:sz w:val="24"/>
          <w:szCs w:val="24"/>
        </w:rPr>
      </w:pPr>
      <w:r w:rsidRPr="001C3D91">
        <w:rPr>
          <w:rFonts w:ascii="Arial" w:hAnsi="Arial" w:cs="Arial"/>
          <w:color w:val="auto"/>
          <w:sz w:val="24"/>
          <w:szCs w:val="24"/>
        </w:rPr>
        <w:t>These are non-specific reserves which are kept to meet short/medium term unforeseeable expenditure and to enable significant changes in resources or expenditure to be properly managed in the medium term.</w:t>
      </w:r>
    </w:p>
    <w:p w:rsidR="00A83FCE" w:rsidRPr="001C3D91" w:rsidRDefault="00A83FCE" w:rsidP="00A83FCE">
      <w:pPr>
        <w:pStyle w:val="BodyText3"/>
        <w:jc w:val="both"/>
        <w:rPr>
          <w:rFonts w:ascii="Arial" w:hAnsi="Arial" w:cs="Arial"/>
          <w:color w:val="auto"/>
          <w:sz w:val="24"/>
          <w:szCs w:val="24"/>
        </w:rPr>
      </w:pPr>
    </w:p>
    <w:p w:rsidR="00A83FCE" w:rsidRPr="001C3D91" w:rsidRDefault="00A83FCE" w:rsidP="00A83FCE">
      <w:pPr>
        <w:pStyle w:val="BodyText3"/>
        <w:jc w:val="both"/>
        <w:rPr>
          <w:rFonts w:ascii="Arial" w:hAnsi="Arial" w:cs="Arial"/>
          <w:color w:val="auto"/>
          <w:sz w:val="24"/>
          <w:szCs w:val="24"/>
        </w:rPr>
      </w:pPr>
      <w:r w:rsidRPr="001C3D91">
        <w:rPr>
          <w:rFonts w:ascii="Arial" w:hAnsi="Arial" w:cs="Arial"/>
          <w:color w:val="auto"/>
          <w:sz w:val="24"/>
          <w:szCs w:val="24"/>
        </w:rPr>
        <w:t xml:space="preserve">The Authority needs to hold an adequate level of general reserves in order to </w:t>
      </w:r>
      <w:proofErr w:type="gramStart"/>
      <w:r w:rsidRPr="001C3D91">
        <w:rPr>
          <w:rFonts w:ascii="Arial" w:hAnsi="Arial" w:cs="Arial"/>
          <w:color w:val="auto"/>
          <w:sz w:val="24"/>
          <w:szCs w:val="24"/>
        </w:rPr>
        <w:t>provide:-</w:t>
      </w:r>
      <w:proofErr w:type="gramEnd"/>
    </w:p>
    <w:p w:rsidR="00A83FCE" w:rsidRPr="001C3D91" w:rsidRDefault="00A83FCE" w:rsidP="00A83FCE">
      <w:pPr>
        <w:pStyle w:val="BodyText3"/>
        <w:jc w:val="both"/>
        <w:rPr>
          <w:rFonts w:ascii="Arial" w:hAnsi="Arial" w:cs="Arial"/>
          <w:color w:val="auto"/>
          <w:sz w:val="24"/>
          <w:szCs w:val="24"/>
        </w:rPr>
      </w:pPr>
    </w:p>
    <w:p w:rsidR="00A83FCE" w:rsidRPr="001C3D91" w:rsidRDefault="00A83FCE" w:rsidP="00A83FCE">
      <w:pPr>
        <w:pStyle w:val="BodyText3"/>
        <w:numPr>
          <w:ilvl w:val="0"/>
          <w:numId w:val="41"/>
        </w:numPr>
        <w:jc w:val="both"/>
        <w:rPr>
          <w:rFonts w:ascii="Arial" w:hAnsi="Arial" w:cs="Arial"/>
          <w:color w:val="auto"/>
          <w:sz w:val="24"/>
          <w:szCs w:val="24"/>
        </w:rPr>
      </w:pPr>
      <w:r w:rsidRPr="001C3D91">
        <w:rPr>
          <w:rFonts w:ascii="Arial" w:hAnsi="Arial" w:cs="Arial"/>
          <w:color w:val="auto"/>
          <w:sz w:val="24"/>
          <w:szCs w:val="24"/>
        </w:rPr>
        <w:t>A working balance to help cushion the impact of uneven cash flows and avoid unnecessary temporary borrowing;</w:t>
      </w:r>
    </w:p>
    <w:p w:rsidR="00A83FCE" w:rsidRPr="001C3D91" w:rsidRDefault="00A83FCE" w:rsidP="00A83FCE">
      <w:pPr>
        <w:pStyle w:val="BodyText3"/>
        <w:numPr>
          <w:ilvl w:val="0"/>
          <w:numId w:val="41"/>
        </w:numPr>
        <w:jc w:val="both"/>
        <w:rPr>
          <w:rFonts w:ascii="Arial" w:hAnsi="Arial" w:cs="Arial"/>
          <w:color w:val="auto"/>
          <w:sz w:val="24"/>
          <w:szCs w:val="24"/>
        </w:rPr>
      </w:pPr>
      <w:r w:rsidRPr="001C3D91">
        <w:rPr>
          <w:rFonts w:ascii="Arial" w:hAnsi="Arial" w:cs="Arial"/>
          <w:color w:val="auto"/>
          <w:sz w:val="24"/>
          <w:szCs w:val="24"/>
        </w:rPr>
        <w:t>A contingency to cushion the impact of unexpected events;</w:t>
      </w:r>
    </w:p>
    <w:p w:rsidR="00A83FCE" w:rsidRPr="001C3D91" w:rsidRDefault="00A83FCE" w:rsidP="00A83FCE">
      <w:pPr>
        <w:pStyle w:val="BodyText3"/>
        <w:numPr>
          <w:ilvl w:val="0"/>
          <w:numId w:val="41"/>
        </w:numPr>
        <w:jc w:val="both"/>
        <w:rPr>
          <w:rFonts w:ascii="Arial" w:hAnsi="Arial" w:cs="Arial"/>
          <w:color w:val="auto"/>
          <w:sz w:val="24"/>
          <w:szCs w:val="24"/>
        </w:rPr>
      </w:pPr>
      <w:r w:rsidRPr="001C3D91">
        <w:rPr>
          <w:rFonts w:ascii="Arial" w:hAnsi="Arial" w:cs="Arial"/>
          <w:color w:val="auto"/>
          <w:sz w:val="24"/>
          <w:szCs w:val="24"/>
        </w:rPr>
        <w:t>A means of smoothing out large fluctuations in spending requirements and/or funding available</w:t>
      </w:r>
      <w:r>
        <w:rPr>
          <w:rFonts w:ascii="Arial" w:hAnsi="Arial" w:cs="Arial"/>
          <w:color w:val="auto"/>
          <w:sz w:val="24"/>
          <w:szCs w:val="24"/>
        </w:rPr>
        <w:t>.</w:t>
      </w:r>
      <w:r w:rsidRPr="001C3D91">
        <w:rPr>
          <w:rFonts w:ascii="Arial" w:hAnsi="Arial" w:cs="Arial"/>
          <w:color w:val="auto"/>
          <w:sz w:val="24"/>
          <w:szCs w:val="24"/>
        </w:rPr>
        <w:t xml:space="preserve"> </w:t>
      </w:r>
    </w:p>
    <w:p w:rsidR="00A83FCE" w:rsidRPr="001C3D91" w:rsidRDefault="00A83FCE" w:rsidP="00A83FCE">
      <w:pPr>
        <w:pStyle w:val="BodyText3"/>
        <w:jc w:val="both"/>
        <w:rPr>
          <w:rFonts w:ascii="Arial" w:hAnsi="Arial" w:cs="Arial"/>
          <w:color w:val="auto"/>
          <w:sz w:val="24"/>
          <w:szCs w:val="24"/>
        </w:rPr>
      </w:pPr>
    </w:p>
    <w:p w:rsidR="00A83FCE" w:rsidRPr="001C3D91" w:rsidRDefault="00A83FCE" w:rsidP="00A83FCE">
      <w:pPr>
        <w:jc w:val="both"/>
        <w:rPr>
          <w:rFonts w:ascii="Arial" w:hAnsi="Arial" w:cs="Arial"/>
          <w:szCs w:val="24"/>
        </w:rPr>
      </w:pPr>
      <w:r w:rsidRPr="001C3D91">
        <w:rPr>
          <w:rFonts w:ascii="Arial" w:hAnsi="Arial" w:cs="Arial"/>
          <w:szCs w:val="24"/>
        </w:rPr>
        <w:t>The following table sets out the purpose of this reserve, how it is utilised, controlled and reviewed.</w:t>
      </w:r>
    </w:p>
    <w:p w:rsidR="00A83FCE" w:rsidRDefault="00A83FCE">
      <w:pPr>
        <w:rPr>
          <w:rFonts w:ascii="Arial" w:hAnsi="Arial" w:cs="Arial"/>
          <w:color w:val="FF0000"/>
          <w:szCs w:val="24"/>
        </w:rPr>
      </w:pPr>
      <w:r>
        <w:rPr>
          <w:rFonts w:ascii="Arial" w:hAnsi="Arial" w:cs="Arial"/>
          <w:szCs w:val="24"/>
        </w:rPr>
        <w:br w:type="page"/>
      </w:r>
    </w:p>
    <w:p w:rsidR="00A83FCE" w:rsidRPr="009C64C2" w:rsidRDefault="00A83FCE" w:rsidP="00A83FCE">
      <w:pPr>
        <w:pStyle w:val="BodyText3"/>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12"/>
      </w:tblGrid>
      <w:tr w:rsidR="00A83FCE" w:rsidRPr="001C3D91" w:rsidTr="002450EE">
        <w:tc>
          <w:tcPr>
            <w:tcW w:w="1560" w:type="dxa"/>
          </w:tcPr>
          <w:p w:rsidR="00A83FCE" w:rsidRPr="001C3D91" w:rsidRDefault="00A83FCE" w:rsidP="002450EE">
            <w:pPr>
              <w:pStyle w:val="BodyText"/>
              <w:spacing w:before="120" w:after="120"/>
              <w:jc w:val="center"/>
              <w:rPr>
                <w:rFonts w:ascii="Arial" w:hAnsi="Arial" w:cs="Arial"/>
                <w:szCs w:val="24"/>
                <w:u w:val="none"/>
              </w:rPr>
            </w:pPr>
            <w:r w:rsidRPr="001C3D91">
              <w:rPr>
                <w:rFonts w:ascii="Arial" w:hAnsi="Arial" w:cs="Arial"/>
                <w:szCs w:val="24"/>
                <w:u w:val="none"/>
              </w:rPr>
              <w:t>Name</w:t>
            </w:r>
          </w:p>
        </w:tc>
        <w:tc>
          <w:tcPr>
            <w:tcW w:w="7512" w:type="dxa"/>
          </w:tcPr>
          <w:p w:rsidR="00A83FCE" w:rsidRPr="001C3D91" w:rsidRDefault="00A83FCE" w:rsidP="002450EE">
            <w:pPr>
              <w:pStyle w:val="BodyText"/>
              <w:spacing w:before="120" w:after="120"/>
              <w:jc w:val="center"/>
              <w:rPr>
                <w:rFonts w:ascii="Arial" w:hAnsi="Arial" w:cs="Arial"/>
                <w:szCs w:val="24"/>
                <w:u w:val="none"/>
              </w:rPr>
            </w:pPr>
            <w:r w:rsidRPr="001C3D91">
              <w:rPr>
                <w:rFonts w:ascii="Arial" w:hAnsi="Arial" w:cs="Arial"/>
                <w:szCs w:val="24"/>
                <w:u w:val="none"/>
              </w:rPr>
              <w:t>General Fund</w:t>
            </w:r>
          </w:p>
        </w:tc>
      </w:tr>
      <w:tr w:rsidR="00A83FCE" w:rsidRPr="001C3D91" w:rsidTr="002450EE">
        <w:tc>
          <w:tcPr>
            <w:tcW w:w="1560" w:type="dxa"/>
          </w:tcPr>
          <w:p w:rsidR="00A83FCE" w:rsidRPr="001C3D91" w:rsidRDefault="00A83FCE" w:rsidP="002450EE">
            <w:pPr>
              <w:pStyle w:val="BodyText"/>
              <w:rPr>
                <w:rFonts w:ascii="Arial" w:hAnsi="Arial" w:cs="Arial"/>
                <w:b w:val="0"/>
                <w:szCs w:val="24"/>
                <w:u w:val="none"/>
              </w:rPr>
            </w:pPr>
            <w:r w:rsidRPr="001C3D91">
              <w:rPr>
                <w:rFonts w:ascii="Arial" w:hAnsi="Arial" w:cs="Arial"/>
                <w:b w:val="0"/>
                <w:szCs w:val="24"/>
                <w:u w:val="none"/>
              </w:rPr>
              <w:t>Purpose</w:t>
            </w:r>
          </w:p>
        </w:tc>
        <w:tc>
          <w:tcPr>
            <w:tcW w:w="7512" w:type="dxa"/>
          </w:tcPr>
          <w:p w:rsidR="00A83FCE" w:rsidRPr="001C3D91" w:rsidRDefault="00A83FCE" w:rsidP="002450EE">
            <w:pPr>
              <w:pStyle w:val="BodyText"/>
              <w:rPr>
                <w:rFonts w:ascii="Arial" w:hAnsi="Arial" w:cs="Arial"/>
                <w:b w:val="0"/>
                <w:szCs w:val="24"/>
                <w:u w:val="none"/>
              </w:rPr>
            </w:pPr>
            <w:r w:rsidRPr="001C3D91">
              <w:rPr>
                <w:rFonts w:ascii="Arial" w:hAnsi="Arial" w:cs="Arial"/>
                <w:b w:val="0"/>
                <w:szCs w:val="24"/>
                <w:u w:val="none"/>
              </w:rPr>
              <w:t>This covers uncertainties in future years budgets, such as:</w:t>
            </w:r>
          </w:p>
          <w:p w:rsidR="00A83FCE" w:rsidRPr="001C3D91" w:rsidRDefault="00A83FCE" w:rsidP="002450EE">
            <w:pPr>
              <w:pStyle w:val="BodyText"/>
              <w:numPr>
                <w:ilvl w:val="0"/>
                <w:numId w:val="38"/>
              </w:numPr>
              <w:jc w:val="both"/>
              <w:rPr>
                <w:rFonts w:ascii="Arial" w:hAnsi="Arial" w:cs="Arial"/>
                <w:b w:val="0"/>
                <w:szCs w:val="24"/>
                <w:u w:val="none"/>
              </w:rPr>
            </w:pPr>
            <w:r w:rsidRPr="001C3D91">
              <w:rPr>
                <w:rFonts w:ascii="Arial" w:hAnsi="Arial" w:cs="Arial"/>
                <w:b w:val="0"/>
                <w:szCs w:val="24"/>
                <w:u w:val="none"/>
              </w:rPr>
              <w:t>future grant settlements being lower than forecast</w:t>
            </w:r>
            <w:r>
              <w:rPr>
                <w:rFonts w:ascii="Arial" w:hAnsi="Arial" w:cs="Arial"/>
                <w:b w:val="0"/>
                <w:szCs w:val="24"/>
                <w:u w:val="none"/>
              </w:rPr>
              <w:t>;</w:t>
            </w:r>
          </w:p>
          <w:p w:rsidR="00A83FCE" w:rsidRPr="001C3D91" w:rsidRDefault="00A83FCE" w:rsidP="002450EE">
            <w:pPr>
              <w:pStyle w:val="BodyText"/>
              <w:numPr>
                <w:ilvl w:val="0"/>
                <w:numId w:val="38"/>
              </w:numPr>
              <w:jc w:val="both"/>
              <w:rPr>
                <w:rFonts w:ascii="Arial" w:hAnsi="Arial" w:cs="Arial"/>
                <w:b w:val="0"/>
                <w:szCs w:val="24"/>
                <w:u w:val="none"/>
              </w:rPr>
            </w:pPr>
            <w:r w:rsidRPr="001C3D91">
              <w:rPr>
                <w:rFonts w:ascii="Arial" w:hAnsi="Arial" w:cs="Arial"/>
                <w:b w:val="0"/>
                <w:szCs w:val="24"/>
                <w:u w:val="none"/>
              </w:rPr>
              <w:t>higher levels of inflation than budgeted</w:t>
            </w:r>
            <w:r>
              <w:rPr>
                <w:rFonts w:ascii="Arial" w:hAnsi="Arial" w:cs="Arial"/>
                <w:b w:val="0"/>
                <w:szCs w:val="24"/>
                <w:u w:val="none"/>
              </w:rPr>
              <w:t>;</w:t>
            </w:r>
          </w:p>
          <w:p w:rsidR="00A83FCE" w:rsidRPr="001C3D91" w:rsidRDefault="00A83FCE" w:rsidP="002450EE">
            <w:pPr>
              <w:pStyle w:val="BodyText"/>
              <w:numPr>
                <w:ilvl w:val="0"/>
                <w:numId w:val="38"/>
              </w:numPr>
              <w:jc w:val="both"/>
              <w:rPr>
                <w:rFonts w:ascii="Arial" w:hAnsi="Arial" w:cs="Arial"/>
                <w:b w:val="0"/>
                <w:szCs w:val="24"/>
                <w:u w:val="none"/>
              </w:rPr>
            </w:pPr>
            <w:r w:rsidRPr="001C3D91">
              <w:rPr>
                <w:rFonts w:ascii="Arial" w:hAnsi="Arial" w:cs="Arial"/>
                <w:b w:val="0"/>
                <w:szCs w:val="24"/>
                <w:u w:val="none"/>
              </w:rPr>
              <w:t>increasing cost of and changes to pensions</w:t>
            </w:r>
            <w:r>
              <w:rPr>
                <w:rFonts w:ascii="Arial" w:hAnsi="Arial" w:cs="Arial"/>
                <w:b w:val="0"/>
                <w:szCs w:val="24"/>
                <w:u w:val="none"/>
              </w:rPr>
              <w:t>;</w:t>
            </w:r>
          </w:p>
          <w:p w:rsidR="00A83FCE" w:rsidRPr="001C3D91" w:rsidRDefault="00A83FCE" w:rsidP="002450EE">
            <w:pPr>
              <w:pStyle w:val="BodyText"/>
              <w:numPr>
                <w:ilvl w:val="0"/>
                <w:numId w:val="38"/>
              </w:numPr>
              <w:jc w:val="both"/>
              <w:rPr>
                <w:rFonts w:ascii="Arial" w:hAnsi="Arial" w:cs="Arial"/>
                <w:b w:val="0"/>
                <w:szCs w:val="24"/>
                <w:u w:val="none"/>
              </w:rPr>
            </w:pPr>
            <w:r w:rsidRPr="001C3D91">
              <w:rPr>
                <w:rFonts w:ascii="Arial" w:hAnsi="Arial" w:cs="Arial"/>
                <w:b w:val="0"/>
                <w:szCs w:val="24"/>
                <w:u w:val="none"/>
              </w:rPr>
              <w:t>service demands increasing, putting additional pressure on demand led budgets</w:t>
            </w:r>
            <w:r>
              <w:rPr>
                <w:rFonts w:ascii="Arial" w:hAnsi="Arial" w:cs="Arial"/>
                <w:b w:val="0"/>
                <w:szCs w:val="24"/>
                <w:u w:val="none"/>
              </w:rPr>
              <w:t>;</w:t>
            </w:r>
            <w:r w:rsidRPr="001C3D91">
              <w:rPr>
                <w:rFonts w:ascii="Arial" w:hAnsi="Arial" w:cs="Arial"/>
                <w:b w:val="0"/>
                <w:szCs w:val="24"/>
                <w:u w:val="none"/>
              </w:rPr>
              <w:t xml:space="preserve"> </w:t>
            </w:r>
          </w:p>
          <w:p w:rsidR="00A83FCE" w:rsidRPr="001C3D91" w:rsidRDefault="00A83FCE" w:rsidP="002450EE">
            <w:pPr>
              <w:pStyle w:val="BodyText"/>
              <w:numPr>
                <w:ilvl w:val="0"/>
                <w:numId w:val="38"/>
              </w:numPr>
              <w:jc w:val="both"/>
              <w:rPr>
                <w:rFonts w:ascii="Arial" w:hAnsi="Arial" w:cs="Arial"/>
                <w:b w:val="0"/>
                <w:szCs w:val="24"/>
                <w:u w:val="none"/>
              </w:rPr>
            </w:pPr>
            <w:r w:rsidRPr="001C3D91">
              <w:rPr>
                <w:rFonts w:ascii="Arial" w:hAnsi="Arial" w:cs="Arial"/>
                <w:b w:val="0"/>
                <w:szCs w:val="24"/>
                <w:u w:val="none"/>
              </w:rPr>
              <w:t>changes in legislation impacting on future service provision</w:t>
            </w:r>
            <w:r>
              <w:rPr>
                <w:rFonts w:ascii="Arial" w:hAnsi="Arial" w:cs="Arial"/>
                <w:b w:val="0"/>
                <w:szCs w:val="24"/>
                <w:u w:val="none"/>
              </w:rPr>
              <w:t>;</w:t>
            </w:r>
          </w:p>
          <w:p w:rsidR="00A83FCE" w:rsidRPr="001C3D91" w:rsidRDefault="00A83FCE" w:rsidP="002450EE">
            <w:pPr>
              <w:pStyle w:val="BodyText"/>
              <w:numPr>
                <w:ilvl w:val="0"/>
                <w:numId w:val="38"/>
              </w:numPr>
              <w:rPr>
                <w:rFonts w:ascii="Arial" w:hAnsi="Arial" w:cs="Arial"/>
                <w:b w:val="0"/>
                <w:szCs w:val="24"/>
                <w:u w:val="none"/>
              </w:rPr>
            </w:pPr>
            <w:r w:rsidRPr="001C3D91">
              <w:rPr>
                <w:rFonts w:ascii="Arial" w:hAnsi="Arial" w:cs="Arial"/>
                <w:b w:val="0"/>
                <w:szCs w:val="24"/>
                <w:u w:val="none"/>
              </w:rPr>
              <w:t>potential cost of industrial action</w:t>
            </w:r>
            <w:r>
              <w:rPr>
                <w:rFonts w:ascii="Arial" w:hAnsi="Arial" w:cs="Arial"/>
                <w:b w:val="0"/>
                <w:szCs w:val="24"/>
                <w:u w:val="none"/>
              </w:rPr>
              <w:t>.</w:t>
            </w:r>
          </w:p>
        </w:tc>
      </w:tr>
      <w:tr w:rsidR="00A83FCE" w:rsidRPr="001C3D91" w:rsidTr="002450EE">
        <w:tc>
          <w:tcPr>
            <w:tcW w:w="1560" w:type="dxa"/>
          </w:tcPr>
          <w:p w:rsidR="00A83FCE" w:rsidRPr="001C3D91" w:rsidRDefault="00A83FCE" w:rsidP="002450EE">
            <w:pPr>
              <w:pStyle w:val="BodyText"/>
              <w:rPr>
                <w:rFonts w:ascii="Arial" w:hAnsi="Arial" w:cs="Arial"/>
                <w:b w:val="0"/>
                <w:szCs w:val="24"/>
                <w:u w:val="none"/>
              </w:rPr>
            </w:pPr>
            <w:r w:rsidRPr="001C3D91">
              <w:rPr>
                <w:rFonts w:ascii="Arial" w:hAnsi="Arial" w:cs="Arial"/>
                <w:b w:val="0"/>
                <w:szCs w:val="24"/>
                <w:u w:val="none"/>
              </w:rPr>
              <w:t>Utilisation</w:t>
            </w:r>
          </w:p>
        </w:tc>
        <w:tc>
          <w:tcPr>
            <w:tcW w:w="7512" w:type="dxa"/>
          </w:tcPr>
          <w:p w:rsidR="00A83FCE" w:rsidRPr="001C3D91" w:rsidRDefault="00A83FCE" w:rsidP="002450EE">
            <w:pPr>
              <w:pStyle w:val="BodyText"/>
              <w:rPr>
                <w:rFonts w:ascii="Arial" w:hAnsi="Arial" w:cs="Arial"/>
                <w:b w:val="0"/>
                <w:szCs w:val="24"/>
                <w:u w:val="none"/>
              </w:rPr>
            </w:pPr>
            <w:r w:rsidRPr="001C3D91">
              <w:rPr>
                <w:rFonts w:ascii="Arial" w:hAnsi="Arial" w:cs="Arial"/>
                <w:b w:val="0"/>
                <w:szCs w:val="24"/>
                <w:u w:val="none"/>
              </w:rPr>
              <w:t>This is utilised to offset any in-year overspend that would occur when comparing budget requirement to the level of funding generated</w:t>
            </w:r>
            <w:r>
              <w:rPr>
                <w:rFonts w:ascii="Arial" w:hAnsi="Arial" w:cs="Arial"/>
                <w:b w:val="0"/>
                <w:szCs w:val="24"/>
                <w:u w:val="none"/>
              </w:rPr>
              <w:t>.</w:t>
            </w:r>
          </w:p>
        </w:tc>
      </w:tr>
      <w:tr w:rsidR="00A83FCE" w:rsidRPr="001C3D91" w:rsidTr="002450EE">
        <w:tc>
          <w:tcPr>
            <w:tcW w:w="1560" w:type="dxa"/>
          </w:tcPr>
          <w:p w:rsidR="00A83FCE" w:rsidRPr="001C3D91" w:rsidRDefault="00A83FCE" w:rsidP="002450EE">
            <w:pPr>
              <w:pStyle w:val="BodyText"/>
              <w:rPr>
                <w:rFonts w:ascii="Arial" w:hAnsi="Arial" w:cs="Arial"/>
                <w:b w:val="0"/>
                <w:szCs w:val="24"/>
                <w:u w:val="none"/>
              </w:rPr>
            </w:pPr>
            <w:r w:rsidRPr="001C3D91">
              <w:rPr>
                <w:rFonts w:ascii="Arial" w:hAnsi="Arial" w:cs="Arial"/>
                <w:b w:val="0"/>
                <w:szCs w:val="24"/>
                <w:u w:val="none"/>
              </w:rPr>
              <w:t>Controls</w:t>
            </w:r>
          </w:p>
        </w:tc>
        <w:tc>
          <w:tcPr>
            <w:tcW w:w="7512" w:type="dxa"/>
          </w:tcPr>
          <w:p w:rsidR="00A83FCE" w:rsidRPr="001C3D91" w:rsidRDefault="00A83FCE" w:rsidP="002450EE">
            <w:pPr>
              <w:pStyle w:val="BodyText"/>
              <w:rPr>
                <w:rFonts w:ascii="Arial" w:hAnsi="Arial" w:cs="Arial"/>
                <w:b w:val="0"/>
                <w:szCs w:val="24"/>
                <w:u w:val="none"/>
              </w:rPr>
            </w:pPr>
            <w:r w:rsidRPr="001C3D91">
              <w:rPr>
                <w:rFonts w:ascii="Arial" w:hAnsi="Arial" w:cs="Arial"/>
                <w:b w:val="0"/>
                <w:szCs w:val="24"/>
                <w:u w:val="none"/>
              </w:rPr>
              <w:t>The utilisation of this is agreed as part of the annual budget setting process.  Any further utilisation requires the approval of the Resources Committee</w:t>
            </w:r>
            <w:r>
              <w:rPr>
                <w:rFonts w:ascii="Arial" w:hAnsi="Arial" w:cs="Arial"/>
                <w:b w:val="0"/>
                <w:szCs w:val="24"/>
                <w:u w:val="none"/>
              </w:rPr>
              <w:t>.</w:t>
            </w:r>
          </w:p>
        </w:tc>
      </w:tr>
      <w:tr w:rsidR="00A83FCE" w:rsidRPr="001C3D91" w:rsidTr="002450EE">
        <w:tc>
          <w:tcPr>
            <w:tcW w:w="1560" w:type="dxa"/>
          </w:tcPr>
          <w:p w:rsidR="00A83FCE" w:rsidRPr="001C3D91" w:rsidRDefault="00A83FCE" w:rsidP="002450EE">
            <w:pPr>
              <w:pStyle w:val="BodyText"/>
              <w:rPr>
                <w:rFonts w:ascii="Arial" w:hAnsi="Arial" w:cs="Arial"/>
                <w:b w:val="0"/>
                <w:szCs w:val="24"/>
                <w:u w:val="none"/>
              </w:rPr>
            </w:pPr>
            <w:r w:rsidRPr="001C3D91">
              <w:rPr>
                <w:rFonts w:ascii="Arial" w:hAnsi="Arial" w:cs="Arial"/>
                <w:b w:val="0"/>
                <w:szCs w:val="24"/>
                <w:u w:val="none"/>
              </w:rPr>
              <w:t>Review</w:t>
            </w:r>
          </w:p>
        </w:tc>
        <w:tc>
          <w:tcPr>
            <w:tcW w:w="7512" w:type="dxa"/>
          </w:tcPr>
          <w:p w:rsidR="00A83FCE" w:rsidRPr="001C3D91" w:rsidRDefault="00A83FCE" w:rsidP="002450EE">
            <w:pPr>
              <w:pStyle w:val="BodyText"/>
              <w:rPr>
                <w:rFonts w:ascii="Arial" w:hAnsi="Arial" w:cs="Arial"/>
                <w:b w:val="0"/>
                <w:szCs w:val="24"/>
                <w:u w:val="none"/>
              </w:rPr>
            </w:pPr>
            <w:r w:rsidRPr="001C3D91">
              <w:rPr>
                <w:rFonts w:ascii="Arial" w:hAnsi="Arial" w:cs="Arial"/>
                <w:b w:val="0"/>
                <w:szCs w:val="24"/>
                <w:u w:val="none"/>
              </w:rPr>
              <w:t>The adequacy of this is reviewed annually, as part of the budget setting process</w:t>
            </w:r>
            <w:r>
              <w:rPr>
                <w:rFonts w:ascii="Arial" w:hAnsi="Arial" w:cs="Arial"/>
                <w:b w:val="0"/>
                <w:szCs w:val="24"/>
                <w:u w:val="none"/>
              </w:rPr>
              <w:t>.</w:t>
            </w:r>
          </w:p>
        </w:tc>
      </w:tr>
    </w:tbl>
    <w:p w:rsidR="00A83FCE" w:rsidRPr="001C3D91" w:rsidRDefault="00A83FCE" w:rsidP="00A83FCE">
      <w:pPr>
        <w:ind w:left="1080"/>
        <w:jc w:val="both"/>
        <w:rPr>
          <w:rFonts w:ascii="Arial" w:hAnsi="Arial" w:cs="Arial"/>
          <w:szCs w:val="24"/>
        </w:rPr>
      </w:pPr>
    </w:p>
    <w:p w:rsidR="00A83FCE" w:rsidRPr="001C3D91" w:rsidRDefault="00A83FCE" w:rsidP="00A83FCE">
      <w:pPr>
        <w:pStyle w:val="BodyText3"/>
        <w:jc w:val="both"/>
        <w:rPr>
          <w:rFonts w:ascii="Arial" w:hAnsi="Arial" w:cs="Arial"/>
          <w:color w:val="auto"/>
          <w:sz w:val="24"/>
          <w:szCs w:val="24"/>
          <w:u w:val="single"/>
        </w:rPr>
      </w:pPr>
      <w:r w:rsidRPr="001C3D91">
        <w:rPr>
          <w:rFonts w:ascii="Arial" w:hAnsi="Arial" w:cs="Arial"/>
          <w:color w:val="auto"/>
          <w:sz w:val="24"/>
          <w:szCs w:val="24"/>
          <w:u w:val="single"/>
        </w:rPr>
        <w:t>Review of Level of Reserves</w:t>
      </w:r>
    </w:p>
    <w:p w:rsidR="00A83FCE" w:rsidRPr="001C3D91" w:rsidRDefault="00A83FCE" w:rsidP="00A83FCE">
      <w:pPr>
        <w:pStyle w:val="BodyText3"/>
        <w:jc w:val="both"/>
        <w:rPr>
          <w:rFonts w:ascii="Arial" w:hAnsi="Arial" w:cs="Arial"/>
          <w:color w:val="auto"/>
          <w:sz w:val="24"/>
          <w:szCs w:val="24"/>
        </w:rPr>
      </w:pPr>
      <w:r w:rsidRPr="001C3D91">
        <w:rPr>
          <w:rFonts w:ascii="Arial" w:hAnsi="Arial" w:cs="Arial"/>
          <w:color w:val="auto"/>
          <w:sz w:val="24"/>
          <w:szCs w:val="24"/>
        </w:rPr>
        <w:t xml:space="preserve">In determining the appropriate level of general reserves required by the Authority, the Treasurer is required to form a professional judgement on this, taking account of the strategic, operational and financial risk facing the Authority.  This is completed based on guidance issued by CIPFA, and includes an assessment of the financial assumptions underpinning the budget, the adequacy of insurance arrangements and consideration of the Authority’s financial management arrangements. In </w:t>
      </w:r>
      <w:proofErr w:type="gramStart"/>
      <w:r w:rsidRPr="001C3D91">
        <w:rPr>
          <w:rFonts w:ascii="Arial" w:hAnsi="Arial" w:cs="Arial"/>
          <w:color w:val="auto"/>
          <w:sz w:val="24"/>
          <w:szCs w:val="24"/>
        </w:rPr>
        <w:t>addition</w:t>
      </w:r>
      <w:proofErr w:type="gramEnd"/>
      <w:r w:rsidRPr="001C3D91">
        <w:rPr>
          <w:rFonts w:ascii="Arial" w:hAnsi="Arial" w:cs="Arial"/>
          <w:color w:val="auto"/>
          <w:sz w:val="24"/>
          <w:szCs w:val="24"/>
        </w:rPr>
        <w:t xml:space="preserve"> the assessment should focus on both medium and long-term requirements, taking account of the Medium Term Financial Strategy (as set out in the draft budget report elsewhere on this agenda).</w:t>
      </w:r>
    </w:p>
    <w:p w:rsidR="00A83FCE" w:rsidRPr="001C3D91" w:rsidRDefault="00A83FCE" w:rsidP="00A83FCE">
      <w:pPr>
        <w:pStyle w:val="BodyText3"/>
        <w:jc w:val="both"/>
        <w:rPr>
          <w:rFonts w:ascii="Arial" w:hAnsi="Arial" w:cs="Arial"/>
          <w:color w:val="auto"/>
          <w:sz w:val="24"/>
          <w:szCs w:val="24"/>
        </w:rPr>
      </w:pPr>
    </w:p>
    <w:p w:rsidR="00A83FCE" w:rsidRPr="001C3D91" w:rsidRDefault="00A83FCE" w:rsidP="00A83FCE">
      <w:pPr>
        <w:pStyle w:val="BodyText3"/>
        <w:jc w:val="both"/>
        <w:rPr>
          <w:rFonts w:ascii="Arial" w:hAnsi="Arial" w:cs="Arial"/>
          <w:color w:val="000000" w:themeColor="text1"/>
          <w:sz w:val="24"/>
          <w:szCs w:val="24"/>
        </w:rPr>
      </w:pPr>
      <w:r w:rsidRPr="001C3D91">
        <w:rPr>
          <w:rFonts w:ascii="Arial" w:hAnsi="Arial" w:cs="Arial"/>
          <w:color w:val="000000" w:themeColor="text1"/>
          <w:sz w:val="24"/>
          <w:szCs w:val="24"/>
        </w:rPr>
        <w:t>For Lancashire Combined Fire Authority this covers issues such as: uncertainty surrounding future funding settlements and the potential impact of this on the revenue and capital budget; uncertainty surrounding future pay awards and inflation rates; the impact of changes to pension schemes</w:t>
      </w:r>
      <w:r>
        <w:rPr>
          <w:rFonts w:ascii="Arial" w:hAnsi="Arial" w:cs="Arial"/>
          <w:color w:val="000000" w:themeColor="text1"/>
          <w:sz w:val="24"/>
          <w:szCs w:val="24"/>
        </w:rPr>
        <w:t>, both in terms of pensionability of allowances and the remedy for the McCloud judgement</w:t>
      </w:r>
      <w:r w:rsidRPr="001C3D91">
        <w:rPr>
          <w:rFonts w:ascii="Arial" w:hAnsi="Arial" w:cs="Arial"/>
          <w:color w:val="000000" w:themeColor="text1"/>
          <w:sz w:val="24"/>
          <w:szCs w:val="24"/>
        </w:rPr>
        <w:t>; demand led pressures</w:t>
      </w:r>
      <w:r>
        <w:rPr>
          <w:rFonts w:ascii="Arial" w:hAnsi="Arial" w:cs="Arial"/>
          <w:color w:val="000000" w:themeColor="text1"/>
          <w:sz w:val="24"/>
          <w:szCs w:val="24"/>
        </w:rPr>
        <w:t>;</w:t>
      </w:r>
      <w:r w:rsidRPr="001C3D91">
        <w:rPr>
          <w:rFonts w:ascii="Arial" w:hAnsi="Arial" w:cs="Arial"/>
          <w:color w:val="000000" w:themeColor="text1"/>
          <w:sz w:val="24"/>
          <w:szCs w:val="24"/>
        </w:rPr>
        <w:t xml:space="preserve"> risk of default associated with our investments as set out in the Treasury Management Strategy, </w:t>
      </w:r>
      <w:r w:rsidRPr="00F25A3E">
        <w:rPr>
          <w:rFonts w:ascii="Arial" w:hAnsi="Arial" w:cs="Arial"/>
          <w:color w:val="000000" w:themeColor="text1"/>
          <w:sz w:val="24"/>
          <w:szCs w:val="24"/>
        </w:rPr>
        <w:t xml:space="preserve">cost associated with maintaining operational cover in the event of Industrial Action etc. </w:t>
      </w:r>
    </w:p>
    <w:p w:rsidR="00A83FCE" w:rsidRPr="001C3D91" w:rsidRDefault="00A83FCE" w:rsidP="00A83FCE">
      <w:pPr>
        <w:jc w:val="both"/>
        <w:rPr>
          <w:rFonts w:ascii="Arial" w:hAnsi="Arial" w:cs="Arial"/>
          <w:szCs w:val="24"/>
        </w:rPr>
      </w:pPr>
    </w:p>
    <w:p w:rsidR="00A83FCE" w:rsidRDefault="00A83FCE" w:rsidP="00A83FCE">
      <w:pPr>
        <w:autoSpaceDE w:val="0"/>
        <w:autoSpaceDN w:val="0"/>
        <w:adjustRightInd w:val="0"/>
        <w:jc w:val="both"/>
        <w:rPr>
          <w:rFonts w:ascii="Arial" w:hAnsi="Arial" w:cs="Arial"/>
          <w:szCs w:val="24"/>
        </w:rPr>
      </w:pPr>
      <w:r>
        <w:rPr>
          <w:rFonts w:ascii="Arial" w:hAnsi="Arial" w:cs="Arial"/>
          <w:szCs w:val="24"/>
        </w:rPr>
        <w:t>2019/20 was the final year of</w:t>
      </w:r>
      <w:r w:rsidRPr="008B028C">
        <w:rPr>
          <w:rFonts w:ascii="Arial" w:hAnsi="Arial" w:cs="Arial"/>
          <w:szCs w:val="24"/>
        </w:rPr>
        <w:t xml:space="preserve"> </w:t>
      </w:r>
      <w:r>
        <w:rPr>
          <w:rFonts w:ascii="Arial" w:hAnsi="Arial" w:cs="Arial"/>
          <w:szCs w:val="24"/>
        </w:rPr>
        <w:t>a</w:t>
      </w:r>
      <w:r w:rsidRPr="008B028C">
        <w:rPr>
          <w:rFonts w:ascii="Arial" w:hAnsi="Arial" w:cs="Arial"/>
          <w:szCs w:val="24"/>
        </w:rPr>
        <w:t xml:space="preserve"> </w:t>
      </w:r>
      <w:proofErr w:type="gramStart"/>
      <w:r w:rsidRPr="008B028C">
        <w:rPr>
          <w:rFonts w:ascii="Arial" w:hAnsi="Arial" w:cs="Arial"/>
          <w:szCs w:val="24"/>
        </w:rPr>
        <w:t>four year</w:t>
      </w:r>
      <w:proofErr w:type="gramEnd"/>
      <w:r w:rsidRPr="008B028C">
        <w:rPr>
          <w:rFonts w:ascii="Arial" w:hAnsi="Arial" w:cs="Arial"/>
          <w:szCs w:val="24"/>
        </w:rPr>
        <w:t xml:space="preserve"> settlement</w:t>
      </w:r>
      <w:r>
        <w:rPr>
          <w:rFonts w:ascii="Arial" w:hAnsi="Arial" w:cs="Arial"/>
          <w:szCs w:val="24"/>
        </w:rPr>
        <w:t xml:space="preserve">. This means that funding for 2020/21 is subject to a </w:t>
      </w:r>
      <w:proofErr w:type="gramStart"/>
      <w:r>
        <w:rPr>
          <w:rFonts w:ascii="Arial" w:hAnsi="Arial" w:cs="Arial"/>
          <w:szCs w:val="24"/>
        </w:rPr>
        <w:t>one year</w:t>
      </w:r>
      <w:proofErr w:type="gramEnd"/>
      <w:r>
        <w:rPr>
          <w:rFonts w:ascii="Arial" w:hAnsi="Arial" w:cs="Arial"/>
          <w:szCs w:val="24"/>
        </w:rPr>
        <w:t xml:space="preserve"> settlement, with a further four year Spending Review planned for 2021/22.  As per the Local Government Finance Settlement we will receive a 1.6% inflationary increase for 2020/21.</w:t>
      </w:r>
    </w:p>
    <w:p w:rsidR="00A83FCE" w:rsidRDefault="00A83FCE" w:rsidP="00A83FCE">
      <w:pPr>
        <w:autoSpaceDE w:val="0"/>
        <w:autoSpaceDN w:val="0"/>
        <w:adjustRightInd w:val="0"/>
        <w:jc w:val="both"/>
        <w:rPr>
          <w:rFonts w:ascii="Arial" w:hAnsi="Arial" w:cs="Arial"/>
          <w:szCs w:val="24"/>
        </w:rPr>
      </w:pPr>
    </w:p>
    <w:p w:rsidR="00A83FCE" w:rsidRPr="00C513BB" w:rsidRDefault="00A83FCE" w:rsidP="00A83FCE">
      <w:pPr>
        <w:autoSpaceDE w:val="0"/>
        <w:autoSpaceDN w:val="0"/>
        <w:adjustRightInd w:val="0"/>
        <w:jc w:val="both"/>
        <w:rPr>
          <w:rFonts w:ascii="Arial" w:hAnsi="Arial" w:cs="Arial"/>
          <w:color w:val="000000"/>
          <w:szCs w:val="24"/>
        </w:rPr>
      </w:pPr>
      <w:r>
        <w:rPr>
          <w:rFonts w:ascii="Arial" w:hAnsi="Arial" w:cs="Arial"/>
          <w:color w:val="000000" w:themeColor="text1"/>
          <w:szCs w:val="24"/>
        </w:rPr>
        <w:t>T</w:t>
      </w:r>
      <w:r w:rsidRPr="009C64C2">
        <w:rPr>
          <w:rFonts w:ascii="Arial" w:hAnsi="Arial" w:cs="Arial"/>
          <w:color w:val="000000" w:themeColor="text1"/>
          <w:szCs w:val="24"/>
        </w:rPr>
        <w:t xml:space="preserve">here is </w:t>
      </w:r>
      <w:r>
        <w:rPr>
          <w:rFonts w:ascii="Arial" w:hAnsi="Arial" w:cs="Arial"/>
          <w:color w:val="000000" w:themeColor="text1"/>
          <w:szCs w:val="24"/>
        </w:rPr>
        <w:t>greater</w:t>
      </w:r>
      <w:r w:rsidRPr="009C64C2">
        <w:rPr>
          <w:rFonts w:ascii="Arial" w:hAnsi="Arial" w:cs="Arial"/>
          <w:color w:val="000000" w:themeColor="text1"/>
          <w:szCs w:val="24"/>
        </w:rPr>
        <w:t xml:space="preserve"> degree of </w:t>
      </w:r>
      <w:r w:rsidRPr="00A00622">
        <w:rPr>
          <w:rFonts w:ascii="Arial" w:hAnsi="Arial" w:cs="Arial"/>
          <w:color w:val="000000" w:themeColor="text1"/>
          <w:szCs w:val="24"/>
        </w:rPr>
        <w:t>uncertainty</w:t>
      </w:r>
      <w:r w:rsidRPr="009C64C2">
        <w:rPr>
          <w:rFonts w:ascii="Arial" w:hAnsi="Arial" w:cs="Arial"/>
          <w:color w:val="000000" w:themeColor="text1"/>
          <w:szCs w:val="24"/>
        </w:rPr>
        <w:t xml:space="preserve"> over long term funding</w:t>
      </w:r>
      <w:r>
        <w:rPr>
          <w:rFonts w:ascii="Arial" w:hAnsi="Arial" w:cs="Arial"/>
          <w:color w:val="000000" w:themeColor="text1"/>
          <w:szCs w:val="24"/>
        </w:rPr>
        <w:t xml:space="preserve"> than in recent years </w:t>
      </w:r>
      <w:r>
        <w:rPr>
          <w:rFonts w:ascii="Arial" w:hAnsi="Arial" w:cs="Arial"/>
          <w:szCs w:val="24"/>
        </w:rPr>
        <w:t>as the outcome of the</w:t>
      </w:r>
      <w:r w:rsidRPr="008B028C">
        <w:rPr>
          <w:rFonts w:ascii="Arial" w:hAnsi="Arial" w:cs="Arial"/>
          <w:szCs w:val="24"/>
        </w:rPr>
        <w:t xml:space="preserve"> </w:t>
      </w:r>
      <w:r w:rsidRPr="00142C39">
        <w:rPr>
          <w:rFonts w:ascii="Arial" w:hAnsi="Arial" w:cs="Arial"/>
          <w:color w:val="000000"/>
          <w:szCs w:val="24"/>
        </w:rPr>
        <w:t>fair funding review of relative needs and resources</w:t>
      </w:r>
      <w:r w:rsidRPr="008B028C">
        <w:rPr>
          <w:rFonts w:ascii="Arial" w:hAnsi="Arial" w:cs="Arial"/>
          <w:szCs w:val="24"/>
        </w:rPr>
        <w:t xml:space="preserve"> </w:t>
      </w:r>
      <w:r>
        <w:rPr>
          <w:rFonts w:ascii="Arial" w:hAnsi="Arial" w:cs="Arial"/>
          <w:szCs w:val="24"/>
        </w:rPr>
        <w:t xml:space="preserve">and the Government intention to move to greater retention of Business Rates will take effect. </w:t>
      </w:r>
      <w:proofErr w:type="gramStart"/>
      <w:r w:rsidRPr="00A00622">
        <w:rPr>
          <w:rFonts w:ascii="Arial" w:hAnsi="Arial" w:cs="Arial"/>
          <w:color w:val="000000"/>
          <w:szCs w:val="24"/>
        </w:rPr>
        <w:t>Furthermore</w:t>
      </w:r>
      <w:proofErr w:type="gramEnd"/>
      <w:r w:rsidRPr="00A00622">
        <w:rPr>
          <w:rFonts w:ascii="Arial" w:hAnsi="Arial" w:cs="Arial"/>
          <w:color w:val="000000"/>
          <w:szCs w:val="24"/>
        </w:rPr>
        <w:t xml:space="preserve"> the impact of Brexit on the national economy is still unknown. </w:t>
      </w:r>
    </w:p>
    <w:p w:rsidR="00A83FCE" w:rsidRPr="001C3D91" w:rsidRDefault="00A83FCE" w:rsidP="00A83FCE">
      <w:pPr>
        <w:pStyle w:val="BodyText3"/>
        <w:jc w:val="both"/>
        <w:rPr>
          <w:rFonts w:ascii="Arial" w:hAnsi="Arial" w:cs="Arial"/>
          <w:color w:val="000000" w:themeColor="text1"/>
          <w:sz w:val="24"/>
          <w:szCs w:val="24"/>
        </w:rPr>
      </w:pPr>
    </w:p>
    <w:p w:rsidR="00A83FCE" w:rsidRPr="001C3D91" w:rsidRDefault="00A83FCE" w:rsidP="00A83FCE">
      <w:pPr>
        <w:autoSpaceDE w:val="0"/>
        <w:autoSpaceDN w:val="0"/>
        <w:adjustRightInd w:val="0"/>
        <w:jc w:val="both"/>
        <w:rPr>
          <w:rFonts w:ascii="Arial" w:hAnsi="Arial" w:cs="Arial"/>
          <w:szCs w:val="24"/>
        </w:rPr>
      </w:pPr>
      <w:r>
        <w:rPr>
          <w:rFonts w:ascii="Arial" w:hAnsi="Arial" w:cs="Arial"/>
          <w:szCs w:val="24"/>
        </w:rPr>
        <w:t xml:space="preserve">As such the </w:t>
      </w:r>
      <w:r w:rsidRPr="009C64C2">
        <w:rPr>
          <w:rFonts w:ascii="Arial" w:hAnsi="Arial" w:cs="Arial"/>
          <w:szCs w:val="24"/>
        </w:rPr>
        <w:t xml:space="preserve">Treasurer considers it prudent </w:t>
      </w:r>
      <w:r>
        <w:rPr>
          <w:rFonts w:ascii="Arial" w:hAnsi="Arial" w:cs="Arial"/>
          <w:szCs w:val="24"/>
        </w:rPr>
        <w:t xml:space="preserve">to maintain the </w:t>
      </w:r>
      <w:r w:rsidRPr="009C64C2">
        <w:rPr>
          <w:rFonts w:ascii="Arial" w:hAnsi="Arial" w:cs="Arial"/>
          <w:szCs w:val="24"/>
        </w:rPr>
        <w:t xml:space="preserve">minimum target reserves level </w:t>
      </w:r>
      <w:r>
        <w:rPr>
          <w:rFonts w:ascii="Arial" w:hAnsi="Arial" w:cs="Arial"/>
          <w:szCs w:val="24"/>
        </w:rPr>
        <w:t>at £3.0m</w:t>
      </w:r>
      <w:r w:rsidRPr="009C64C2">
        <w:rPr>
          <w:rFonts w:ascii="Arial" w:hAnsi="Arial" w:cs="Arial"/>
          <w:szCs w:val="24"/>
        </w:rPr>
        <w:t xml:space="preserve">, </w:t>
      </w:r>
      <w:r>
        <w:rPr>
          <w:rFonts w:ascii="Arial" w:hAnsi="Arial" w:cs="Arial"/>
          <w:szCs w:val="24"/>
        </w:rPr>
        <w:t>5.2</w:t>
      </w:r>
      <w:r w:rsidRPr="009C64C2">
        <w:rPr>
          <w:rFonts w:ascii="Arial" w:hAnsi="Arial" w:cs="Arial"/>
          <w:szCs w:val="24"/>
        </w:rPr>
        <w:t>% of the 20</w:t>
      </w:r>
      <w:r>
        <w:rPr>
          <w:rFonts w:ascii="Arial" w:hAnsi="Arial" w:cs="Arial"/>
          <w:szCs w:val="24"/>
        </w:rPr>
        <w:t>20/21</w:t>
      </w:r>
      <w:r w:rsidRPr="009C64C2">
        <w:rPr>
          <w:rFonts w:ascii="Arial" w:hAnsi="Arial" w:cs="Arial"/>
          <w:szCs w:val="24"/>
        </w:rPr>
        <w:t xml:space="preserve"> net revenue budget</w:t>
      </w:r>
      <w:r>
        <w:rPr>
          <w:rFonts w:ascii="Arial" w:hAnsi="Arial" w:cs="Arial"/>
          <w:szCs w:val="24"/>
        </w:rPr>
        <w:t>, reflecting the increasing level of uncertainty. This is broadly in line with the 5% threshold identified by the Home Office above which the Authority is required to justify why it holds the level of reserves.</w:t>
      </w:r>
    </w:p>
    <w:p w:rsidR="00A83FCE" w:rsidRPr="001C3D91" w:rsidRDefault="00A83FCE" w:rsidP="00A83FCE">
      <w:pPr>
        <w:pStyle w:val="BodyText3"/>
        <w:jc w:val="both"/>
        <w:rPr>
          <w:rFonts w:ascii="Arial" w:hAnsi="Arial" w:cs="Arial"/>
          <w:color w:val="000000" w:themeColor="text1"/>
          <w:sz w:val="24"/>
          <w:szCs w:val="24"/>
        </w:rPr>
      </w:pPr>
    </w:p>
    <w:p w:rsidR="00A83FCE" w:rsidRPr="001C3D91" w:rsidRDefault="00A83FCE" w:rsidP="00A83FCE">
      <w:pPr>
        <w:pStyle w:val="BodyText3"/>
        <w:jc w:val="both"/>
        <w:rPr>
          <w:rFonts w:ascii="Arial" w:hAnsi="Arial" w:cs="Arial"/>
          <w:color w:val="000000" w:themeColor="text1"/>
          <w:sz w:val="24"/>
          <w:szCs w:val="24"/>
        </w:rPr>
      </w:pPr>
      <w:r w:rsidRPr="001C3D91">
        <w:rPr>
          <w:rFonts w:ascii="Arial" w:hAnsi="Arial" w:cs="Arial"/>
          <w:color w:val="000000" w:themeColor="text1"/>
          <w:sz w:val="24"/>
          <w:szCs w:val="24"/>
        </w:rPr>
        <w:t>Should reserves fall below this minimum level the following financial year's budget will contain options for increasing reserves back up to this level.  (Note, this may take several years to achieve.)</w:t>
      </w:r>
    </w:p>
    <w:p w:rsidR="00A83FCE" w:rsidRPr="001C3D91" w:rsidRDefault="00A83FCE" w:rsidP="00A83FCE">
      <w:pPr>
        <w:pStyle w:val="BodyText3"/>
        <w:jc w:val="both"/>
        <w:rPr>
          <w:rFonts w:ascii="Arial" w:hAnsi="Arial" w:cs="Arial"/>
          <w:color w:val="000000" w:themeColor="text1"/>
          <w:sz w:val="24"/>
          <w:szCs w:val="24"/>
        </w:rPr>
      </w:pPr>
    </w:p>
    <w:p w:rsidR="00A83FCE" w:rsidRPr="00603EAB" w:rsidRDefault="00A83FCE" w:rsidP="00A83FCE">
      <w:pPr>
        <w:pStyle w:val="BodyText3"/>
        <w:jc w:val="both"/>
        <w:rPr>
          <w:rFonts w:ascii="Arial" w:hAnsi="Arial" w:cs="Arial"/>
          <w:color w:val="000000" w:themeColor="text1"/>
          <w:sz w:val="24"/>
          <w:szCs w:val="24"/>
        </w:rPr>
      </w:pPr>
      <w:r w:rsidRPr="00603EAB">
        <w:rPr>
          <w:rFonts w:ascii="Arial" w:hAnsi="Arial" w:cs="Arial"/>
          <w:color w:val="000000" w:themeColor="text1"/>
          <w:sz w:val="24"/>
          <w:szCs w:val="24"/>
        </w:rPr>
        <w:t xml:space="preserve">Whilst this exercise sets a minimum level of reserves it does not consider what, if any, maximum level of reserves is appropriate. In order to do this the level of reserves held should be compared with the opportunity cost of holding these, which in simple terms means that if you hold reserves that are too high you are foregoing the opportunity to lower council tax or invest in further service improvements. </w:t>
      </w:r>
    </w:p>
    <w:p w:rsidR="00A83FCE" w:rsidRPr="00603EAB" w:rsidRDefault="00A83FCE" w:rsidP="00A83FCE">
      <w:pPr>
        <w:pStyle w:val="BodyText3"/>
        <w:jc w:val="both"/>
        <w:rPr>
          <w:rFonts w:ascii="Arial" w:hAnsi="Arial" w:cs="Arial"/>
          <w:color w:val="000000" w:themeColor="text1"/>
          <w:sz w:val="24"/>
          <w:szCs w:val="24"/>
        </w:rPr>
      </w:pPr>
    </w:p>
    <w:p w:rsidR="00A83FCE" w:rsidRPr="001C3D91" w:rsidRDefault="00A83FCE" w:rsidP="00A83FCE">
      <w:pPr>
        <w:pStyle w:val="BodyText3"/>
        <w:jc w:val="both"/>
        <w:rPr>
          <w:rFonts w:ascii="Arial" w:hAnsi="Arial" w:cs="Arial"/>
          <w:color w:val="000000" w:themeColor="text1"/>
          <w:sz w:val="24"/>
          <w:szCs w:val="24"/>
        </w:rPr>
      </w:pPr>
      <w:r w:rsidRPr="00603EAB">
        <w:rPr>
          <w:rFonts w:ascii="Arial" w:hAnsi="Arial" w:cs="Arial"/>
          <w:color w:val="000000" w:themeColor="text1"/>
          <w:sz w:val="24"/>
          <w:szCs w:val="24"/>
        </w:rPr>
        <w:t xml:space="preserve">However, given the limited scope to increase council tax without holding a local referendum the ability to restore depleted reserves in future years is severely limited. Hence any maximum reserve limit must take account of future anticipated financial pressures and must look at the </w:t>
      </w:r>
      <w:proofErr w:type="gramStart"/>
      <w:r w:rsidRPr="00603EAB">
        <w:rPr>
          <w:rFonts w:ascii="Arial" w:hAnsi="Arial" w:cs="Arial"/>
          <w:color w:val="000000" w:themeColor="text1"/>
          <w:sz w:val="24"/>
          <w:szCs w:val="24"/>
        </w:rPr>
        <w:t>long term</w:t>
      </w:r>
      <w:proofErr w:type="gramEnd"/>
      <w:r w:rsidRPr="00603EAB">
        <w:rPr>
          <w:rFonts w:ascii="Arial" w:hAnsi="Arial" w:cs="Arial"/>
          <w:color w:val="000000" w:themeColor="text1"/>
          <w:sz w:val="24"/>
          <w:szCs w:val="24"/>
        </w:rPr>
        <w:t xml:space="preserve"> impact of these on the budget and hence the reserve requirement. Based on professional judgement, the Treasurer feels that this should be maintained at £10.0m.</w:t>
      </w:r>
    </w:p>
    <w:p w:rsidR="00A83FCE" w:rsidRPr="001C3D91" w:rsidRDefault="00A83FCE" w:rsidP="00A83FCE">
      <w:pPr>
        <w:pStyle w:val="BodyText3"/>
        <w:jc w:val="both"/>
        <w:rPr>
          <w:rFonts w:ascii="Arial" w:hAnsi="Arial" w:cs="Arial"/>
          <w:color w:val="000000" w:themeColor="text1"/>
          <w:sz w:val="24"/>
          <w:szCs w:val="24"/>
        </w:rPr>
      </w:pPr>
    </w:p>
    <w:p w:rsidR="00A83FCE" w:rsidRPr="001C3D91" w:rsidRDefault="00A83FCE" w:rsidP="00A83FCE">
      <w:pPr>
        <w:pStyle w:val="BodyText3"/>
        <w:jc w:val="both"/>
        <w:rPr>
          <w:rFonts w:ascii="Arial" w:hAnsi="Arial" w:cs="Arial"/>
          <w:color w:val="000000" w:themeColor="text1"/>
          <w:sz w:val="24"/>
          <w:szCs w:val="24"/>
        </w:rPr>
      </w:pPr>
      <w:r w:rsidRPr="001C3D91">
        <w:rPr>
          <w:rFonts w:ascii="Arial" w:hAnsi="Arial" w:cs="Arial"/>
          <w:color w:val="000000" w:themeColor="text1"/>
          <w:sz w:val="24"/>
          <w:szCs w:val="24"/>
        </w:rPr>
        <w:t>Should this be exceeded the following financial year’s budget will contain options for applying the excess balance in the medium term, i.e. over 3-5 years.</w:t>
      </w:r>
    </w:p>
    <w:p w:rsidR="00A83FCE" w:rsidRPr="001C3D91" w:rsidRDefault="00A83FCE" w:rsidP="00A83FCE">
      <w:pPr>
        <w:pStyle w:val="BodyText3"/>
        <w:jc w:val="both"/>
        <w:rPr>
          <w:rFonts w:ascii="Arial" w:hAnsi="Arial" w:cs="Arial"/>
          <w:color w:val="000000" w:themeColor="text1"/>
          <w:sz w:val="24"/>
          <w:szCs w:val="24"/>
        </w:rPr>
      </w:pPr>
    </w:p>
    <w:p w:rsidR="00A83FCE" w:rsidRPr="001C3D91" w:rsidRDefault="00A83FCE" w:rsidP="00A83FCE">
      <w:pPr>
        <w:jc w:val="both"/>
        <w:rPr>
          <w:rFonts w:ascii="Arial" w:hAnsi="Arial" w:cs="Arial"/>
          <w:color w:val="000000" w:themeColor="text1"/>
          <w:szCs w:val="24"/>
          <w:u w:val="single"/>
        </w:rPr>
      </w:pPr>
      <w:r>
        <w:rPr>
          <w:rFonts w:ascii="Arial" w:hAnsi="Arial" w:cs="Arial"/>
          <w:color w:val="000000" w:themeColor="text1"/>
          <w:szCs w:val="24"/>
          <w:u w:val="single"/>
        </w:rPr>
        <w:t>L</w:t>
      </w:r>
      <w:r w:rsidRPr="001C3D91">
        <w:rPr>
          <w:rFonts w:ascii="Arial" w:hAnsi="Arial" w:cs="Arial"/>
          <w:color w:val="000000" w:themeColor="text1"/>
          <w:szCs w:val="24"/>
          <w:u w:val="single"/>
        </w:rPr>
        <w:t>evel of General Reserves</w:t>
      </w:r>
    </w:p>
    <w:p w:rsidR="00A83FCE" w:rsidRPr="00E5170D" w:rsidRDefault="00A83FCE" w:rsidP="00A83FCE">
      <w:pPr>
        <w:jc w:val="both"/>
        <w:rPr>
          <w:rFonts w:ascii="Arial" w:hAnsi="Arial" w:cs="Arial"/>
          <w:szCs w:val="24"/>
        </w:rPr>
      </w:pPr>
      <w:r w:rsidRPr="001C3D91">
        <w:rPr>
          <w:rFonts w:ascii="Arial" w:hAnsi="Arial" w:cs="Arial"/>
          <w:szCs w:val="24"/>
        </w:rPr>
        <w:t xml:space="preserve">The overall level of the general fund balance, i.e. uncommitted reserves, anticipated at the 31 March </w:t>
      </w:r>
      <w:r>
        <w:rPr>
          <w:rFonts w:ascii="Arial" w:hAnsi="Arial" w:cs="Arial"/>
          <w:szCs w:val="24"/>
        </w:rPr>
        <w:t>2020</w:t>
      </w:r>
      <w:r w:rsidRPr="00E5170D">
        <w:rPr>
          <w:rFonts w:ascii="Arial" w:hAnsi="Arial" w:cs="Arial"/>
          <w:szCs w:val="24"/>
        </w:rPr>
        <w:t xml:space="preserve"> is £8.</w:t>
      </w:r>
      <w:r>
        <w:rPr>
          <w:rFonts w:ascii="Arial" w:hAnsi="Arial" w:cs="Arial"/>
          <w:szCs w:val="24"/>
        </w:rPr>
        <w:t>2</w:t>
      </w:r>
      <w:r w:rsidRPr="00E5170D">
        <w:rPr>
          <w:rFonts w:ascii="Arial" w:hAnsi="Arial" w:cs="Arial"/>
          <w:szCs w:val="24"/>
        </w:rPr>
        <w:t>m, providing scope to utilise approx. £</w:t>
      </w:r>
      <w:r>
        <w:rPr>
          <w:rFonts w:ascii="Arial" w:hAnsi="Arial" w:cs="Arial"/>
          <w:szCs w:val="24"/>
        </w:rPr>
        <w:t>5.2</w:t>
      </w:r>
      <w:r w:rsidRPr="00E5170D">
        <w:rPr>
          <w:rFonts w:ascii="Arial" w:hAnsi="Arial" w:cs="Arial"/>
          <w:szCs w:val="24"/>
        </w:rPr>
        <w:t xml:space="preserve">m of reserves. </w:t>
      </w:r>
    </w:p>
    <w:p w:rsidR="00A83FCE" w:rsidRPr="00E5170D" w:rsidRDefault="00A83FCE" w:rsidP="00A83FCE">
      <w:pPr>
        <w:pStyle w:val="BodyText3"/>
        <w:jc w:val="both"/>
        <w:rPr>
          <w:rFonts w:ascii="Arial" w:hAnsi="Arial" w:cs="Arial"/>
          <w:color w:val="000000" w:themeColor="text1"/>
          <w:sz w:val="24"/>
          <w:szCs w:val="24"/>
        </w:rPr>
      </w:pPr>
    </w:p>
    <w:p w:rsidR="00A83FCE" w:rsidRPr="00D15746" w:rsidRDefault="00A83FCE" w:rsidP="00A83FCE">
      <w:pPr>
        <w:pStyle w:val="BodyText3"/>
        <w:jc w:val="both"/>
        <w:rPr>
          <w:rFonts w:ascii="Arial" w:hAnsi="Arial" w:cs="Arial"/>
          <w:color w:val="000000" w:themeColor="text1"/>
          <w:sz w:val="24"/>
          <w:szCs w:val="24"/>
          <w:highlight w:val="yellow"/>
        </w:rPr>
      </w:pPr>
      <w:r w:rsidRPr="00E5170D">
        <w:rPr>
          <w:rFonts w:ascii="Arial" w:hAnsi="Arial" w:cs="Arial"/>
          <w:color w:val="000000" w:themeColor="text1"/>
          <w:sz w:val="24"/>
          <w:szCs w:val="24"/>
        </w:rPr>
        <w:t xml:space="preserve">The proposed drawdown of </w:t>
      </w:r>
      <w:r w:rsidRPr="00C56ACD">
        <w:rPr>
          <w:rFonts w:ascii="Arial" w:hAnsi="Arial" w:cs="Arial"/>
          <w:color w:val="000000" w:themeColor="text1"/>
          <w:sz w:val="24"/>
          <w:szCs w:val="24"/>
        </w:rPr>
        <w:t>£0.</w:t>
      </w:r>
      <w:r>
        <w:rPr>
          <w:rFonts w:ascii="Arial" w:hAnsi="Arial" w:cs="Arial"/>
          <w:color w:val="000000" w:themeColor="text1"/>
          <w:sz w:val="24"/>
          <w:szCs w:val="24"/>
        </w:rPr>
        <w:t>4m in 20/21</w:t>
      </w:r>
      <w:r w:rsidRPr="009C64C2">
        <w:rPr>
          <w:rFonts w:ascii="Arial" w:hAnsi="Arial" w:cs="Arial"/>
          <w:color w:val="000000" w:themeColor="text1"/>
          <w:sz w:val="24"/>
          <w:szCs w:val="24"/>
        </w:rPr>
        <w:t xml:space="preserve"> </w:t>
      </w:r>
      <w:r>
        <w:rPr>
          <w:rFonts w:ascii="Arial" w:hAnsi="Arial" w:cs="Arial"/>
          <w:color w:val="000000" w:themeColor="text1"/>
          <w:sz w:val="24"/>
          <w:szCs w:val="24"/>
        </w:rPr>
        <w:t>would reduce the general balance to £7.8m. Discussions are on-going both locally and nationally in respect of Fire-fighter pensions and until such time as these conclude it is not clear whether any backdating costs will be incurred, hence at the present time no allowance has been made for these. Based on this t</w:t>
      </w:r>
      <w:r w:rsidRPr="00ED0643">
        <w:rPr>
          <w:rFonts w:ascii="Arial" w:hAnsi="Arial" w:cs="Arial"/>
          <w:color w:val="000000" w:themeColor="text1"/>
          <w:sz w:val="24"/>
          <w:szCs w:val="24"/>
        </w:rPr>
        <w:t>he Treasurer considers these are at an appropriate level to meet expenditure requirements in 2020/21.</w:t>
      </w:r>
    </w:p>
    <w:p w:rsidR="00A83FCE" w:rsidRPr="00D15746" w:rsidRDefault="00A83FCE" w:rsidP="00A83FCE">
      <w:pPr>
        <w:pStyle w:val="BodyText3"/>
        <w:jc w:val="both"/>
        <w:rPr>
          <w:rFonts w:ascii="Arial" w:hAnsi="Arial" w:cs="Arial"/>
          <w:color w:val="000000" w:themeColor="text1"/>
          <w:sz w:val="24"/>
          <w:szCs w:val="24"/>
          <w:highlight w:val="yellow"/>
        </w:rPr>
      </w:pPr>
    </w:p>
    <w:p w:rsidR="00A83FCE" w:rsidRPr="009B1F19" w:rsidRDefault="00A83FCE" w:rsidP="00A83FCE">
      <w:pPr>
        <w:jc w:val="both"/>
        <w:rPr>
          <w:rFonts w:ascii="Arial" w:hAnsi="Arial" w:cs="Arial"/>
          <w:szCs w:val="24"/>
        </w:rPr>
      </w:pPr>
      <w:r w:rsidRPr="009B1F19">
        <w:rPr>
          <w:rFonts w:ascii="Arial" w:hAnsi="Arial" w:cs="Arial"/>
          <w:szCs w:val="24"/>
        </w:rPr>
        <w:t xml:space="preserve">It should be noted that reserves are being used to fund recurring expenditure and hence this can only be a </w:t>
      </w:r>
      <w:proofErr w:type="gramStart"/>
      <w:r w:rsidRPr="009B1F19">
        <w:rPr>
          <w:rFonts w:ascii="Arial" w:hAnsi="Arial" w:cs="Arial"/>
          <w:szCs w:val="24"/>
        </w:rPr>
        <w:t>short term</w:t>
      </w:r>
      <w:proofErr w:type="gramEnd"/>
      <w:r w:rsidRPr="009B1F19">
        <w:rPr>
          <w:rFonts w:ascii="Arial" w:hAnsi="Arial" w:cs="Arial"/>
          <w:szCs w:val="24"/>
        </w:rPr>
        <w:t xml:space="preserve"> solution, with recurring savings being required to offset the shortfall.</w:t>
      </w:r>
    </w:p>
    <w:p w:rsidR="00A83FCE" w:rsidRPr="00D15746" w:rsidRDefault="00A83FCE" w:rsidP="00A83FCE">
      <w:pPr>
        <w:jc w:val="both"/>
        <w:rPr>
          <w:rFonts w:ascii="Arial" w:hAnsi="Arial" w:cs="Arial"/>
          <w:szCs w:val="24"/>
          <w:highlight w:val="yellow"/>
        </w:rPr>
      </w:pPr>
    </w:p>
    <w:p w:rsidR="00A83FCE" w:rsidRDefault="00A83FCE" w:rsidP="00A83FCE">
      <w:pPr>
        <w:pStyle w:val="BodyText3"/>
        <w:jc w:val="both"/>
        <w:rPr>
          <w:rFonts w:ascii="Arial" w:hAnsi="Arial" w:cs="Arial"/>
          <w:color w:val="auto"/>
          <w:sz w:val="24"/>
          <w:szCs w:val="24"/>
        </w:rPr>
      </w:pPr>
      <w:r w:rsidRPr="009B1F19">
        <w:rPr>
          <w:rFonts w:ascii="Arial" w:hAnsi="Arial" w:cs="Arial"/>
          <w:color w:val="000000" w:themeColor="text1"/>
          <w:sz w:val="24"/>
          <w:szCs w:val="24"/>
        </w:rPr>
        <w:t xml:space="preserve">Future </w:t>
      </w:r>
      <w:r w:rsidRPr="009B1F19">
        <w:rPr>
          <w:rFonts w:ascii="Arial" w:hAnsi="Arial" w:cs="Arial"/>
          <w:color w:val="auto"/>
          <w:sz w:val="24"/>
          <w:szCs w:val="24"/>
        </w:rPr>
        <w:t>requirements are less clear as multi-year settlements will have ended and the budget forecasts become less accurate as there are a whole host of assumptions underpinning these projections, particularly around pension costs</w:t>
      </w:r>
      <w:r>
        <w:rPr>
          <w:rFonts w:ascii="Arial" w:hAnsi="Arial" w:cs="Arial"/>
          <w:color w:val="auto"/>
          <w:sz w:val="24"/>
          <w:szCs w:val="24"/>
        </w:rPr>
        <w:t xml:space="preserve">, </w:t>
      </w:r>
      <w:r w:rsidRPr="009B1F19">
        <w:rPr>
          <w:rFonts w:ascii="Arial" w:hAnsi="Arial" w:cs="Arial"/>
          <w:color w:val="auto"/>
          <w:sz w:val="24"/>
          <w:szCs w:val="24"/>
        </w:rPr>
        <w:t xml:space="preserve">funding, vacancy profiles, future inflation and pay awards and council tax increases. </w:t>
      </w:r>
    </w:p>
    <w:p w:rsidR="00A83FCE" w:rsidRDefault="00A83FCE" w:rsidP="00A83FCE">
      <w:pPr>
        <w:pStyle w:val="BodyText3"/>
        <w:jc w:val="both"/>
        <w:rPr>
          <w:rFonts w:ascii="Arial" w:hAnsi="Arial" w:cs="Arial"/>
          <w:color w:val="auto"/>
          <w:sz w:val="24"/>
          <w:szCs w:val="24"/>
        </w:rPr>
      </w:pPr>
    </w:p>
    <w:p w:rsidR="00A83FCE" w:rsidRDefault="00A83FCE" w:rsidP="00A83FCE">
      <w:pPr>
        <w:pStyle w:val="BodyText3"/>
        <w:jc w:val="both"/>
        <w:rPr>
          <w:rFonts w:ascii="Arial" w:hAnsi="Arial" w:cs="Arial"/>
          <w:color w:val="auto"/>
          <w:sz w:val="24"/>
          <w:szCs w:val="24"/>
        </w:rPr>
      </w:pPr>
      <w:r w:rsidRPr="009B1F19">
        <w:rPr>
          <w:rFonts w:ascii="Arial" w:hAnsi="Arial" w:cs="Arial"/>
          <w:color w:val="auto"/>
          <w:sz w:val="24"/>
          <w:szCs w:val="24"/>
        </w:rPr>
        <w:t>The following graph show</w:t>
      </w:r>
      <w:r>
        <w:rPr>
          <w:rFonts w:ascii="Arial" w:hAnsi="Arial" w:cs="Arial"/>
          <w:color w:val="auto"/>
          <w:sz w:val="24"/>
          <w:szCs w:val="24"/>
        </w:rPr>
        <w:t xml:space="preserve">s the general reserve position based on the draft revenue budget presented elsewhere on the </w:t>
      </w:r>
      <w:r w:rsidRPr="005623E9">
        <w:rPr>
          <w:rFonts w:ascii="Arial" w:hAnsi="Arial" w:cs="Arial"/>
          <w:color w:val="auto"/>
          <w:sz w:val="24"/>
          <w:szCs w:val="24"/>
        </w:rPr>
        <w:t>agenda</w:t>
      </w:r>
      <w:r>
        <w:rPr>
          <w:rFonts w:ascii="Arial" w:hAnsi="Arial" w:cs="Arial"/>
          <w:color w:val="auto"/>
          <w:sz w:val="24"/>
          <w:szCs w:val="24"/>
        </w:rPr>
        <w:t xml:space="preserve">, </w:t>
      </w:r>
      <w:r w:rsidRPr="004517F5">
        <w:rPr>
          <w:rFonts w:ascii="Arial" w:hAnsi="Arial" w:cs="Arial"/>
          <w:color w:val="auto"/>
          <w:sz w:val="24"/>
          <w:szCs w:val="24"/>
        </w:rPr>
        <w:t>allowing for some of the scenarios presented in that report:</w:t>
      </w:r>
    </w:p>
    <w:p w:rsidR="00A83FCE" w:rsidRDefault="00A83FCE" w:rsidP="00A83FCE">
      <w:pPr>
        <w:pStyle w:val="BodyText3"/>
        <w:jc w:val="both"/>
        <w:rPr>
          <w:rFonts w:ascii="Arial" w:hAnsi="Arial" w:cs="Arial"/>
          <w:color w:val="auto"/>
          <w:sz w:val="24"/>
          <w:szCs w:val="24"/>
        </w:rPr>
      </w:pPr>
    </w:p>
    <w:p w:rsidR="00A83FCE" w:rsidRDefault="00A83FCE" w:rsidP="00A83FCE">
      <w:pPr>
        <w:pStyle w:val="BodyText3"/>
        <w:jc w:val="both"/>
        <w:rPr>
          <w:rFonts w:ascii="Arial" w:hAnsi="Arial" w:cs="Arial"/>
          <w:color w:val="auto"/>
          <w:sz w:val="24"/>
          <w:szCs w:val="24"/>
        </w:rPr>
      </w:pPr>
      <w:r>
        <w:rPr>
          <w:rFonts w:ascii="Arial" w:hAnsi="Arial" w:cs="Arial"/>
          <w:noProof/>
          <w:color w:val="auto"/>
          <w:sz w:val="24"/>
          <w:szCs w:val="24"/>
        </w:rPr>
        <w:drawing>
          <wp:inline distT="0" distB="0" distL="0" distR="0" wp14:anchorId="1029B0A5" wp14:editId="2A6A6D01">
            <wp:extent cx="4584700" cy="312166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3121660"/>
                    </a:xfrm>
                    <a:prstGeom prst="rect">
                      <a:avLst/>
                    </a:prstGeom>
                    <a:noFill/>
                  </pic:spPr>
                </pic:pic>
              </a:graphicData>
            </a:graphic>
          </wp:inline>
        </w:drawing>
      </w:r>
    </w:p>
    <w:p w:rsidR="00A83FCE" w:rsidRPr="00D15746" w:rsidRDefault="00A83FCE" w:rsidP="00A83FCE">
      <w:pPr>
        <w:jc w:val="both"/>
        <w:rPr>
          <w:rFonts w:ascii="Arial" w:hAnsi="Arial" w:cs="Arial"/>
          <w:szCs w:val="24"/>
          <w:highlight w:val="yellow"/>
        </w:rPr>
      </w:pPr>
    </w:p>
    <w:p w:rsidR="00A83FCE" w:rsidRDefault="00A83FCE" w:rsidP="00A83FCE">
      <w:pPr>
        <w:pStyle w:val="BodyText3"/>
        <w:jc w:val="both"/>
        <w:rPr>
          <w:rFonts w:ascii="Arial" w:hAnsi="Arial" w:cs="Arial"/>
          <w:color w:val="000000" w:themeColor="text1"/>
          <w:sz w:val="24"/>
          <w:szCs w:val="24"/>
        </w:rPr>
      </w:pPr>
      <w:r w:rsidRPr="005623E9">
        <w:rPr>
          <w:rFonts w:ascii="Arial" w:hAnsi="Arial" w:cs="Arial"/>
          <w:color w:val="000000" w:themeColor="text1"/>
          <w:sz w:val="24"/>
          <w:szCs w:val="24"/>
        </w:rPr>
        <w:t xml:space="preserve">As can be seen under our existing draft revenue budget general reserves are </w:t>
      </w:r>
      <w:r w:rsidRPr="004517F5">
        <w:rPr>
          <w:rFonts w:ascii="Arial" w:hAnsi="Arial" w:cs="Arial"/>
          <w:color w:val="000000" w:themeColor="text1"/>
          <w:sz w:val="24"/>
          <w:szCs w:val="24"/>
        </w:rPr>
        <w:t xml:space="preserve">sufficient to balance the budget throughout the period. Dependent upon which scenario is considered reserves will not be sufficient to meet the current anticipated funding gap over the next 5 years and hence significant additional savings would be required. </w:t>
      </w:r>
    </w:p>
    <w:p w:rsidR="00A83FCE" w:rsidRDefault="00A83FCE" w:rsidP="00A83FCE">
      <w:pPr>
        <w:pStyle w:val="BodyText3"/>
        <w:jc w:val="both"/>
        <w:rPr>
          <w:rFonts w:ascii="Arial" w:hAnsi="Arial" w:cs="Arial"/>
          <w:color w:val="000000" w:themeColor="text1"/>
          <w:sz w:val="24"/>
          <w:szCs w:val="24"/>
        </w:rPr>
      </w:pPr>
    </w:p>
    <w:p w:rsidR="00A83FCE" w:rsidRPr="00160510" w:rsidRDefault="00A83FCE" w:rsidP="00A83FCE">
      <w:pPr>
        <w:jc w:val="both"/>
        <w:rPr>
          <w:rFonts w:ascii="Arial" w:hAnsi="Arial" w:cs="Arial"/>
          <w:b/>
          <w:color w:val="000000" w:themeColor="text1"/>
          <w:szCs w:val="24"/>
        </w:rPr>
      </w:pPr>
      <w:r w:rsidRPr="00160510">
        <w:rPr>
          <w:rFonts w:ascii="Arial" w:hAnsi="Arial" w:cs="Arial"/>
          <w:b/>
          <w:color w:val="000000" w:themeColor="text1"/>
          <w:szCs w:val="24"/>
        </w:rPr>
        <w:t>Earmarked Reserves</w:t>
      </w:r>
    </w:p>
    <w:p w:rsidR="00A83FCE" w:rsidRPr="00160510" w:rsidRDefault="00A83FCE" w:rsidP="00A83FCE">
      <w:pPr>
        <w:pStyle w:val="BodyText3"/>
        <w:jc w:val="both"/>
        <w:rPr>
          <w:rFonts w:ascii="Arial" w:hAnsi="Arial" w:cs="Arial"/>
          <w:color w:val="000000" w:themeColor="text1"/>
          <w:sz w:val="24"/>
          <w:szCs w:val="24"/>
        </w:rPr>
      </w:pPr>
    </w:p>
    <w:p w:rsidR="00A83FCE" w:rsidRPr="000002A4" w:rsidRDefault="00A83FCE" w:rsidP="00A83FCE">
      <w:pPr>
        <w:jc w:val="both"/>
        <w:rPr>
          <w:rFonts w:ascii="Arial" w:hAnsi="Arial" w:cs="Arial"/>
          <w:color w:val="000000" w:themeColor="text1"/>
          <w:szCs w:val="24"/>
        </w:rPr>
      </w:pPr>
      <w:r w:rsidRPr="000002A4">
        <w:rPr>
          <w:rFonts w:ascii="Arial" w:hAnsi="Arial" w:cs="Arial"/>
          <w:color w:val="000000" w:themeColor="text1"/>
          <w:szCs w:val="24"/>
        </w:rPr>
        <w:t xml:space="preserve">These are reserves created for specific purposes to meet known or anticipated future liabilities and as such are not available to meet other budget pressures. They can only be used for that specific purpose, for which they were established, and as such it is not appropriate to set any specific limits on their level, but as part of the annual accounts process their adequacy will be reviewed and reported on. </w:t>
      </w:r>
    </w:p>
    <w:p w:rsidR="00A83FCE" w:rsidRPr="000002A4" w:rsidRDefault="00A83FCE" w:rsidP="00A83FCE">
      <w:pPr>
        <w:jc w:val="both"/>
        <w:rPr>
          <w:rFonts w:ascii="Arial" w:hAnsi="Arial" w:cs="Arial"/>
          <w:color w:val="000000" w:themeColor="text1"/>
          <w:szCs w:val="24"/>
        </w:rPr>
      </w:pPr>
    </w:p>
    <w:p w:rsidR="00A83FCE" w:rsidRPr="000002A4" w:rsidRDefault="00A83FCE" w:rsidP="00A83FCE">
      <w:pPr>
        <w:jc w:val="both"/>
        <w:rPr>
          <w:rFonts w:ascii="Arial" w:hAnsi="Arial" w:cs="Arial"/>
          <w:color w:val="000000" w:themeColor="text1"/>
          <w:szCs w:val="24"/>
        </w:rPr>
      </w:pPr>
      <w:r w:rsidRPr="000002A4">
        <w:rPr>
          <w:rFonts w:ascii="Arial" w:hAnsi="Arial" w:cs="Arial"/>
          <w:color w:val="000000" w:themeColor="text1"/>
          <w:szCs w:val="24"/>
        </w:rPr>
        <w:t>The following table sets out the purpose of this reserve, how it is utilised, controlled and reviewed.</w:t>
      </w:r>
    </w:p>
    <w:p w:rsidR="00A83FCE" w:rsidRPr="000002A4" w:rsidRDefault="00A83FCE" w:rsidP="00A83FCE">
      <w:pPr>
        <w:jc w:val="both"/>
        <w:rPr>
          <w:rFonts w:ascii="Arial" w:hAnsi="Arial" w:cs="Arial"/>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A83FCE" w:rsidRPr="000002A4" w:rsidTr="002450EE">
        <w:tc>
          <w:tcPr>
            <w:tcW w:w="1418" w:type="dxa"/>
          </w:tcPr>
          <w:p w:rsidR="00A83FCE" w:rsidRPr="000002A4" w:rsidRDefault="00A83FCE" w:rsidP="002450EE">
            <w:pPr>
              <w:pStyle w:val="BodyText"/>
              <w:spacing w:before="120" w:after="120"/>
              <w:jc w:val="center"/>
              <w:rPr>
                <w:rFonts w:ascii="Arial" w:hAnsi="Arial" w:cs="Arial"/>
                <w:color w:val="000000" w:themeColor="text1"/>
                <w:szCs w:val="24"/>
                <w:u w:val="none"/>
              </w:rPr>
            </w:pPr>
            <w:r w:rsidRPr="000002A4">
              <w:rPr>
                <w:rFonts w:ascii="Arial" w:hAnsi="Arial" w:cs="Arial"/>
                <w:color w:val="000000" w:themeColor="text1"/>
                <w:szCs w:val="24"/>
                <w:u w:val="none"/>
              </w:rPr>
              <w:t>Name</w:t>
            </w:r>
          </w:p>
        </w:tc>
        <w:tc>
          <w:tcPr>
            <w:tcW w:w="7654" w:type="dxa"/>
          </w:tcPr>
          <w:p w:rsidR="00A83FCE" w:rsidRPr="000002A4" w:rsidRDefault="00A83FCE" w:rsidP="002450EE">
            <w:pPr>
              <w:pStyle w:val="BodyText"/>
              <w:spacing w:before="120" w:after="120"/>
              <w:jc w:val="center"/>
              <w:rPr>
                <w:rFonts w:ascii="Arial" w:hAnsi="Arial" w:cs="Arial"/>
                <w:color w:val="000000" w:themeColor="text1"/>
                <w:szCs w:val="24"/>
                <w:u w:val="none"/>
              </w:rPr>
            </w:pPr>
            <w:r w:rsidRPr="000002A4">
              <w:rPr>
                <w:rFonts w:ascii="Arial" w:hAnsi="Arial" w:cs="Arial"/>
                <w:color w:val="000000" w:themeColor="text1"/>
                <w:szCs w:val="24"/>
                <w:u w:val="none"/>
              </w:rPr>
              <w:t>Earmarked</w:t>
            </w:r>
          </w:p>
        </w:tc>
      </w:tr>
      <w:tr w:rsidR="00A83FCE" w:rsidRPr="000002A4" w:rsidTr="002450EE">
        <w:tc>
          <w:tcPr>
            <w:tcW w:w="1418" w:type="dxa"/>
          </w:tcPr>
          <w:p w:rsidR="00A83FCE" w:rsidRPr="000002A4" w:rsidRDefault="00A83FCE" w:rsidP="002450EE">
            <w:pPr>
              <w:pStyle w:val="BodyText"/>
              <w:rPr>
                <w:rFonts w:ascii="Arial" w:hAnsi="Arial" w:cs="Arial"/>
                <w:b w:val="0"/>
                <w:color w:val="000000" w:themeColor="text1"/>
                <w:szCs w:val="24"/>
                <w:u w:val="none"/>
              </w:rPr>
            </w:pPr>
            <w:r w:rsidRPr="000002A4">
              <w:rPr>
                <w:rFonts w:ascii="Arial" w:hAnsi="Arial" w:cs="Arial"/>
                <w:b w:val="0"/>
                <w:color w:val="000000" w:themeColor="text1"/>
                <w:szCs w:val="24"/>
                <w:u w:val="none"/>
              </w:rPr>
              <w:t>Purpose</w:t>
            </w:r>
          </w:p>
        </w:tc>
        <w:tc>
          <w:tcPr>
            <w:tcW w:w="7654" w:type="dxa"/>
          </w:tcPr>
          <w:p w:rsidR="00A83FCE" w:rsidRPr="000002A4" w:rsidRDefault="00A83FCE" w:rsidP="002450EE">
            <w:pPr>
              <w:pStyle w:val="BodyText"/>
              <w:rPr>
                <w:rFonts w:ascii="Arial" w:hAnsi="Arial" w:cs="Arial"/>
                <w:b w:val="0"/>
                <w:color w:val="000000" w:themeColor="text1"/>
                <w:szCs w:val="24"/>
                <w:u w:val="none"/>
              </w:rPr>
            </w:pPr>
            <w:r w:rsidRPr="000002A4">
              <w:rPr>
                <w:rFonts w:ascii="Arial" w:hAnsi="Arial" w:cs="Arial"/>
                <w:b w:val="0"/>
                <w:color w:val="000000" w:themeColor="text1"/>
                <w:szCs w:val="24"/>
                <w:u w:val="none"/>
              </w:rPr>
              <w:t>This covers monies set aside for specific purposes.</w:t>
            </w:r>
          </w:p>
        </w:tc>
      </w:tr>
      <w:tr w:rsidR="00A83FCE" w:rsidRPr="000002A4" w:rsidTr="002450EE">
        <w:tc>
          <w:tcPr>
            <w:tcW w:w="1418" w:type="dxa"/>
          </w:tcPr>
          <w:p w:rsidR="00A83FCE" w:rsidRPr="000002A4" w:rsidRDefault="00A83FCE" w:rsidP="002450EE">
            <w:pPr>
              <w:pStyle w:val="BodyText"/>
              <w:rPr>
                <w:rFonts w:ascii="Arial" w:hAnsi="Arial" w:cs="Arial"/>
                <w:b w:val="0"/>
                <w:color w:val="000000" w:themeColor="text1"/>
                <w:szCs w:val="24"/>
                <w:u w:val="none"/>
              </w:rPr>
            </w:pPr>
            <w:r w:rsidRPr="000002A4">
              <w:rPr>
                <w:rFonts w:ascii="Arial" w:hAnsi="Arial" w:cs="Arial"/>
                <w:b w:val="0"/>
                <w:color w:val="000000" w:themeColor="text1"/>
                <w:szCs w:val="24"/>
                <w:u w:val="none"/>
              </w:rPr>
              <w:t>Utilisation</w:t>
            </w:r>
          </w:p>
        </w:tc>
        <w:tc>
          <w:tcPr>
            <w:tcW w:w="7654" w:type="dxa"/>
          </w:tcPr>
          <w:p w:rsidR="00A83FCE" w:rsidRPr="000002A4" w:rsidRDefault="00A83FCE" w:rsidP="002450EE">
            <w:pPr>
              <w:pStyle w:val="BodyText"/>
              <w:rPr>
                <w:rFonts w:ascii="Arial" w:hAnsi="Arial" w:cs="Arial"/>
                <w:b w:val="0"/>
                <w:color w:val="000000" w:themeColor="text1"/>
                <w:szCs w:val="24"/>
                <w:u w:val="none"/>
              </w:rPr>
            </w:pPr>
            <w:r w:rsidRPr="000002A4">
              <w:rPr>
                <w:rFonts w:ascii="Arial" w:hAnsi="Arial" w:cs="Arial"/>
                <w:b w:val="0"/>
                <w:color w:val="000000" w:themeColor="text1"/>
                <w:szCs w:val="24"/>
                <w:u w:val="none"/>
              </w:rPr>
              <w:t>Once set up these reserves can only be used for the specific purpose for which they were established.</w:t>
            </w:r>
          </w:p>
        </w:tc>
      </w:tr>
      <w:tr w:rsidR="00A83FCE" w:rsidRPr="000002A4" w:rsidTr="002450EE">
        <w:tc>
          <w:tcPr>
            <w:tcW w:w="1418" w:type="dxa"/>
          </w:tcPr>
          <w:p w:rsidR="00A83FCE" w:rsidRPr="000002A4" w:rsidRDefault="00A83FCE" w:rsidP="002450EE">
            <w:pPr>
              <w:pStyle w:val="BodyText"/>
              <w:rPr>
                <w:rFonts w:ascii="Arial" w:hAnsi="Arial" w:cs="Arial"/>
                <w:b w:val="0"/>
                <w:color w:val="000000" w:themeColor="text1"/>
                <w:szCs w:val="24"/>
                <w:u w:val="none"/>
              </w:rPr>
            </w:pPr>
            <w:r w:rsidRPr="000002A4">
              <w:rPr>
                <w:rFonts w:ascii="Arial" w:hAnsi="Arial" w:cs="Arial"/>
                <w:b w:val="0"/>
                <w:color w:val="000000" w:themeColor="text1"/>
                <w:szCs w:val="24"/>
                <w:u w:val="none"/>
              </w:rPr>
              <w:t>Controls</w:t>
            </w:r>
          </w:p>
        </w:tc>
        <w:tc>
          <w:tcPr>
            <w:tcW w:w="7654" w:type="dxa"/>
          </w:tcPr>
          <w:p w:rsidR="00A83FCE" w:rsidRPr="000002A4" w:rsidRDefault="00A83FCE" w:rsidP="002450EE">
            <w:pPr>
              <w:pStyle w:val="BodyText"/>
              <w:rPr>
                <w:rFonts w:ascii="Arial" w:hAnsi="Arial" w:cs="Arial"/>
                <w:b w:val="0"/>
                <w:color w:val="000000" w:themeColor="text1"/>
                <w:szCs w:val="24"/>
                <w:u w:val="none"/>
              </w:rPr>
            </w:pPr>
            <w:r w:rsidRPr="000002A4">
              <w:rPr>
                <w:rFonts w:ascii="Arial" w:hAnsi="Arial" w:cs="Arial"/>
                <w:b w:val="0"/>
                <w:color w:val="000000" w:themeColor="text1"/>
                <w:szCs w:val="24"/>
                <w:u w:val="none"/>
              </w:rPr>
              <w:t>The utilisation of these are discussed at quarterly DFM meetings between the budget holder, relevant Executive Board member, and the Director of Corporate Services.</w:t>
            </w:r>
          </w:p>
        </w:tc>
      </w:tr>
      <w:tr w:rsidR="00A83FCE" w:rsidRPr="000002A4" w:rsidTr="002450EE">
        <w:tc>
          <w:tcPr>
            <w:tcW w:w="1418" w:type="dxa"/>
          </w:tcPr>
          <w:p w:rsidR="00A83FCE" w:rsidRPr="000002A4" w:rsidRDefault="00A83FCE" w:rsidP="002450EE">
            <w:pPr>
              <w:pStyle w:val="BodyText"/>
              <w:rPr>
                <w:rFonts w:ascii="Arial" w:hAnsi="Arial" w:cs="Arial"/>
                <w:b w:val="0"/>
                <w:color w:val="000000" w:themeColor="text1"/>
                <w:szCs w:val="24"/>
                <w:u w:val="none"/>
              </w:rPr>
            </w:pPr>
            <w:r w:rsidRPr="000002A4">
              <w:rPr>
                <w:rFonts w:ascii="Arial" w:hAnsi="Arial" w:cs="Arial"/>
                <w:b w:val="0"/>
                <w:color w:val="000000" w:themeColor="text1"/>
                <w:szCs w:val="24"/>
                <w:u w:val="none"/>
              </w:rPr>
              <w:t>Review</w:t>
            </w:r>
          </w:p>
        </w:tc>
        <w:tc>
          <w:tcPr>
            <w:tcW w:w="7654" w:type="dxa"/>
          </w:tcPr>
          <w:p w:rsidR="00A83FCE" w:rsidRPr="000002A4" w:rsidRDefault="00A83FCE" w:rsidP="002450EE">
            <w:pPr>
              <w:pStyle w:val="BodyText"/>
              <w:rPr>
                <w:rFonts w:ascii="Arial" w:hAnsi="Arial" w:cs="Arial"/>
                <w:b w:val="0"/>
                <w:color w:val="000000" w:themeColor="text1"/>
                <w:szCs w:val="24"/>
                <w:u w:val="none"/>
              </w:rPr>
            </w:pPr>
            <w:r w:rsidRPr="000002A4">
              <w:rPr>
                <w:rFonts w:ascii="Arial" w:hAnsi="Arial" w:cs="Arial"/>
                <w:b w:val="0"/>
                <w:color w:val="000000" w:themeColor="text1"/>
                <w:szCs w:val="24"/>
                <w:u w:val="none"/>
              </w:rPr>
              <w:t>The level of earmarked reserves is reviewed each year as part of the revenue outturn/annual accounts process to ensure these are reasonable and remain relevant.</w:t>
            </w:r>
          </w:p>
        </w:tc>
      </w:tr>
    </w:tbl>
    <w:p w:rsidR="00A83FCE" w:rsidRPr="00D15746" w:rsidRDefault="00A83FCE" w:rsidP="00A83FCE">
      <w:pPr>
        <w:ind w:left="1080"/>
        <w:jc w:val="both"/>
        <w:rPr>
          <w:rFonts w:ascii="Arial" w:hAnsi="Arial" w:cs="Arial"/>
          <w:color w:val="000000" w:themeColor="text1"/>
          <w:szCs w:val="24"/>
          <w:highlight w:val="yellow"/>
        </w:rPr>
      </w:pPr>
    </w:p>
    <w:p w:rsidR="00A83FCE" w:rsidRPr="000002A4" w:rsidRDefault="00A83FCE" w:rsidP="00A83FCE">
      <w:pPr>
        <w:jc w:val="both"/>
        <w:rPr>
          <w:rFonts w:ascii="Arial" w:hAnsi="Arial" w:cs="Arial"/>
          <w:color w:val="000000" w:themeColor="text1"/>
          <w:szCs w:val="24"/>
        </w:rPr>
      </w:pPr>
      <w:r w:rsidRPr="000002A4">
        <w:rPr>
          <w:rFonts w:ascii="Arial" w:hAnsi="Arial" w:cs="Arial"/>
          <w:color w:val="000000" w:themeColor="text1"/>
          <w:szCs w:val="24"/>
        </w:rPr>
        <w:t>The Director of Corporate Services has delegated authority to create new earmarked reserves valued at up to £100,000; any request which exceeds this must be reported to the Resources Committee for approval.</w:t>
      </w:r>
    </w:p>
    <w:p w:rsidR="00A83FCE" w:rsidRPr="000002A4" w:rsidRDefault="00A83FCE" w:rsidP="00A83FCE">
      <w:pPr>
        <w:jc w:val="both"/>
        <w:rPr>
          <w:rFonts w:ascii="Arial" w:hAnsi="Arial" w:cs="Arial"/>
          <w:color w:val="000000" w:themeColor="text1"/>
          <w:szCs w:val="24"/>
        </w:rPr>
      </w:pPr>
    </w:p>
    <w:p w:rsidR="00A83FCE" w:rsidRPr="000002A4" w:rsidRDefault="00A83FCE" w:rsidP="00A83FCE">
      <w:pPr>
        <w:jc w:val="both"/>
        <w:rPr>
          <w:rFonts w:ascii="Arial" w:hAnsi="Arial" w:cs="Arial"/>
          <w:color w:val="000000" w:themeColor="text1"/>
          <w:szCs w:val="24"/>
        </w:rPr>
      </w:pPr>
      <w:r w:rsidRPr="000002A4">
        <w:rPr>
          <w:rFonts w:ascii="Arial" w:hAnsi="Arial" w:cs="Arial"/>
          <w:color w:val="000000" w:themeColor="text1"/>
          <w:szCs w:val="24"/>
        </w:rPr>
        <w:t>Specific earmarked reserves will be closed when there is no longer a requirement to hold them, at which point they will either hold a nil balance or when any outstanding balance will be transferred into the general reserve.</w:t>
      </w:r>
    </w:p>
    <w:p w:rsidR="00A83FCE" w:rsidRPr="000002A4" w:rsidRDefault="00A83FCE" w:rsidP="00A83FCE">
      <w:pPr>
        <w:rPr>
          <w:rFonts w:ascii="Arial" w:hAnsi="Arial" w:cs="Arial"/>
          <w:color w:val="000000" w:themeColor="text1"/>
          <w:szCs w:val="24"/>
          <w:u w:val="single"/>
        </w:rPr>
      </w:pPr>
    </w:p>
    <w:p w:rsidR="00A83FCE" w:rsidRPr="000002A4" w:rsidRDefault="00A83FCE" w:rsidP="00A83FCE">
      <w:pPr>
        <w:jc w:val="both"/>
        <w:rPr>
          <w:rFonts w:ascii="Arial" w:hAnsi="Arial" w:cs="Arial"/>
          <w:color w:val="000000" w:themeColor="text1"/>
          <w:szCs w:val="24"/>
          <w:u w:val="single"/>
        </w:rPr>
      </w:pPr>
      <w:r w:rsidRPr="000002A4">
        <w:rPr>
          <w:rFonts w:ascii="Arial" w:hAnsi="Arial" w:cs="Arial"/>
          <w:color w:val="000000" w:themeColor="text1"/>
          <w:szCs w:val="24"/>
          <w:u w:val="single"/>
        </w:rPr>
        <w:t>Level of Earmarked Reserves</w:t>
      </w:r>
    </w:p>
    <w:p w:rsidR="00A83FCE" w:rsidRPr="000002A4" w:rsidRDefault="00A83FCE" w:rsidP="00A83FCE">
      <w:pPr>
        <w:jc w:val="both"/>
        <w:rPr>
          <w:rFonts w:ascii="Arial" w:hAnsi="Arial" w:cs="Arial"/>
          <w:color w:val="000000" w:themeColor="text1"/>
          <w:szCs w:val="24"/>
        </w:rPr>
      </w:pPr>
      <w:r w:rsidRPr="000002A4">
        <w:rPr>
          <w:rFonts w:ascii="Arial" w:hAnsi="Arial" w:cs="Arial"/>
          <w:color w:val="000000" w:themeColor="text1"/>
          <w:szCs w:val="24"/>
        </w:rPr>
        <w:t xml:space="preserve">The following table provides a breakdown of the £7.2m of earmarked reserves forecast to be held at 31st March 2020, and a forecast of the anticipated position as at 31 March </w:t>
      </w:r>
      <w:proofErr w:type="gramStart"/>
      <w:r w:rsidRPr="000002A4">
        <w:rPr>
          <w:rFonts w:ascii="Arial" w:hAnsi="Arial" w:cs="Arial"/>
          <w:color w:val="000000" w:themeColor="text1"/>
          <w:szCs w:val="24"/>
        </w:rPr>
        <w:t>202</w:t>
      </w:r>
      <w:r>
        <w:rPr>
          <w:rFonts w:ascii="Arial" w:hAnsi="Arial" w:cs="Arial"/>
          <w:color w:val="000000" w:themeColor="text1"/>
          <w:szCs w:val="24"/>
        </w:rPr>
        <w:t>5</w:t>
      </w:r>
      <w:r w:rsidRPr="000002A4">
        <w:rPr>
          <w:rFonts w:ascii="Arial" w:hAnsi="Arial" w:cs="Arial"/>
          <w:color w:val="000000" w:themeColor="text1"/>
          <w:szCs w:val="24"/>
        </w:rPr>
        <w:t>:-</w:t>
      </w:r>
      <w:proofErr w:type="gramEnd"/>
    </w:p>
    <w:p w:rsidR="00A83FCE" w:rsidRPr="00D15746" w:rsidRDefault="00A83FCE" w:rsidP="00A83FCE">
      <w:pPr>
        <w:jc w:val="both"/>
        <w:rPr>
          <w:rFonts w:ascii="Arial" w:hAnsi="Arial" w:cs="Arial"/>
          <w:color w:val="000000" w:themeColor="text1"/>
          <w:szCs w:val="24"/>
          <w:highlight w:val="yellow"/>
        </w:rPr>
      </w:pPr>
    </w:p>
    <w:tbl>
      <w:tblPr>
        <w:tblW w:w="918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526"/>
        <w:gridCol w:w="1276"/>
        <w:gridCol w:w="1275"/>
        <w:gridCol w:w="5103"/>
      </w:tblGrid>
      <w:tr w:rsidR="00A83FCE" w:rsidRPr="00D15746" w:rsidTr="002450EE">
        <w:tc>
          <w:tcPr>
            <w:tcW w:w="1526" w:type="dxa"/>
          </w:tcPr>
          <w:p w:rsidR="00A83FCE" w:rsidRPr="00D15746" w:rsidRDefault="00A83FCE" w:rsidP="002450EE">
            <w:pPr>
              <w:rPr>
                <w:rFonts w:ascii="Arial" w:hAnsi="Arial"/>
                <w:szCs w:val="24"/>
                <w:highlight w:val="yellow"/>
              </w:rPr>
            </w:pPr>
          </w:p>
        </w:tc>
        <w:tc>
          <w:tcPr>
            <w:tcW w:w="1276" w:type="dxa"/>
          </w:tcPr>
          <w:p w:rsidR="00A83FCE" w:rsidRPr="000002A4" w:rsidRDefault="00A83FCE" w:rsidP="002450EE">
            <w:pPr>
              <w:jc w:val="center"/>
              <w:rPr>
                <w:rFonts w:ascii="Arial" w:hAnsi="Arial"/>
                <w:szCs w:val="24"/>
              </w:rPr>
            </w:pPr>
            <w:r w:rsidRPr="000002A4">
              <w:rPr>
                <w:rFonts w:ascii="Arial" w:hAnsi="Arial"/>
                <w:szCs w:val="24"/>
              </w:rPr>
              <w:t>Forecast at 31 March 2020</w:t>
            </w:r>
          </w:p>
        </w:tc>
        <w:tc>
          <w:tcPr>
            <w:tcW w:w="1275" w:type="dxa"/>
          </w:tcPr>
          <w:p w:rsidR="00A83FCE" w:rsidRPr="000002A4" w:rsidRDefault="00A83FCE" w:rsidP="002450EE">
            <w:pPr>
              <w:jc w:val="center"/>
              <w:rPr>
                <w:rFonts w:ascii="Arial" w:hAnsi="Arial"/>
                <w:szCs w:val="24"/>
              </w:rPr>
            </w:pPr>
            <w:proofErr w:type="gramStart"/>
            <w:r w:rsidRPr="000002A4">
              <w:rPr>
                <w:rFonts w:ascii="Arial" w:hAnsi="Arial"/>
                <w:szCs w:val="24"/>
              </w:rPr>
              <w:t>Forecast  at</w:t>
            </w:r>
            <w:proofErr w:type="gramEnd"/>
            <w:r w:rsidRPr="000002A4">
              <w:rPr>
                <w:rFonts w:ascii="Arial" w:hAnsi="Arial"/>
                <w:szCs w:val="24"/>
              </w:rPr>
              <w:t xml:space="preserve"> 31 March 202</w:t>
            </w:r>
            <w:r>
              <w:rPr>
                <w:rFonts w:ascii="Arial" w:hAnsi="Arial"/>
                <w:szCs w:val="24"/>
              </w:rPr>
              <w:t>5</w:t>
            </w:r>
          </w:p>
        </w:tc>
        <w:tc>
          <w:tcPr>
            <w:tcW w:w="5103" w:type="dxa"/>
          </w:tcPr>
          <w:p w:rsidR="00A83FCE" w:rsidRPr="00D15746" w:rsidRDefault="00A83FCE" w:rsidP="002450EE">
            <w:pPr>
              <w:jc w:val="both"/>
              <w:rPr>
                <w:rFonts w:ascii="Arial" w:hAnsi="Arial"/>
                <w:szCs w:val="24"/>
                <w:highlight w:val="yellow"/>
              </w:rPr>
            </w:pPr>
          </w:p>
        </w:tc>
      </w:tr>
      <w:tr w:rsidR="00A83FCE" w:rsidRPr="00D15746" w:rsidTr="002450EE">
        <w:tc>
          <w:tcPr>
            <w:tcW w:w="1526" w:type="dxa"/>
          </w:tcPr>
          <w:p w:rsidR="00A83FCE" w:rsidRPr="00D15746" w:rsidRDefault="00A83FCE" w:rsidP="002450EE">
            <w:pPr>
              <w:rPr>
                <w:rFonts w:ascii="Arial" w:hAnsi="Arial"/>
                <w:szCs w:val="24"/>
                <w:highlight w:val="yellow"/>
              </w:rPr>
            </w:pPr>
          </w:p>
        </w:tc>
        <w:tc>
          <w:tcPr>
            <w:tcW w:w="1276" w:type="dxa"/>
          </w:tcPr>
          <w:p w:rsidR="00A83FCE" w:rsidRPr="000002A4" w:rsidRDefault="00A83FCE" w:rsidP="002450EE">
            <w:pPr>
              <w:jc w:val="center"/>
              <w:rPr>
                <w:rFonts w:ascii="Arial" w:hAnsi="Arial"/>
                <w:szCs w:val="24"/>
              </w:rPr>
            </w:pPr>
            <w:r w:rsidRPr="000002A4">
              <w:rPr>
                <w:rFonts w:ascii="Arial" w:hAnsi="Arial"/>
                <w:szCs w:val="24"/>
              </w:rPr>
              <w:t>£m</w:t>
            </w:r>
          </w:p>
        </w:tc>
        <w:tc>
          <w:tcPr>
            <w:tcW w:w="1275" w:type="dxa"/>
          </w:tcPr>
          <w:p w:rsidR="00A83FCE" w:rsidRPr="000002A4" w:rsidRDefault="00A83FCE" w:rsidP="002450EE">
            <w:pPr>
              <w:jc w:val="center"/>
              <w:rPr>
                <w:rFonts w:ascii="Arial" w:hAnsi="Arial"/>
                <w:szCs w:val="24"/>
              </w:rPr>
            </w:pPr>
            <w:r w:rsidRPr="000002A4">
              <w:rPr>
                <w:rFonts w:ascii="Arial" w:hAnsi="Arial"/>
                <w:szCs w:val="24"/>
              </w:rPr>
              <w:t>£m</w:t>
            </w:r>
          </w:p>
        </w:tc>
        <w:tc>
          <w:tcPr>
            <w:tcW w:w="5103" w:type="dxa"/>
          </w:tcPr>
          <w:p w:rsidR="00A83FCE" w:rsidRPr="00D15746" w:rsidRDefault="00A83FCE" w:rsidP="002450EE">
            <w:pPr>
              <w:jc w:val="both"/>
              <w:rPr>
                <w:rFonts w:ascii="Arial" w:hAnsi="Arial"/>
                <w:szCs w:val="24"/>
                <w:highlight w:val="yellow"/>
              </w:rPr>
            </w:pPr>
          </w:p>
        </w:tc>
      </w:tr>
      <w:tr w:rsidR="00A83FCE" w:rsidRPr="00D15746" w:rsidTr="002450EE">
        <w:tc>
          <w:tcPr>
            <w:tcW w:w="1526" w:type="dxa"/>
          </w:tcPr>
          <w:p w:rsidR="00A83FCE" w:rsidRPr="000002A4" w:rsidRDefault="00A83FCE" w:rsidP="002450EE">
            <w:pPr>
              <w:rPr>
                <w:rFonts w:ascii="Arial" w:hAnsi="Arial"/>
                <w:szCs w:val="24"/>
              </w:rPr>
            </w:pPr>
            <w:r w:rsidRPr="000002A4">
              <w:rPr>
                <w:rFonts w:ascii="Arial" w:hAnsi="Arial" w:cs="Arial"/>
                <w:color w:val="000000" w:themeColor="text1"/>
                <w:szCs w:val="24"/>
              </w:rPr>
              <w:t>DFM Reserve</w:t>
            </w:r>
          </w:p>
        </w:tc>
        <w:tc>
          <w:tcPr>
            <w:tcW w:w="1276" w:type="dxa"/>
          </w:tcPr>
          <w:p w:rsidR="00A83FCE" w:rsidRPr="000002A4" w:rsidRDefault="00A83FCE" w:rsidP="002450EE">
            <w:pPr>
              <w:jc w:val="center"/>
              <w:rPr>
                <w:rFonts w:ascii="Arial" w:hAnsi="Arial"/>
                <w:szCs w:val="24"/>
              </w:rPr>
            </w:pPr>
            <w:r w:rsidRPr="000002A4">
              <w:rPr>
                <w:rFonts w:ascii="Arial" w:hAnsi="Arial" w:cs="Arial"/>
                <w:color w:val="000000" w:themeColor="text1"/>
                <w:szCs w:val="24"/>
              </w:rPr>
              <w:t>0.3</w:t>
            </w:r>
          </w:p>
        </w:tc>
        <w:tc>
          <w:tcPr>
            <w:tcW w:w="1275" w:type="dxa"/>
          </w:tcPr>
          <w:p w:rsidR="00A83FCE" w:rsidRPr="000002A4" w:rsidRDefault="00A83FCE" w:rsidP="002450EE">
            <w:pPr>
              <w:jc w:val="center"/>
              <w:rPr>
                <w:rFonts w:ascii="Arial" w:hAnsi="Arial"/>
                <w:szCs w:val="24"/>
              </w:rPr>
            </w:pPr>
            <w:r w:rsidRPr="000002A4">
              <w:rPr>
                <w:rFonts w:ascii="Arial" w:hAnsi="Arial" w:cs="Arial"/>
                <w:color w:val="000000" w:themeColor="text1"/>
                <w:szCs w:val="24"/>
              </w:rPr>
              <w:t>0.</w:t>
            </w:r>
            <w:r>
              <w:rPr>
                <w:rFonts w:ascii="Arial" w:hAnsi="Arial" w:cs="Arial"/>
                <w:color w:val="000000" w:themeColor="text1"/>
                <w:szCs w:val="24"/>
              </w:rPr>
              <w:t>1</w:t>
            </w:r>
          </w:p>
        </w:tc>
        <w:tc>
          <w:tcPr>
            <w:tcW w:w="5103" w:type="dxa"/>
          </w:tcPr>
          <w:p w:rsidR="00A83FCE" w:rsidRPr="000002A4" w:rsidRDefault="00A83FCE" w:rsidP="002450EE">
            <w:pPr>
              <w:jc w:val="both"/>
              <w:rPr>
                <w:rFonts w:ascii="Arial" w:hAnsi="Arial" w:cs="Arial"/>
                <w:color w:val="000000" w:themeColor="text1"/>
                <w:szCs w:val="24"/>
              </w:rPr>
            </w:pPr>
            <w:r w:rsidRPr="000002A4">
              <w:rPr>
                <w:rFonts w:ascii="Arial" w:hAnsi="Arial" w:cs="Arial"/>
                <w:color w:val="000000" w:themeColor="text1"/>
                <w:szCs w:val="24"/>
              </w:rPr>
              <w:t>Devolved Financial Management Reserve enables budget holders to carry forward any surplus or deficit from one financial year to the next, within prescribed limits.</w:t>
            </w:r>
          </w:p>
          <w:p w:rsidR="00A83FCE" w:rsidRPr="000002A4" w:rsidRDefault="00A83FCE" w:rsidP="002450EE">
            <w:pPr>
              <w:jc w:val="both"/>
              <w:rPr>
                <w:rFonts w:ascii="Arial" w:hAnsi="Arial" w:cs="Arial"/>
                <w:color w:val="000000" w:themeColor="text1"/>
                <w:szCs w:val="24"/>
              </w:rPr>
            </w:pPr>
            <w:r w:rsidRPr="000002A4">
              <w:rPr>
                <w:rFonts w:ascii="Arial" w:hAnsi="Arial" w:cs="Arial"/>
                <w:color w:val="000000" w:themeColor="text1"/>
                <w:szCs w:val="24"/>
              </w:rPr>
              <w:t>The Service has strong financial management ethos and hence has a track record of managing within individual budget allocations, hence has not previously utilise</w:t>
            </w:r>
            <w:r>
              <w:rPr>
                <w:rFonts w:ascii="Arial" w:hAnsi="Arial" w:cs="Arial"/>
                <w:color w:val="000000" w:themeColor="text1"/>
                <w:szCs w:val="24"/>
              </w:rPr>
              <w:t>d</w:t>
            </w:r>
            <w:r w:rsidRPr="000002A4">
              <w:rPr>
                <w:rFonts w:ascii="Arial" w:hAnsi="Arial" w:cs="Arial"/>
                <w:color w:val="000000" w:themeColor="text1"/>
                <w:szCs w:val="24"/>
              </w:rPr>
              <w:t xml:space="preserve"> these reserves to a large degree. </w:t>
            </w:r>
            <w:proofErr w:type="gramStart"/>
            <w:r w:rsidRPr="000002A4">
              <w:rPr>
                <w:rFonts w:ascii="Arial" w:hAnsi="Arial" w:cs="Arial"/>
                <w:color w:val="000000" w:themeColor="text1"/>
                <w:szCs w:val="24"/>
              </w:rPr>
              <w:t>However</w:t>
            </w:r>
            <w:proofErr w:type="gramEnd"/>
            <w:r w:rsidRPr="000002A4">
              <w:rPr>
                <w:rFonts w:ascii="Arial" w:hAnsi="Arial" w:cs="Arial"/>
                <w:color w:val="000000" w:themeColor="text1"/>
                <w:szCs w:val="24"/>
              </w:rPr>
              <w:t xml:space="preserve"> as the Service comes under increasing pressure and departmental budgets are squeezed this provides greater flexibility to individual budget holder and optimises the use of resources. </w:t>
            </w:r>
          </w:p>
          <w:p w:rsidR="00A83FCE" w:rsidRPr="000002A4" w:rsidRDefault="00A83FCE" w:rsidP="002450EE">
            <w:pPr>
              <w:jc w:val="both"/>
              <w:rPr>
                <w:rFonts w:ascii="Arial" w:hAnsi="Arial" w:cs="Arial"/>
                <w:color w:val="000000" w:themeColor="text1"/>
                <w:szCs w:val="24"/>
              </w:rPr>
            </w:pPr>
            <w:r w:rsidRPr="000002A4">
              <w:rPr>
                <w:rFonts w:ascii="Arial" w:hAnsi="Arial" w:cs="Arial"/>
                <w:color w:val="000000" w:themeColor="text1"/>
                <w:szCs w:val="24"/>
              </w:rPr>
              <w:t xml:space="preserve">Examples of areas where these balances have been used previously </w:t>
            </w:r>
            <w:proofErr w:type="gramStart"/>
            <w:r w:rsidRPr="000002A4">
              <w:rPr>
                <w:rFonts w:ascii="Arial" w:hAnsi="Arial" w:cs="Arial"/>
                <w:color w:val="000000" w:themeColor="text1"/>
                <w:szCs w:val="24"/>
              </w:rPr>
              <w:t>would be one off</w:t>
            </w:r>
            <w:proofErr w:type="gramEnd"/>
            <w:r w:rsidRPr="000002A4">
              <w:rPr>
                <w:rFonts w:ascii="Arial" w:hAnsi="Arial" w:cs="Arial"/>
                <w:color w:val="000000" w:themeColor="text1"/>
                <w:szCs w:val="24"/>
              </w:rPr>
              <w:t xml:space="preserve"> replacements of equipment, or enhancement to station facilities etc.</w:t>
            </w:r>
          </w:p>
          <w:p w:rsidR="00A83FCE" w:rsidRPr="000002A4" w:rsidRDefault="00A83FCE" w:rsidP="002450EE">
            <w:pPr>
              <w:jc w:val="both"/>
              <w:rPr>
                <w:rFonts w:ascii="Arial" w:hAnsi="Arial" w:cs="Arial"/>
                <w:color w:val="000000" w:themeColor="text1"/>
                <w:szCs w:val="24"/>
              </w:rPr>
            </w:pPr>
            <w:r w:rsidRPr="000002A4">
              <w:rPr>
                <w:rFonts w:ascii="Arial" w:hAnsi="Arial" w:cs="Arial"/>
                <w:color w:val="000000" w:themeColor="text1"/>
                <w:szCs w:val="24"/>
              </w:rPr>
              <w:t xml:space="preserve">The levels of individual DFM reserves are reviewed each year as part of the revenue outturn/annual accounts process, to ensure that they are reasonable and that budget holders are not building up excessive reserves. </w:t>
            </w:r>
          </w:p>
          <w:p w:rsidR="00A83FCE" w:rsidRPr="000002A4" w:rsidRDefault="00A83FCE" w:rsidP="002450EE">
            <w:pPr>
              <w:jc w:val="both"/>
              <w:rPr>
                <w:rFonts w:ascii="Arial" w:hAnsi="Arial"/>
                <w:szCs w:val="24"/>
              </w:rPr>
            </w:pPr>
            <w:r w:rsidRPr="000002A4">
              <w:rPr>
                <w:rFonts w:ascii="Arial" w:hAnsi="Arial" w:cs="Arial"/>
                <w:color w:val="000000" w:themeColor="text1"/>
                <w:szCs w:val="24"/>
              </w:rPr>
              <w:t>At present there are no contractual or legal obligations against this reserve, as any such commitments would be included in the base revenue budget.</w:t>
            </w:r>
          </w:p>
        </w:tc>
      </w:tr>
      <w:tr w:rsidR="00A83FCE" w:rsidRPr="00D15746" w:rsidTr="002450EE">
        <w:tc>
          <w:tcPr>
            <w:tcW w:w="1526" w:type="dxa"/>
          </w:tcPr>
          <w:p w:rsidR="00A83FCE" w:rsidRPr="000002A4" w:rsidRDefault="00A83FCE" w:rsidP="002450EE">
            <w:pPr>
              <w:rPr>
                <w:rFonts w:ascii="Arial" w:hAnsi="Arial"/>
                <w:szCs w:val="24"/>
              </w:rPr>
            </w:pPr>
            <w:r w:rsidRPr="000002A4">
              <w:rPr>
                <w:rFonts w:ascii="Arial" w:hAnsi="Arial" w:cs="Arial"/>
                <w:color w:val="000000" w:themeColor="text1"/>
                <w:szCs w:val="24"/>
              </w:rPr>
              <w:t>PFI Reserves</w:t>
            </w:r>
          </w:p>
        </w:tc>
        <w:tc>
          <w:tcPr>
            <w:tcW w:w="1276" w:type="dxa"/>
          </w:tcPr>
          <w:p w:rsidR="00A83FCE" w:rsidRPr="000002A4" w:rsidRDefault="00A83FCE" w:rsidP="002450EE">
            <w:pPr>
              <w:jc w:val="center"/>
              <w:rPr>
                <w:rFonts w:ascii="Arial" w:hAnsi="Arial"/>
                <w:szCs w:val="24"/>
              </w:rPr>
            </w:pPr>
            <w:r w:rsidRPr="000002A4">
              <w:rPr>
                <w:rFonts w:ascii="Arial" w:hAnsi="Arial" w:cs="Arial"/>
                <w:color w:val="000000" w:themeColor="text1"/>
                <w:szCs w:val="24"/>
              </w:rPr>
              <w:t>4.4</w:t>
            </w:r>
          </w:p>
        </w:tc>
        <w:tc>
          <w:tcPr>
            <w:tcW w:w="1275" w:type="dxa"/>
          </w:tcPr>
          <w:p w:rsidR="00A83FCE" w:rsidRPr="000002A4" w:rsidRDefault="00A83FCE" w:rsidP="002450EE">
            <w:pPr>
              <w:jc w:val="center"/>
              <w:rPr>
                <w:rFonts w:ascii="Arial" w:hAnsi="Arial"/>
                <w:szCs w:val="24"/>
              </w:rPr>
            </w:pPr>
            <w:r>
              <w:rPr>
                <w:rFonts w:ascii="Arial" w:hAnsi="Arial" w:cs="Arial"/>
                <w:color w:val="000000" w:themeColor="text1"/>
                <w:szCs w:val="24"/>
              </w:rPr>
              <w:t>3.9</w:t>
            </w:r>
          </w:p>
        </w:tc>
        <w:tc>
          <w:tcPr>
            <w:tcW w:w="5103" w:type="dxa"/>
          </w:tcPr>
          <w:p w:rsidR="00A83FCE" w:rsidRPr="000002A4" w:rsidRDefault="00A83FCE" w:rsidP="002450EE">
            <w:pPr>
              <w:jc w:val="both"/>
              <w:rPr>
                <w:rFonts w:ascii="Arial" w:hAnsi="Arial" w:cs="Arial"/>
                <w:color w:val="000000" w:themeColor="text1"/>
                <w:szCs w:val="24"/>
              </w:rPr>
            </w:pPr>
            <w:r w:rsidRPr="000002A4">
              <w:rPr>
                <w:rFonts w:ascii="Arial" w:hAnsi="Arial" w:cs="Arial"/>
                <w:color w:val="000000" w:themeColor="text1"/>
                <w:szCs w:val="24"/>
              </w:rPr>
              <w:t xml:space="preserve">Private Finance Initiative Reserve, which is used to smooth out the annual net cost to the Authority of the existing PFI scheme, and will be required to meet future contract payments. The utilisation of this is set out in the budget agreed at the start of the year, any variance in requirements from this are agreed by the Treasurer as part of the revenue outturn/annual accounts process. </w:t>
            </w:r>
          </w:p>
          <w:p w:rsidR="00A83FCE" w:rsidRPr="000002A4" w:rsidRDefault="00A83FCE" w:rsidP="002450EE">
            <w:pPr>
              <w:jc w:val="both"/>
              <w:rPr>
                <w:rFonts w:ascii="Arial" w:hAnsi="Arial"/>
                <w:szCs w:val="24"/>
              </w:rPr>
            </w:pPr>
            <w:r w:rsidRPr="000002A4">
              <w:rPr>
                <w:rFonts w:ascii="Arial" w:hAnsi="Arial"/>
                <w:szCs w:val="24"/>
              </w:rPr>
              <w:t xml:space="preserve">Assuming CPI continues at </w:t>
            </w:r>
            <w:r>
              <w:rPr>
                <w:rFonts w:ascii="Arial" w:hAnsi="Arial"/>
                <w:szCs w:val="24"/>
              </w:rPr>
              <w:t>2</w:t>
            </w:r>
            <w:r w:rsidRPr="000002A4">
              <w:rPr>
                <w:rFonts w:ascii="Arial" w:hAnsi="Arial"/>
                <w:szCs w:val="24"/>
              </w:rPr>
              <w:t>% the whole of this reserve is contractually committed over the next 20 years.</w:t>
            </w:r>
          </w:p>
        </w:tc>
      </w:tr>
      <w:tr w:rsidR="00A83FCE" w:rsidRPr="00D15746" w:rsidTr="002450EE">
        <w:tc>
          <w:tcPr>
            <w:tcW w:w="1526" w:type="dxa"/>
          </w:tcPr>
          <w:p w:rsidR="00A83FCE" w:rsidRPr="000002A4" w:rsidRDefault="00A83FCE" w:rsidP="002450EE">
            <w:pPr>
              <w:rPr>
                <w:rFonts w:ascii="Arial" w:hAnsi="Arial"/>
                <w:szCs w:val="24"/>
              </w:rPr>
            </w:pPr>
            <w:r w:rsidRPr="000002A4">
              <w:rPr>
                <w:rFonts w:ascii="Arial" w:hAnsi="Arial"/>
                <w:szCs w:val="24"/>
              </w:rPr>
              <w:t>Insurance Aggregate Stop Loss (ASL)</w:t>
            </w:r>
          </w:p>
        </w:tc>
        <w:tc>
          <w:tcPr>
            <w:tcW w:w="1276" w:type="dxa"/>
          </w:tcPr>
          <w:p w:rsidR="00A83FCE" w:rsidRPr="00E94583" w:rsidRDefault="00A83FCE" w:rsidP="002450EE">
            <w:pPr>
              <w:jc w:val="center"/>
              <w:rPr>
                <w:rFonts w:ascii="Arial" w:hAnsi="Arial"/>
                <w:szCs w:val="24"/>
              </w:rPr>
            </w:pPr>
            <w:r w:rsidRPr="00E94583">
              <w:rPr>
                <w:rFonts w:ascii="Arial" w:hAnsi="Arial"/>
                <w:szCs w:val="24"/>
              </w:rPr>
              <w:t>1.1</w:t>
            </w:r>
          </w:p>
        </w:tc>
        <w:tc>
          <w:tcPr>
            <w:tcW w:w="1275" w:type="dxa"/>
          </w:tcPr>
          <w:p w:rsidR="00A83FCE" w:rsidRPr="00E94583" w:rsidRDefault="00A83FCE" w:rsidP="002450EE">
            <w:pPr>
              <w:jc w:val="center"/>
              <w:rPr>
                <w:rFonts w:ascii="Arial" w:hAnsi="Arial"/>
                <w:szCs w:val="24"/>
              </w:rPr>
            </w:pPr>
            <w:r w:rsidRPr="00E94583">
              <w:rPr>
                <w:rFonts w:ascii="Arial" w:hAnsi="Arial"/>
                <w:szCs w:val="24"/>
              </w:rPr>
              <w:t>1.1</w:t>
            </w:r>
          </w:p>
        </w:tc>
        <w:tc>
          <w:tcPr>
            <w:tcW w:w="5103" w:type="dxa"/>
          </w:tcPr>
          <w:p w:rsidR="00A83FCE" w:rsidRPr="00E94583" w:rsidRDefault="00A83FCE" w:rsidP="002450EE">
            <w:pPr>
              <w:jc w:val="both"/>
              <w:rPr>
                <w:rFonts w:ascii="Arial" w:hAnsi="Arial"/>
                <w:szCs w:val="24"/>
              </w:rPr>
            </w:pPr>
            <w:r w:rsidRPr="00E94583">
              <w:rPr>
                <w:rFonts w:ascii="Arial" w:hAnsi="Arial"/>
                <w:szCs w:val="24"/>
              </w:rPr>
              <w:t>The Authority has aggregate stop losses (ASLs) on both its combined liability insurance policy (£0.4m) and its motor policy (£0.3m). This means that in any one year the Authority’s maximum liability for insurance claims is capped at the ASL. As such the Authority can either meet these costs direct from its revenue budget or can set up an earmarked reserve to meet these. Within Lancashire we have chosen to meet the potential costs through a combination of the two. Hence the amount included in the revenue budget reflects charges in a typical year, with the reserve being set up to cover any excess over and above this. As such the reserve, combined with amounts within the revenue budget, provides sufficient cover to meet 2 years’ worth of the maximum possible claims, i.e. the ASL. (It is worth noting that the revenue budget allocation has also been reduced in recent years reflecting the claims history. Without holding this reserve to cushion any major claims that may arise this would not have been possible</w:t>
            </w:r>
            <w:proofErr w:type="gramStart"/>
            <w:r w:rsidRPr="00E94583">
              <w:rPr>
                <w:rFonts w:ascii="Arial" w:hAnsi="Arial"/>
                <w:szCs w:val="24"/>
              </w:rPr>
              <w:t>. )</w:t>
            </w:r>
            <w:proofErr w:type="gramEnd"/>
          </w:p>
          <w:p w:rsidR="00A83FCE" w:rsidRPr="00E94583" w:rsidRDefault="00A83FCE" w:rsidP="002450EE">
            <w:pPr>
              <w:jc w:val="both"/>
              <w:rPr>
                <w:rFonts w:ascii="Arial" w:hAnsi="Arial"/>
                <w:szCs w:val="24"/>
              </w:rPr>
            </w:pPr>
            <w:r w:rsidRPr="00E94583">
              <w:rPr>
                <w:rFonts w:ascii="Arial" w:hAnsi="Arial"/>
                <w:szCs w:val="24"/>
              </w:rPr>
              <w:t>None of this reserve is legally committed at the present time, although as soon as a claim arose this position would change.</w:t>
            </w:r>
          </w:p>
        </w:tc>
      </w:tr>
      <w:tr w:rsidR="00A83FCE" w:rsidRPr="00D15746" w:rsidTr="002450EE">
        <w:tc>
          <w:tcPr>
            <w:tcW w:w="1526" w:type="dxa"/>
          </w:tcPr>
          <w:p w:rsidR="00A83FCE" w:rsidRPr="000002A4" w:rsidRDefault="00A83FCE" w:rsidP="002450EE">
            <w:pPr>
              <w:rPr>
                <w:rFonts w:ascii="Arial" w:hAnsi="Arial"/>
                <w:szCs w:val="24"/>
              </w:rPr>
            </w:pPr>
            <w:r w:rsidRPr="000002A4">
              <w:rPr>
                <w:rFonts w:ascii="Arial" w:hAnsi="Arial"/>
                <w:szCs w:val="24"/>
              </w:rPr>
              <w:t>Prince’s Trust</w:t>
            </w:r>
          </w:p>
        </w:tc>
        <w:tc>
          <w:tcPr>
            <w:tcW w:w="1276" w:type="dxa"/>
          </w:tcPr>
          <w:p w:rsidR="00A83FCE" w:rsidRPr="000002A4" w:rsidRDefault="00A83FCE" w:rsidP="002450EE">
            <w:pPr>
              <w:jc w:val="center"/>
              <w:rPr>
                <w:rFonts w:ascii="Arial" w:hAnsi="Arial"/>
                <w:szCs w:val="24"/>
              </w:rPr>
            </w:pPr>
            <w:r w:rsidRPr="000002A4">
              <w:rPr>
                <w:rFonts w:ascii="Arial" w:hAnsi="Arial"/>
                <w:szCs w:val="24"/>
              </w:rPr>
              <w:t>0.3</w:t>
            </w:r>
          </w:p>
        </w:tc>
        <w:tc>
          <w:tcPr>
            <w:tcW w:w="1275" w:type="dxa"/>
          </w:tcPr>
          <w:p w:rsidR="00A83FCE" w:rsidRPr="000002A4" w:rsidRDefault="00A83FCE" w:rsidP="002450EE">
            <w:pPr>
              <w:jc w:val="center"/>
              <w:rPr>
                <w:rFonts w:ascii="Arial" w:hAnsi="Arial"/>
                <w:szCs w:val="24"/>
              </w:rPr>
            </w:pPr>
            <w:r w:rsidRPr="000002A4">
              <w:rPr>
                <w:rFonts w:ascii="Arial" w:hAnsi="Arial"/>
                <w:szCs w:val="24"/>
              </w:rPr>
              <w:t>0.3</w:t>
            </w:r>
          </w:p>
        </w:tc>
        <w:tc>
          <w:tcPr>
            <w:tcW w:w="5103" w:type="dxa"/>
          </w:tcPr>
          <w:p w:rsidR="00A83FCE" w:rsidRPr="00687A48" w:rsidRDefault="00A83FCE" w:rsidP="002450EE">
            <w:pPr>
              <w:jc w:val="both"/>
              <w:rPr>
                <w:rFonts w:ascii="Arial" w:hAnsi="Arial"/>
                <w:szCs w:val="24"/>
              </w:rPr>
            </w:pPr>
            <w:r w:rsidRPr="00687A48">
              <w:rPr>
                <w:rFonts w:ascii="Arial" w:hAnsi="Arial"/>
                <w:szCs w:val="24"/>
              </w:rPr>
              <w:t xml:space="preserve">This reserve has been established to balance short term funding timing differences and also to mitigate the risk of loss of funding and enable short term continuation of team activities, whilst alternative funding is found. </w:t>
            </w:r>
          </w:p>
          <w:p w:rsidR="00A83FCE" w:rsidRPr="00687A48" w:rsidRDefault="00A83FCE" w:rsidP="002450EE">
            <w:pPr>
              <w:jc w:val="both"/>
              <w:rPr>
                <w:rFonts w:ascii="Arial" w:hAnsi="Arial"/>
                <w:szCs w:val="24"/>
              </w:rPr>
            </w:pPr>
            <w:r w:rsidRPr="00687A48">
              <w:rPr>
                <w:rFonts w:ascii="Arial" w:hAnsi="Arial"/>
                <w:szCs w:val="24"/>
              </w:rPr>
              <w:t>Without this reserve any significant loss of funding would have an immediate impact on our ability to deliver the PT programme, and hence improve the lives of younger people.</w:t>
            </w:r>
          </w:p>
          <w:p w:rsidR="00A83FCE" w:rsidRPr="00687A48" w:rsidRDefault="00A83FCE" w:rsidP="002450EE">
            <w:pPr>
              <w:jc w:val="both"/>
              <w:rPr>
                <w:rFonts w:ascii="Arial" w:hAnsi="Arial"/>
                <w:szCs w:val="24"/>
              </w:rPr>
            </w:pPr>
            <w:r w:rsidRPr="00687A48">
              <w:rPr>
                <w:rFonts w:ascii="Arial" w:hAnsi="Arial"/>
                <w:szCs w:val="24"/>
              </w:rPr>
              <w:t>There are no legal or contractual commitments against this.</w:t>
            </w:r>
          </w:p>
        </w:tc>
      </w:tr>
      <w:tr w:rsidR="00A83FCE" w:rsidRPr="00D15746" w:rsidTr="002450EE">
        <w:tc>
          <w:tcPr>
            <w:tcW w:w="1526" w:type="dxa"/>
          </w:tcPr>
          <w:p w:rsidR="00A83FCE" w:rsidRPr="00687A48" w:rsidRDefault="00A83FCE" w:rsidP="002450EE">
            <w:pPr>
              <w:rPr>
                <w:rFonts w:ascii="Arial" w:hAnsi="Arial"/>
                <w:szCs w:val="24"/>
              </w:rPr>
            </w:pPr>
            <w:r w:rsidRPr="00687A48">
              <w:rPr>
                <w:rFonts w:ascii="Arial" w:hAnsi="Arial"/>
                <w:szCs w:val="24"/>
              </w:rPr>
              <w:t>ESMCP Ring-fenced Funding</w:t>
            </w:r>
          </w:p>
        </w:tc>
        <w:tc>
          <w:tcPr>
            <w:tcW w:w="1276" w:type="dxa"/>
          </w:tcPr>
          <w:p w:rsidR="00A83FCE" w:rsidRPr="00687A48" w:rsidRDefault="00A83FCE" w:rsidP="002450EE">
            <w:pPr>
              <w:jc w:val="center"/>
              <w:rPr>
                <w:rFonts w:ascii="Arial" w:hAnsi="Arial"/>
                <w:szCs w:val="24"/>
              </w:rPr>
            </w:pPr>
            <w:r w:rsidRPr="00687A48">
              <w:rPr>
                <w:rFonts w:ascii="Arial" w:hAnsi="Arial"/>
                <w:szCs w:val="24"/>
              </w:rPr>
              <w:t>0.2</w:t>
            </w:r>
          </w:p>
        </w:tc>
        <w:tc>
          <w:tcPr>
            <w:tcW w:w="1275" w:type="dxa"/>
          </w:tcPr>
          <w:p w:rsidR="00A83FCE" w:rsidRPr="00687A48" w:rsidRDefault="00A83FCE" w:rsidP="002450EE">
            <w:pPr>
              <w:jc w:val="center"/>
              <w:rPr>
                <w:rFonts w:ascii="Arial" w:hAnsi="Arial"/>
                <w:szCs w:val="24"/>
              </w:rPr>
            </w:pPr>
            <w:r w:rsidRPr="00687A48">
              <w:rPr>
                <w:rFonts w:ascii="Arial" w:hAnsi="Arial"/>
                <w:szCs w:val="24"/>
              </w:rPr>
              <w:t>-</w:t>
            </w:r>
          </w:p>
        </w:tc>
        <w:tc>
          <w:tcPr>
            <w:tcW w:w="5103" w:type="dxa"/>
          </w:tcPr>
          <w:p w:rsidR="00A83FCE" w:rsidRPr="00687A48" w:rsidRDefault="00A83FCE" w:rsidP="002450EE">
            <w:pPr>
              <w:jc w:val="both"/>
              <w:rPr>
                <w:rFonts w:ascii="Arial" w:hAnsi="Arial"/>
                <w:szCs w:val="24"/>
              </w:rPr>
            </w:pPr>
            <w:r w:rsidRPr="00687A48">
              <w:rPr>
                <w:rFonts w:ascii="Arial" w:hAnsi="Arial"/>
                <w:szCs w:val="24"/>
              </w:rPr>
              <w:t>As part of the Emergency Services Mobile Communication Programme (ESMCP), transitional funding was made available to fund costs associated with the transition to the new national arrangements, with any funds not spent being carried forwards for use in future years.</w:t>
            </w:r>
          </w:p>
          <w:p w:rsidR="00A83FCE" w:rsidRPr="00687A48" w:rsidRDefault="00A83FCE" w:rsidP="002450EE">
            <w:pPr>
              <w:jc w:val="both"/>
              <w:rPr>
                <w:rFonts w:ascii="Arial" w:hAnsi="Arial"/>
                <w:szCs w:val="24"/>
              </w:rPr>
            </w:pPr>
            <w:r w:rsidRPr="00687A48">
              <w:rPr>
                <w:rFonts w:ascii="Arial" w:hAnsi="Arial"/>
                <w:szCs w:val="24"/>
              </w:rPr>
              <w:t>Whilst there are no contractual or legal commitments against this at the present time, the on-going programme will require this funding to be utilised in the new financial year</w:t>
            </w:r>
          </w:p>
        </w:tc>
      </w:tr>
      <w:tr w:rsidR="00A83FCE" w:rsidRPr="00D15746" w:rsidTr="002450EE">
        <w:tc>
          <w:tcPr>
            <w:tcW w:w="1526" w:type="dxa"/>
          </w:tcPr>
          <w:p w:rsidR="00A83FCE" w:rsidRPr="00687A48" w:rsidRDefault="00A83FCE" w:rsidP="002450EE">
            <w:pPr>
              <w:rPr>
                <w:rFonts w:ascii="Arial" w:hAnsi="Arial"/>
                <w:szCs w:val="24"/>
              </w:rPr>
            </w:pPr>
            <w:r w:rsidRPr="00687A48">
              <w:rPr>
                <w:rFonts w:ascii="Arial" w:hAnsi="Arial"/>
                <w:szCs w:val="24"/>
              </w:rPr>
              <w:t>Apprentices</w:t>
            </w:r>
          </w:p>
        </w:tc>
        <w:tc>
          <w:tcPr>
            <w:tcW w:w="1276" w:type="dxa"/>
          </w:tcPr>
          <w:p w:rsidR="00A83FCE" w:rsidRPr="00687A48" w:rsidRDefault="00A83FCE" w:rsidP="002450EE">
            <w:pPr>
              <w:jc w:val="center"/>
              <w:rPr>
                <w:rFonts w:ascii="Arial" w:hAnsi="Arial"/>
                <w:szCs w:val="24"/>
              </w:rPr>
            </w:pPr>
            <w:r w:rsidRPr="00687A48">
              <w:rPr>
                <w:rFonts w:ascii="Arial" w:hAnsi="Arial"/>
                <w:szCs w:val="24"/>
              </w:rPr>
              <w:t>0.1</w:t>
            </w:r>
          </w:p>
        </w:tc>
        <w:tc>
          <w:tcPr>
            <w:tcW w:w="1275" w:type="dxa"/>
          </w:tcPr>
          <w:p w:rsidR="00A83FCE" w:rsidRPr="00687A48" w:rsidRDefault="00A83FCE" w:rsidP="002450EE">
            <w:pPr>
              <w:jc w:val="center"/>
              <w:rPr>
                <w:rFonts w:ascii="Arial" w:hAnsi="Arial"/>
                <w:szCs w:val="24"/>
              </w:rPr>
            </w:pPr>
            <w:r w:rsidRPr="00687A48">
              <w:rPr>
                <w:rFonts w:ascii="Arial" w:hAnsi="Arial"/>
                <w:szCs w:val="24"/>
              </w:rPr>
              <w:t>-</w:t>
            </w:r>
          </w:p>
        </w:tc>
        <w:tc>
          <w:tcPr>
            <w:tcW w:w="5103" w:type="dxa"/>
          </w:tcPr>
          <w:p w:rsidR="00A83FCE" w:rsidRPr="00E94583" w:rsidRDefault="00A83FCE" w:rsidP="002450EE">
            <w:pPr>
              <w:jc w:val="both"/>
              <w:rPr>
                <w:rFonts w:ascii="Arial" w:hAnsi="Arial"/>
                <w:szCs w:val="24"/>
              </w:rPr>
            </w:pPr>
            <w:r w:rsidRPr="00E94583">
              <w:rPr>
                <w:rFonts w:ascii="Arial" w:hAnsi="Arial"/>
                <w:szCs w:val="24"/>
              </w:rPr>
              <w:t>This reserve was created from previous in-year underspends relating to the appointment of apprentices, which was delayed awaiting national developments.</w:t>
            </w:r>
          </w:p>
          <w:p w:rsidR="00A83FCE" w:rsidRPr="00E94583" w:rsidRDefault="00A83FCE" w:rsidP="002450EE">
            <w:pPr>
              <w:jc w:val="both"/>
              <w:rPr>
                <w:rFonts w:ascii="Arial" w:hAnsi="Arial"/>
                <w:szCs w:val="24"/>
              </w:rPr>
            </w:pPr>
            <w:r w:rsidRPr="004517F5">
              <w:rPr>
                <w:rFonts w:ascii="Arial" w:hAnsi="Arial"/>
                <w:szCs w:val="24"/>
              </w:rPr>
              <w:t xml:space="preserve">This reserve is being used to fund an </w:t>
            </w:r>
            <w:r w:rsidRPr="00E94583">
              <w:rPr>
                <w:rFonts w:ascii="Arial" w:hAnsi="Arial"/>
                <w:szCs w:val="24"/>
              </w:rPr>
              <w:t>additional</w:t>
            </w:r>
            <w:r w:rsidRPr="004517F5">
              <w:rPr>
                <w:rFonts w:ascii="Arial" w:hAnsi="Arial"/>
                <w:szCs w:val="24"/>
              </w:rPr>
              <w:t xml:space="preserve"> post to support </w:t>
            </w:r>
            <w:r w:rsidRPr="00E94583">
              <w:rPr>
                <w:rFonts w:ascii="Arial" w:hAnsi="Arial"/>
                <w:szCs w:val="24"/>
              </w:rPr>
              <w:t>apprenticeships</w:t>
            </w:r>
            <w:r w:rsidRPr="004517F5">
              <w:rPr>
                <w:rFonts w:ascii="Arial" w:hAnsi="Arial"/>
                <w:szCs w:val="24"/>
              </w:rPr>
              <w:t xml:space="preserve"> within the service, with a</w:t>
            </w:r>
            <w:r>
              <w:rPr>
                <w:rFonts w:ascii="Arial" w:hAnsi="Arial"/>
                <w:szCs w:val="24"/>
              </w:rPr>
              <w:t xml:space="preserve"> </w:t>
            </w:r>
            <w:r w:rsidRPr="00E94583">
              <w:rPr>
                <w:rFonts w:ascii="Arial" w:hAnsi="Arial"/>
                <w:szCs w:val="24"/>
              </w:rPr>
              <w:t>particular</w:t>
            </w:r>
            <w:r w:rsidRPr="004517F5">
              <w:rPr>
                <w:rFonts w:ascii="Arial" w:hAnsi="Arial"/>
                <w:szCs w:val="24"/>
              </w:rPr>
              <w:t xml:space="preserve"> </w:t>
            </w:r>
            <w:r w:rsidRPr="00E94583">
              <w:rPr>
                <w:rFonts w:ascii="Arial" w:hAnsi="Arial"/>
                <w:szCs w:val="24"/>
              </w:rPr>
              <w:t>emphasis</w:t>
            </w:r>
            <w:r w:rsidRPr="004517F5">
              <w:rPr>
                <w:rFonts w:ascii="Arial" w:hAnsi="Arial"/>
                <w:szCs w:val="24"/>
              </w:rPr>
              <w:t xml:space="preserve"> on Fire-Fighter </w:t>
            </w:r>
            <w:r w:rsidRPr="00E94583">
              <w:rPr>
                <w:rFonts w:ascii="Arial" w:hAnsi="Arial"/>
                <w:szCs w:val="24"/>
              </w:rPr>
              <w:t>apprenticeships</w:t>
            </w:r>
            <w:r w:rsidRPr="004517F5">
              <w:rPr>
                <w:rFonts w:ascii="Arial" w:hAnsi="Arial"/>
                <w:szCs w:val="24"/>
              </w:rPr>
              <w:t xml:space="preserve">. </w:t>
            </w:r>
          </w:p>
          <w:p w:rsidR="00A83FCE" w:rsidRPr="00E94583" w:rsidRDefault="00A83FCE" w:rsidP="002450EE">
            <w:pPr>
              <w:jc w:val="both"/>
              <w:rPr>
                <w:rFonts w:ascii="Arial" w:hAnsi="Arial"/>
                <w:szCs w:val="24"/>
              </w:rPr>
            </w:pPr>
            <w:r w:rsidRPr="00E94583">
              <w:rPr>
                <w:rFonts w:ascii="Arial" w:hAnsi="Arial"/>
                <w:szCs w:val="24"/>
              </w:rPr>
              <w:t>This clearly contributes to addressing apprenticeship targets, set by the Government, as well as addressing capacity issues within departments. There are no contractual commitments against this.</w:t>
            </w:r>
          </w:p>
        </w:tc>
      </w:tr>
      <w:tr w:rsidR="00A83FCE" w:rsidRPr="00D15746" w:rsidTr="002450EE">
        <w:tc>
          <w:tcPr>
            <w:tcW w:w="1526" w:type="dxa"/>
          </w:tcPr>
          <w:p w:rsidR="00A83FCE" w:rsidRPr="00687A48" w:rsidRDefault="00A83FCE" w:rsidP="002450EE">
            <w:pPr>
              <w:rPr>
                <w:rFonts w:ascii="Arial" w:hAnsi="Arial"/>
                <w:szCs w:val="24"/>
              </w:rPr>
            </w:pPr>
            <w:r w:rsidRPr="00687A48">
              <w:rPr>
                <w:rFonts w:ascii="Arial" w:hAnsi="Arial"/>
                <w:szCs w:val="24"/>
              </w:rPr>
              <w:t>Fleet &amp; Equipment</w:t>
            </w:r>
          </w:p>
        </w:tc>
        <w:tc>
          <w:tcPr>
            <w:tcW w:w="1276" w:type="dxa"/>
          </w:tcPr>
          <w:p w:rsidR="00A83FCE" w:rsidRPr="00687A48" w:rsidRDefault="00A83FCE" w:rsidP="002450EE">
            <w:pPr>
              <w:jc w:val="center"/>
              <w:rPr>
                <w:rFonts w:ascii="Arial" w:hAnsi="Arial"/>
                <w:szCs w:val="24"/>
              </w:rPr>
            </w:pPr>
            <w:r w:rsidRPr="00687A48">
              <w:rPr>
                <w:rFonts w:ascii="Arial" w:hAnsi="Arial"/>
                <w:szCs w:val="24"/>
              </w:rPr>
              <w:t>0.4</w:t>
            </w:r>
          </w:p>
        </w:tc>
        <w:tc>
          <w:tcPr>
            <w:tcW w:w="1275" w:type="dxa"/>
          </w:tcPr>
          <w:p w:rsidR="00A83FCE" w:rsidRPr="00687A48" w:rsidRDefault="00A83FCE" w:rsidP="002450EE">
            <w:pPr>
              <w:jc w:val="center"/>
              <w:rPr>
                <w:rFonts w:ascii="Arial" w:hAnsi="Arial"/>
                <w:szCs w:val="24"/>
              </w:rPr>
            </w:pPr>
            <w:r w:rsidRPr="00687A48">
              <w:rPr>
                <w:rFonts w:ascii="Arial" w:hAnsi="Arial"/>
                <w:szCs w:val="24"/>
              </w:rPr>
              <w:t>-</w:t>
            </w:r>
          </w:p>
        </w:tc>
        <w:tc>
          <w:tcPr>
            <w:tcW w:w="5103" w:type="dxa"/>
          </w:tcPr>
          <w:p w:rsidR="00A83FCE" w:rsidRPr="00D15746" w:rsidRDefault="00A83FCE" w:rsidP="002450EE">
            <w:pPr>
              <w:jc w:val="both"/>
              <w:rPr>
                <w:rFonts w:ascii="Arial" w:hAnsi="Arial"/>
                <w:szCs w:val="24"/>
                <w:highlight w:val="yellow"/>
              </w:rPr>
            </w:pPr>
            <w:r w:rsidRPr="00687A48">
              <w:rPr>
                <w:rFonts w:ascii="Arial" w:hAnsi="Arial"/>
                <w:szCs w:val="24"/>
              </w:rPr>
              <w:t xml:space="preserve">This reserve was created to meet the cost of replacement projects which were not completed by year end, hence whilst we anticipate carrying </w:t>
            </w:r>
            <w:r>
              <w:rPr>
                <w:rFonts w:ascii="Arial" w:hAnsi="Arial"/>
                <w:szCs w:val="24"/>
              </w:rPr>
              <w:t>this</w:t>
            </w:r>
            <w:r w:rsidRPr="00687A48">
              <w:rPr>
                <w:rFonts w:ascii="Arial" w:hAnsi="Arial"/>
                <w:szCs w:val="24"/>
              </w:rPr>
              <w:t xml:space="preserve"> over </w:t>
            </w:r>
            <w:r w:rsidRPr="005B103F">
              <w:rPr>
                <w:rFonts w:ascii="Arial" w:hAnsi="Arial"/>
                <w:szCs w:val="24"/>
              </w:rPr>
              <w:t>into 20/21</w:t>
            </w:r>
            <w:r>
              <w:rPr>
                <w:rFonts w:ascii="Arial" w:hAnsi="Arial"/>
                <w:szCs w:val="24"/>
              </w:rPr>
              <w:t xml:space="preserve"> this will be fully</w:t>
            </w:r>
            <w:r w:rsidRPr="005B103F">
              <w:rPr>
                <w:rFonts w:ascii="Arial" w:hAnsi="Arial"/>
                <w:szCs w:val="24"/>
              </w:rPr>
              <w:t xml:space="preserve"> utilised </w:t>
            </w:r>
            <w:r>
              <w:rPr>
                <w:rFonts w:ascii="Arial" w:hAnsi="Arial"/>
                <w:szCs w:val="24"/>
              </w:rPr>
              <w:t>in subsequent years</w:t>
            </w:r>
            <w:r w:rsidRPr="005B103F">
              <w:rPr>
                <w:rFonts w:ascii="Arial" w:hAnsi="Arial"/>
                <w:szCs w:val="24"/>
              </w:rPr>
              <w:t>.</w:t>
            </w:r>
          </w:p>
          <w:p w:rsidR="00A83FCE" w:rsidRPr="00D15746" w:rsidRDefault="00A83FCE" w:rsidP="002450EE">
            <w:pPr>
              <w:jc w:val="both"/>
              <w:rPr>
                <w:rFonts w:ascii="Arial" w:hAnsi="Arial" w:cs="Arial"/>
                <w:sz w:val="20"/>
                <w:highlight w:val="yellow"/>
              </w:rPr>
            </w:pPr>
            <w:r>
              <w:rPr>
                <w:rFonts w:ascii="Arial" w:hAnsi="Arial"/>
                <w:szCs w:val="24"/>
              </w:rPr>
              <w:t>T</w:t>
            </w:r>
            <w:r w:rsidRPr="00687A48">
              <w:rPr>
                <w:rFonts w:ascii="Arial" w:hAnsi="Arial"/>
                <w:szCs w:val="24"/>
              </w:rPr>
              <w:t>here are no contractual or legal commitments against this at the present time</w:t>
            </w:r>
            <w:r>
              <w:rPr>
                <w:rFonts w:ascii="Arial" w:hAnsi="Arial"/>
                <w:szCs w:val="24"/>
              </w:rPr>
              <w:t>.</w:t>
            </w:r>
          </w:p>
        </w:tc>
      </w:tr>
      <w:tr w:rsidR="00A83FCE" w:rsidRPr="00D15746" w:rsidTr="002450EE">
        <w:tc>
          <w:tcPr>
            <w:tcW w:w="1526" w:type="dxa"/>
          </w:tcPr>
          <w:p w:rsidR="00A83FCE" w:rsidRPr="005B103F" w:rsidRDefault="00A83FCE" w:rsidP="002450EE">
            <w:pPr>
              <w:rPr>
                <w:rFonts w:ascii="Arial" w:hAnsi="Arial"/>
                <w:szCs w:val="24"/>
              </w:rPr>
            </w:pPr>
            <w:r w:rsidRPr="005B103F">
              <w:rPr>
                <w:rFonts w:ascii="Arial" w:hAnsi="Arial"/>
                <w:szCs w:val="24"/>
              </w:rPr>
              <w:t>Innovation Fund</w:t>
            </w:r>
          </w:p>
        </w:tc>
        <w:tc>
          <w:tcPr>
            <w:tcW w:w="1276" w:type="dxa"/>
          </w:tcPr>
          <w:p w:rsidR="00A83FCE" w:rsidRPr="005B103F" w:rsidRDefault="00A83FCE" w:rsidP="002450EE">
            <w:pPr>
              <w:jc w:val="center"/>
              <w:rPr>
                <w:rFonts w:ascii="Arial" w:hAnsi="Arial"/>
                <w:b/>
                <w:szCs w:val="24"/>
              </w:rPr>
            </w:pPr>
            <w:r w:rsidRPr="005B103F">
              <w:rPr>
                <w:rFonts w:ascii="Arial" w:hAnsi="Arial"/>
                <w:szCs w:val="24"/>
              </w:rPr>
              <w:t>0.5</w:t>
            </w:r>
          </w:p>
        </w:tc>
        <w:tc>
          <w:tcPr>
            <w:tcW w:w="1275" w:type="dxa"/>
          </w:tcPr>
          <w:p w:rsidR="00A83FCE" w:rsidRPr="005B103F" w:rsidRDefault="00A83FCE" w:rsidP="002450EE">
            <w:pPr>
              <w:jc w:val="center"/>
              <w:rPr>
                <w:rFonts w:ascii="Arial" w:hAnsi="Arial"/>
                <w:b/>
                <w:szCs w:val="24"/>
              </w:rPr>
            </w:pPr>
            <w:r>
              <w:rPr>
                <w:rFonts w:ascii="Arial" w:hAnsi="Arial"/>
                <w:szCs w:val="24"/>
              </w:rPr>
              <w:t>-</w:t>
            </w:r>
          </w:p>
        </w:tc>
        <w:tc>
          <w:tcPr>
            <w:tcW w:w="5103" w:type="dxa"/>
          </w:tcPr>
          <w:p w:rsidR="00A83FCE" w:rsidRPr="005B103F" w:rsidRDefault="00A83FCE" w:rsidP="002450EE">
            <w:pPr>
              <w:jc w:val="both"/>
              <w:rPr>
                <w:rFonts w:ascii="Arial" w:hAnsi="Arial"/>
                <w:szCs w:val="24"/>
              </w:rPr>
            </w:pPr>
            <w:r w:rsidRPr="005B103F">
              <w:rPr>
                <w:rFonts w:ascii="Arial" w:hAnsi="Arial"/>
                <w:szCs w:val="24"/>
              </w:rPr>
              <w:t>The Authority created an Innovations Fund to meet costs arising from new initiatives/developments which improve service delivery or fire fighter safety bu</w:t>
            </w:r>
            <w:r>
              <w:rPr>
                <w:rFonts w:ascii="Arial" w:hAnsi="Arial"/>
                <w:szCs w:val="24"/>
              </w:rPr>
              <w:t>t which are not included in the</w:t>
            </w:r>
            <w:r w:rsidRPr="005B103F">
              <w:rPr>
                <w:rFonts w:ascii="Arial" w:hAnsi="Arial"/>
                <w:szCs w:val="24"/>
              </w:rPr>
              <w:t xml:space="preserve"> capital programme.</w:t>
            </w:r>
          </w:p>
          <w:p w:rsidR="00A83FCE" w:rsidRDefault="00A83FCE" w:rsidP="002450EE">
            <w:pPr>
              <w:jc w:val="both"/>
              <w:rPr>
                <w:rFonts w:ascii="Arial" w:hAnsi="Arial"/>
                <w:szCs w:val="24"/>
              </w:rPr>
            </w:pPr>
            <w:r w:rsidRPr="005B103F">
              <w:rPr>
                <w:rFonts w:ascii="Arial" w:hAnsi="Arial"/>
                <w:szCs w:val="24"/>
              </w:rPr>
              <w:t xml:space="preserve">Any requests to utilise the fund require the approval of the Executive Board. </w:t>
            </w:r>
          </w:p>
          <w:p w:rsidR="00A83FCE" w:rsidRDefault="00A83FCE" w:rsidP="002450EE">
            <w:pPr>
              <w:jc w:val="both"/>
              <w:rPr>
                <w:rFonts w:ascii="Arial" w:hAnsi="Arial"/>
                <w:szCs w:val="24"/>
              </w:rPr>
            </w:pPr>
            <w:r>
              <w:rPr>
                <w:rFonts w:ascii="Arial" w:hAnsi="Arial"/>
                <w:szCs w:val="24"/>
              </w:rPr>
              <w:t xml:space="preserve">This is being used to fund the establishment of the Building Environment Assessment Team (BEAT) </w:t>
            </w:r>
            <w:r w:rsidRPr="004517F5">
              <w:rPr>
                <w:rFonts w:ascii="Arial" w:hAnsi="Arial"/>
                <w:szCs w:val="24"/>
              </w:rPr>
              <w:t xml:space="preserve">which was created following the release of the Grenfell Phase 1 report and associated recommendations, and in light of a number of significant / protracted fires wherein the building has failed or not behaved in the manner anticipated. Terms of Reference for the team are being developed which will give the service a greater understanding of the risk that exists across the building stock in Lancashire. </w:t>
            </w:r>
            <w:proofErr w:type="gramStart"/>
            <w:r w:rsidRPr="004517F5">
              <w:rPr>
                <w:rFonts w:ascii="Arial" w:hAnsi="Arial"/>
                <w:szCs w:val="24"/>
              </w:rPr>
              <w:t>Specifically</w:t>
            </w:r>
            <w:proofErr w:type="gramEnd"/>
            <w:r w:rsidRPr="004517F5">
              <w:rPr>
                <w:rFonts w:ascii="Arial" w:hAnsi="Arial"/>
                <w:szCs w:val="24"/>
              </w:rPr>
              <w:t xml:space="preserve"> in relation to the more complex built environment, that incorporates modern methods of construction, which warrants a more focussed and detailed assessment, that will subsequently enhance the operational service delivery and protection services that we offer.</w:t>
            </w:r>
          </w:p>
          <w:p w:rsidR="00A83FCE" w:rsidRDefault="00A83FCE" w:rsidP="002450EE">
            <w:pPr>
              <w:jc w:val="both"/>
              <w:rPr>
                <w:rFonts w:ascii="Arial" w:hAnsi="Arial"/>
                <w:szCs w:val="24"/>
              </w:rPr>
            </w:pPr>
            <w:r>
              <w:rPr>
                <w:rFonts w:ascii="Arial" w:hAnsi="Arial"/>
                <w:szCs w:val="24"/>
              </w:rPr>
              <w:t xml:space="preserve">In </w:t>
            </w:r>
            <w:proofErr w:type="gramStart"/>
            <w:r>
              <w:rPr>
                <w:rFonts w:ascii="Arial" w:hAnsi="Arial"/>
                <w:szCs w:val="24"/>
              </w:rPr>
              <w:t>addition</w:t>
            </w:r>
            <w:proofErr w:type="gramEnd"/>
            <w:r>
              <w:rPr>
                <w:rFonts w:ascii="Arial" w:hAnsi="Arial"/>
                <w:szCs w:val="24"/>
              </w:rPr>
              <w:t xml:space="preserve"> it is being utilised to fund the delivery of high rise training, as well as the initial purchase of escape hoods and smoke curtains, both of which are currently on trial, and, subject to the outcome of the trial, will be utilised to fund their roll out across the Service.</w:t>
            </w:r>
          </w:p>
          <w:p w:rsidR="00A83FCE" w:rsidRPr="00765220" w:rsidRDefault="00A83FCE" w:rsidP="002450EE">
            <w:pPr>
              <w:jc w:val="both"/>
              <w:rPr>
                <w:rFonts w:ascii="Arial" w:hAnsi="Arial"/>
                <w:szCs w:val="24"/>
              </w:rPr>
            </w:pPr>
            <w:r w:rsidRPr="009A54B7">
              <w:rPr>
                <w:rFonts w:ascii="Arial" w:hAnsi="Arial"/>
                <w:szCs w:val="24"/>
              </w:rPr>
              <w:t xml:space="preserve">It is anticipated that any </w:t>
            </w:r>
            <w:r>
              <w:rPr>
                <w:rFonts w:ascii="Arial" w:hAnsi="Arial"/>
                <w:szCs w:val="24"/>
              </w:rPr>
              <w:t xml:space="preserve">further </w:t>
            </w:r>
            <w:r w:rsidRPr="009A54B7">
              <w:rPr>
                <w:rFonts w:ascii="Arial" w:hAnsi="Arial"/>
                <w:szCs w:val="24"/>
              </w:rPr>
              <w:t>changes required following Grenfell could potentially be met from this reserve</w:t>
            </w:r>
            <w:r>
              <w:rPr>
                <w:rFonts w:ascii="Arial" w:hAnsi="Arial"/>
                <w:szCs w:val="24"/>
              </w:rPr>
              <w:t>.</w:t>
            </w:r>
          </w:p>
          <w:p w:rsidR="00A83FCE" w:rsidRPr="005B103F" w:rsidRDefault="00A83FCE" w:rsidP="002450EE">
            <w:pPr>
              <w:jc w:val="both"/>
              <w:rPr>
                <w:rFonts w:ascii="Arial" w:hAnsi="Arial"/>
                <w:szCs w:val="24"/>
              </w:rPr>
            </w:pPr>
            <w:r w:rsidRPr="005B103F">
              <w:rPr>
                <w:rFonts w:ascii="Arial" w:hAnsi="Arial"/>
                <w:szCs w:val="24"/>
              </w:rPr>
              <w:t>None of this reserve is contractually or legally committed at the present time.</w:t>
            </w:r>
          </w:p>
        </w:tc>
      </w:tr>
      <w:tr w:rsidR="00A83FCE" w:rsidRPr="00D15746" w:rsidTr="002450EE">
        <w:tc>
          <w:tcPr>
            <w:tcW w:w="1526" w:type="dxa"/>
          </w:tcPr>
          <w:p w:rsidR="00A83FCE" w:rsidRPr="00D15746" w:rsidRDefault="00A83FCE" w:rsidP="002450EE">
            <w:pPr>
              <w:rPr>
                <w:rFonts w:ascii="Arial" w:hAnsi="Arial"/>
                <w:szCs w:val="24"/>
                <w:highlight w:val="yellow"/>
              </w:rPr>
            </w:pPr>
          </w:p>
        </w:tc>
        <w:tc>
          <w:tcPr>
            <w:tcW w:w="1276" w:type="dxa"/>
          </w:tcPr>
          <w:p w:rsidR="00A83FCE" w:rsidRPr="005B103F" w:rsidRDefault="00A83FCE" w:rsidP="002450EE">
            <w:pPr>
              <w:jc w:val="center"/>
              <w:rPr>
                <w:rFonts w:ascii="Arial" w:hAnsi="Arial"/>
                <w:b/>
                <w:szCs w:val="24"/>
              </w:rPr>
            </w:pPr>
            <w:r w:rsidRPr="005B103F">
              <w:rPr>
                <w:rFonts w:ascii="Arial" w:hAnsi="Arial"/>
                <w:b/>
                <w:szCs w:val="24"/>
              </w:rPr>
              <w:t>7.2</w:t>
            </w:r>
          </w:p>
        </w:tc>
        <w:tc>
          <w:tcPr>
            <w:tcW w:w="1275" w:type="dxa"/>
          </w:tcPr>
          <w:p w:rsidR="00A83FCE" w:rsidRPr="005B103F" w:rsidRDefault="00A83FCE" w:rsidP="002450EE">
            <w:pPr>
              <w:jc w:val="center"/>
              <w:rPr>
                <w:rFonts w:ascii="Arial" w:hAnsi="Arial"/>
                <w:b/>
                <w:szCs w:val="24"/>
              </w:rPr>
            </w:pPr>
            <w:r w:rsidRPr="005B103F">
              <w:rPr>
                <w:rFonts w:ascii="Arial" w:hAnsi="Arial"/>
                <w:b/>
                <w:szCs w:val="24"/>
              </w:rPr>
              <w:t>5.</w:t>
            </w:r>
            <w:r>
              <w:rPr>
                <w:rFonts w:ascii="Arial" w:hAnsi="Arial"/>
                <w:b/>
                <w:szCs w:val="24"/>
              </w:rPr>
              <w:t>4</w:t>
            </w:r>
          </w:p>
        </w:tc>
        <w:tc>
          <w:tcPr>
            <w:tcW w:w="5103" w:type="dxa"/>
          </w:tcPr>
          <w:p w:rsidR="00A83FCE" w:rsidRPr="00D15746" w:rsidRDefault="00A83FCE" w:rsidP="002450EE">
            <w:pPr>
              <w:jc w:val="both"/>
              <w:rPr>
                <w:rFonts w:ascii="Arial" w:hAnsi="Arial"/>
                <w:szCs w:val="24"/>
                <w:highlight w:val="yellow"/>
              </w:rPr>
            </w:pPr>
          </w:p>
        </w:tc>
      </w:tr>
    </w:tbl>
    <w:p w:rsidR="00A83FCE" w:rsidRPr="00D15746" w:rsidRDefault="00A83FCE" w:rsidP="00A83FCE">
      <w:pPr>
        <w:jc w:val="both"/>
        <w:rPr>
          <w:rFonts w:ascii="Arial" w:hAnsi="Arial" w:cs="Arial"/>
          <w:color w:val="000000" w:themeColor="text1"/>
          <w:szCs w:val="24"/>
          <w:highlight w:val="yellow"/>
        </w:rPr>
      </w:pPr>
    </w:p>
    <w:p w:rsidR="00A83FCE" w:rsidRDefault="00A83FCE" w:rsidP="00A83FCE">
      <w:pPr>
        <w:jc w:val="both"/>
        <w:rPr>
          <w:rFonts w:ascii="Arial" w:hAnsi="Arial" w:cs="Arial"/>
          <w:color w:val="000000" w:themeColor="text1"/>
          <w:szCs w:val="24"/>
        </w:rPr>
      </w:pPr>
      <w:r>
        <w:rPr>
          <w:rFonts w:ascii="Arial" w:hAnsi="Arial" w:cs="Arial"/>
          <w:color w:val="000000" w:themeColor="text1"/>
          <w:szCs w:val="24"/>
        </w:rPr>
        <w:t>Note – As at 31 March 2019 we held £0.9m to meet the potential penalty costs associated with the repayment of the remaining PWLB loans.  Given the reducing likelihood of repaying the loans with such a large penalty, it is proposed that this balance is transferred into the Capital Funding Reserve to meet the costs of the future capital programme, referred to below.</w:t>
      </w:r>
    </w:p>
    <w:p w:rsidR="00A83FCE" w:rsidRDefault="00A83FCE" w:rsidP="00A83FCE">
      <w:pPr>
        <w:jc w:val="both"/>
        <w:rPr>
          <w:rFonts w:ascii="Arial" w:hAnsi="Arial" w:cs="Arial"/>
          <w:color w:val="000000" w:themeColor="text1"/>
          <w:szCs w:val="24"/>
        </w:rPr>
      </w:pPr>
    </w:p>
    <w:p w:rsidR="00A83FCE" w:rsidRPr="005B103F" w:rsidRDefault="00A83FCE" w:rsidP="00A83FCE">
      <w:pPr>
        <w:jc w:val="both"/>
        <w:rPr>
          <w:rFonts w:ascii="Arial" w:hAnsi="Arial" w:cs="Arial"/>
          <w:color w:val="000000" w:themeColor="text1"/>
          <w:szCs w:val="24"/>
        </w:rPr>
      </w:pPr>
      <w:r w:rsidRPr="005B103F">
        <w:rPr>
          <w:rFonts w:ascii="Arial" w:hAnsi="Arial" w:cs="Arial"/>
          <w:color w:val="000000" w:themeColor="text1"/>
          <w:szCs w:val="24"/>
        </w:rPr>
        <w:t>It is worth noting that of the anticipated balance of £5.</w:t>
      </w:r>
      <w:r>
        <w:rPr>
          <w:rFonts w:ascii="Arial" w:hAnsi="Arial" w:cs="Arial"/>
          <w:color w:val="000000" w:themeColor="text1"/>
          <w:szCs w:val="24"/>
        </w:rPr>
        <w:t>4</w:t>
      </w:r>
      <w:r w:rsidRPr="005B103F">
        <w:rPr>
          <w:rFonts w:ascii="Arial" w:hAnsi="Arial" w:cs="Arial"/>
          <w:color w:val="000000" w:themeColor="text1"/>
          <w:szCs w:val="24"/>
        </w:rPr>
        <w:t>m at 31 March 202</w:t>
      </w:r>
      <w:r>
        <w:rPr>
          <w:rFonts w:ascii="Arial" w:hAnsi="Arial" w:cs="Arial"/>
          <w:color w:val="000000" w:themeColor="text1"/>
          <w:szCs w:val="24"/>
        </w:rPr>
        <w:t>5</w:t>
      </w:r>
      <w:r w:rsidRPr="005B103F">
        <w:rPr>
          <w:rFonts w:ascii="Arial" w:hAnsi="Arial" w:cs="Arial"/>
          <w:color w:val="000000" w:themeColor="text1"/>
          <w:szCs w:val="24"/>
        </w:rPr>
        <w:t xml:space="preserve">, </w:t>
      </w:r>
      <w:r>
        <w:rPr>
          <w:rFonts w:ascii="Arial" w:hAnsi="Arial" w:cs="Arial"/>
          <w:color w:val="000000" w:themeColor="text1"/>
          <w:szCs w:val="24"/>
        </w:rPr>
        <w:t>almost £4m</w:t>
      </w:r>
      <w:r w:rsidRPr="005B103F">
        <w:rPr>
          <w:rFonts w:ascii="Arial" w:hAnsi="Arial" w:cs="Arial"/>
          <w:color w:val="000000" w:themeColor="text1"/>
          <w:szCs w:val="24"/>
        </w:rPr>
        <w:t xml:space="preserve"> of this relates to the PFI reserve.</w:t>
      </w:r>
    </w:p>
    <w:p w:rsidR="00A83FCE" w:rsidRPr="005B103F" w:rsidRDefault="00A83FCE" w:rsidP="00A83FCE">
      <w:pPr>
        <w:jc w:val="both"/>
        <w:rPr>
          <w:rFonts w:ascii="Arial" w:hAnsi="Arial" w:cs="Arial"/>
          <w:color w:val="000000" w:themeColor="text1"/>
          <w:szCs w:val="24"/>
        </w:rPr>
      </w:pPr>
    </w:p>
    <w:p w:rsidR="00A83FCE" w:rsidRPr="005B103F" w:rsidRDefault="00A83FCE" w:rsidP="00A83FCE">
      <w:pPr>
        <w:jc w:val="both"/>
        <w:rPr>
          <w:rFonts w:ascii="Arial" w:hAnsi="Arial" w:cs="Arial"/>
          <w:szCs w:val="24"/>
        </w:rPr>
      </w:pPr>
      <w:r w:rsidRPr="005B103F">
        <w:rPr>
          <w:rFonts w:ascii="Arial" w:hAnsi="Arial" w:cs="Arial"/>
          <w:color w:val="000000" w:themeColor="text1"/>
          <w:szCs w:val="24"/>
        </w:rPr>
        <w:t>Based on this the</w:t>
      </w:r>
      <w:r w:rsidRPr="005B103F">
        <w:rPr>
          <w:rFonts w:ascii="Arial" w:hAnsi="Arial" w:cs="Arial"/>
          <w:szCs w:val="24"/>
        </w:rPr>
        <w:t xml:space="preserve"> Treasurer believes these are adequate to meet future requirements in the medium term.</w:t>
      </w:r>
    </w:p>
    <w:p w:rsidR="00A83FCE" w:rsidRDefault="00A83FCE" w:rsidP="00A83FCE">
      <w:pPr>
        <w:jc w:val="both"/>
        <w:rPr>
          <w:rFonts w:ascii="Arial" w:hAnsi="Arial" w:cs="Arial"/>
          <w:b/>
          <w:color w:val="000000" w:themeColor="text1"/>
          <w:szCs w:val="24"/>
        </w:rPr>
      </w:pPr>
    </w:p>
    <w:p w:rsidR="00A83FCE" w:rsidRPr="005B103F" w:rsidRDefault="00A83FCE" w:rsidP="00A83FCE">
      <w:pPr>
        <w:jc w:val="both"/>
        <w:rPr>
          <w:rFonts w:ascii="Arial" w:hAnsi="Arial" w:cs="Arial"/>
          <w:b/>
          <w:color w:val="000000" w:themeColor="text1"/>
          <w:szCs w:val="24"/>
        </w:rPr>
      </w:pPr>
      <w:r w:rsidRPr="005B103F">
        <w:rPr>
          <w:rFonts w:ascii="Arial" w:hAnsi="Arial" w:cs="Arial"/>
          <w:b/>
          <w:color w:val="000000" w:themeColor="text1"/>
          <w:szCs w:val="24"/>
        </w:rPr>
        <w:t>Capital Reserves and Receipts</w:t>
      </w:r>
    </w:p>
    <w:p w:rsidR="00A83FCE" w:rsidRPr="005A2558" w:rsidRDefault="00A83FCE" w:rsidP="00A83FCE">
      <w:pPr>
        <w:pStyle w:val="BodyText3"/>
        <w:jc w:val="both"/>
        <w:rPr>
          <w:rFonts w:ascii="Arial" w:hAnsi="Arial" w:cs="Arial"/>
          <w:color w:val="000000" w:themeColor="text1"/>
          <w:sz w:val="24"/>
          <w:szCs w:val="24"/>
        </w:rPr>
      </w:pPr>
    </w:p>
    <w:p w:rsidR="00A83FCE" w:rsidRPr="005A2558" w:rsidRDefault="00A83FCE" w:rsidP="00A83FCE">
      <w:pPr>
        <w:jc w:val="both"/>
        <w:rPr>
          <w:rFonts w:ascii="Arial" w:hAnsi="Arial" w:cs="Arial"/>
          <w:color w:val="000000" w:themeColor="text1"/>
          <w:szCs w:val="24"/>
        </w:rPr>
      </w:pPr>
      <w:r w:rsidRPr="005A2558">
        <w:rPr>
          <w:rFonts w:ascii="Arial" w:hAnsi="Arial" w:cs="Arial"/>
          <w:color w:val="000000" w:themeColor="text1"/>
          <w:szCs w:val="24"/>
        </w:rPr>
        <w:t>Capital Reserves have been created from under spends on the revenue budget in order to provide additional funding to support the capital programme in future years; as such they cannot be used to offset any deficit on the revenue budget, without having a significant impact on the capital programme that the Authority can support.</w:t>
      </w:r>
    </w:p>
    <w:p w:rsidR="00A83FCE" w:rsidRPr="005A2558" w:rsidRDefault="00A83FCE" w:rsidP="00A83FCE">
      <w:pPr>
        <w:jc w:val="both"/>
        <w:rPr>
          <w:rFonts w:ascii="Arial" w:hAnsi="Arial" w:cs="Arial"/>
          <w:color w:val="000000" w:themeColor="text1"/>
          <w:szCs w:val="24"/>
        </w:rPr>
      </w:pPr>
    </w:p>
    <w:p w:rsidR="00A83FCE" w:rsidRPr="005A2558" w:rsidRDefault="00A83FCE" w:rsidP="00A83FCE">
      <w:pPr>
        <w:jc w:val="both"/>
        <w:rPr>
          <w:rFonts w:ascii="Arial" w:hAnsi="Arial" w:cs="Arial"/>
          <w:color w:val="000000" w:themeColor="text1"/>
          <w:szCs w:val="24"/>
        </w:rPr>
      </w:pPr>
      <w:r w:rsidRPr="005A2558">
        <w:rPr>
          <w:rFonts w:ascii="Arial" w:hAnsi="Arial" w:cs="Arial"/>
          <w:color w:val="000000" w:themeColor="text1"/>
          <w:szCs w:val="24"/>
        </w:rPr>
        <w:t>Capital Receipts are generated from the sale of surplus assets, which have not yet been utilised to fund the capital programme. Under revised regulations receipts generated between April 2016 and March 2020 can be used to meet qualifying revenue costs, i.e. set up and implementation costs of projects/schemes which are forecast to generate on-going savings. The on-going costs of such projects/schemes do not qualify. Whilst the Authority currently holds £1.6m of capital receipts only £</w:t>
      </w:r>
      <w:r>
        <w:rPr>
          <w:rFonts w:ascii="Arial" w:hAnsi="Arial" w:cs="Arial"/>
          <w:color w:val="000000" w:themeColor="text1"/>
          <w:szCs w:val="24"/>
        </w:rPr>
        <w:t>0.2m</w:t>
      </w:r>
      <w:r w:rsidRPr="005A2558">
        <w:rPr>
          <w:rFonts w:ascii="Arial" w:hAnsi="Arial" w:cs="Arial"/>
          <w:color w:val="000000" w:themeColor="text1"/>
          <w:szCs w:val="24"/>
        </w:rPr>
        <w:t xml:space="preserve"> of this arose in the relevant time period. Given the small amount eligible we do not currently have any plans to use this in line with new regulations and hence for the purpose of planning all capital receipts will be used to meet future capital costs, not qualifying revenue expenditure.  </w:t>
      </w:r>
    </w:p>
    <w:p w:rsidR="00A83FCE" w:rsidRPr="00D15746" w:rsidRDefault="00A83FCE" w:rsidP="00A83FCE">
      <w:pPr>
        <w:jc w:val="both"/>
        <w:rPr>
          <w:rFonts w:ascii="Arial" w:hAnsi="Arial" w:cs="Arial"/>
          <w:color w:val="000000" w:themeColor="text1"/>
          <w:szCs w:val="24"/>
          <w:highlight w:val="yellow"/>
        </w:rPr>
      </w:pPr>
    </w:p>
    <w:p w:rsidR="00A83FCE" w:rsidRPr="005A2558" w:rsidRDefault="00A83FCE" w:rsidP="00A83FCE">
      <w:pPr>
        <w:rPr>
          <w:rFonts w:ascii="Arial" w:hAnsi="Arial" w:cs="Arial"/>
          <w:color w:val="000000" w:themeColor="text1"/>
          <w:szCs w:val="24"/>
        </w:rPr>
      </w:pPr>
      <w:r w:rsidRPr="005A2558">
        <w:rPr>
          <w:rFonts w:ascii="Arial" w:hAnsi="Arial" w:cs="Arial"/>
          <w:color w:val="000000" w:themeColor="text1"/>
          <w:szCs w:val="24"/>
        </w:rPr>
        <w:t>The following table sets out the purpose of this reserve, how it is utilised, controlled and reviewed.</w:t>
      </w:r>
    </w:p>
    <w:p w:rsidR="00A83FCE" w:rsidRPr="005A2558" w:rsidRDefault="00A83FCE" w:rsidP="00A83FCE">
      <w:pPr>
        <w:ind w:left="1080"/>
        <w:jc w:val="both"/>
        <w:rPr>
          <w:rFonts w:ascii="Arial" w:hAnsi="Arial" w:cs="Arial"/>
          <w:b/>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796"/>
      </w:tblGrid>
      <w:tr w:rsidR="00A83FCE" w:rsidRPr="005A2558" w:rsidTr="002450EE">
        <w:tc>
          <w:tcPr>
            <w:tcW w:w="1276" w:type="dxa"/>
          </w:tcPr>
          <w:p w:rsidR="00A83FCE" w:rsidRPr="005A2558" w:rsidRDefault="00A83FCE" w:rsidP="002450EE">
            <w:pPr>
              <w:pStyle w:val="BodyText"/>
              <w:spacing w:before="120" w:after="120"/>
              <w:jc w:val="center"/>
              <w:rPr>
                <w:rFonts w:ascii="Arial" w:hAnsi="Arial" w:cs="Arial"/>
                <w:color w:val="000000" w:themeColor="text1"/>
                <w:szCs w:val="24"/>
                <w:u w:val="none"/>
              </w:rPr>
            </w:pPr>
            <w:r w:rsidRPr="005A2558">
              <w:rPr>
                <w:rFonts w:ascii="Arial" w:hAnsi="Arial" w:cs="Arial"/>
                <w:color w:val="000000" w:themeColor="text1"/>
                <w:szCs w:val="24"/>
                <w:u w:val="none"/>
              </w:rPr>
              <w:t>Name</w:t>
            </w:r>
          </w:p>
        </w:tc>
        <w:tc>
          <w:tcPr>
            <w:tcW w:w="7796" w:type="dxa"/>
          </w:tcPr>
          <w:p w:rsidR="00A83FCE" w:rsidRPr="005A2558" w:rsidRDefault="00A83FCE" w:rsidP="002450EE">
            <w:pPr>
              <w:pStyle w:val="BodyText"/>
              <w:spacing w:before="120" w:after="120"/>
              <w:jc w:val="center"/>
              <w:rPr>
                <w:rFonts w:ascii="Arial" w:hAnsi="Arial" w:cs="Arial"/>
                <w:color w:val="000000" w:themeColor="text1"/>
                <w:szCs w:val="24"/>
                <w:u w:val="none"/>
              </w:rPr>
            </w:pPr>
            <w:r w:rsidRPr="005A2558">
              <w:rPr>
                <w:rFonts w:ascii="Arial" w:hAnsi="Arial" w:cs="Arial"/>
                <w:color w:val="000000" w:themeColor="text1"/>
                <w:szCs w:val="24"/>
                <w:u w:val="none"/>
              </w:rPr>
              <w:t>Capital reserves and receipts</w:t>
            </w:r>
          </w:p>
        </w:tc>
      </w:tr>
      <w:tr w:rsidR="00A83FCE" w:rsidRPr="005A2558" w:rsidTr="002450EE">
        <w:tc>
          <w:tcPr>
            <w:tcW w:w="1276"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Purpose</w:t>
            </w:r>
          </w:p>
        </w:tc>
        <w:tc>
          <w:tcPr>
            <w:tcW w:w="7796"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This covers monies set aside to fund the future capital programme.</w:t>
            </w:r>
          </w:p>
        </w:tc>
      </w:tr>
      <w:tr w:rsidR="00A83FCE" w:rsidRPr="005A2558" w:rsidTr="002450EE">
        <w:tc>
          <w:tcPr>
            <w:tcW w:w="1276"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Utilisation</w:t>
            </w:r>
          </w:p>
        </w:tc>
        <w:tc>
          <w:tcPr>
            <w:tcW w:w="7796"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 xml:space="preserve">Once set up these reserves can only be used to fund capital expenditure </w:t>
            </w:r>
          </w:p>
        </w:tc>
      </w:tr>
      <w:tr w:rsidR="00A83FCE" w:rsidRPr="005A2558" w:rsidTr="002450EE">
        <w:tc>
          <w:tcPr>
            <w:tcW w:w="1276"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Controls</w:t>
            </w:r>
          </w:p>
        </w:tc>
        <w:tc>
          <w:tcPr>
            <w:tcW w:w="7796"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The proposed utilisation of these is reported to the Authority as part of the capital programme setting and monitoring arrangements.</w:t>
            </w:r>
          </w:p>
        </w:tc>
      </w:tr>
      <w:tr w:rsidR="00A83FCE" w:rsidRPr="005A2558" w:rsidTr="002450EE">
        <w:tc>
          <w:tcPr>
            <w:tcW w:w="1276"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Review</w:t>
            </w:r>
          </w:p>
        </w:tc>
        <w:tc>
          <w:tcPr>
            <w:tcW w:w="7796"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These are reviewed on an annual basis as part of the year end outturn, reported to Resources Committee and as part of the capital budget setting report to the Authority.</w:t>
            </w:r>
          </w:p>
        </w:tc>
      </w:tr>
    </w:tbl>
    <w:p w:rsidR="00A83FCE" w:rsidRPr="00D15746" w:rsidRDefault="00A83FCE" w:rsidP="00A83FCE">
      <w:pPr>
        <w:pStyle w:val="BodyText3"/>
        <w:jc w:val="both"/>
        <w:rPr>
          <w:rFonts w:ascii="Arial" w:hAnsi="Arial" w:cs="Arial"/>
          <w:b/>
          <w:color w:val="000000" w:themeColor="text1"/>
          <w:sz w:val="24"/>
          <w:szCs w:val="24"/>
          <w:highlight w:val="yellow"/>
        </w:rPr>
      </w:pPr>
    </w:p>
    <w:p w:rsidR="00A83FCE" w:rsidRPr="002C7842" w:rsidRDefault="00A83FCE" w:rsidP="00A83FCE">
      <w:pPr>
        <w:pStyle w:val="BodyText3"/>
        <w:jc w:val="both"/>
        <w:rPr>
          <w:rFonts w:ascii="Arial" w:hAnsi="Arial" w:cs="Arial"/>
          <w:color w:val="000000" w:themeColor="text1"/>
          <w:sz w:val="24"/>
          <w:szCs w:val="24"/>
        </w:rPr>
      </w:pPr>
      <w:r w:rsidRPr="005A2558">
        <w:rPr>
          <w:rFonts w:ascii="Arial" w:hAnsi="Arial" w:cs="Arial"/>
          <w:color w:val="000000" w:themeColor="text1"/>
          <w:sz w:val="24"/>
          <w:szCs w:val="24"/>
        </w:rPr>
        <w:t>At 31 March 2020 the Authority anticipates holding £18.</w:t>
      </w:r>
      <w:r>
        <w:rPr>
          <w:rFonts w:ascii="Arial" w:hAnsi="Arial" w:cs="Arial"/>
          <w:color w:val="000000" w:themeColor="text1"/>
          <w:sz w:val="24"/>
          <w:szCs w:val="24"/>
        </w:rPr>
        <w:t>7</w:t>
      </w:r>
      <w:r w:rsidRPr="005A2558">
        <w:rPr>
          <w:rFonts w:ascii="Arial" w:hAnsi="Arial" w:cs="Arial"/>
          <w:color w:val="000000" w:themeColor="text1"/>
          <w:sz w:val="24"/>
          <w:szCs w:val="24"/>
        </w:rPr>
        <w:t xml:space="preserve">m of capital reserves and receipts. Based on the capital programme presented elsewhere </w:t>
      </w:r>
      <w:r w:rsidRPr="00DF5E98">
        <w:rPr>
          <w:rFonts w:ascii="Arial" w:hAnsi="Arial" w:cs="Arial"/>
          <w:color w:val="000000" w:themeColor="text1"/>
          <w:sz w:val="24"/>
          <w:szCs w:val="24"/>
        </w:rPr>
        <w:t>on this agenda we anticipate fully utilising these by 31 March 2025. Of the total reserve £</w:t>
      </w:r>
      <w:r w:rsidRPr="004517F5">
        <w:rPr>
          <w:rFonts w:ascii="Arial" w:hAnsi="Arial" w:cs="Arial"/>
          <w:color w:val="000000" w:themeColor="text1"/>
          <w:sz w:val="24"/>
          <w:szCs w:val="24"/>
        </w:rPr>
        <w:t>0.6</w:t>
      </w:r>
      <w:r w:rsidRPr="00DF5E98">
        <w:rPr>
          <w:rFonts w:ascii="Arial" w:hAnsi="Arial" w:cs="Arial"/>
          <w:color w:val="000000" w:themeColor="text1"/>
          <w:sz w:val="24"/>
          <w:szCs w:val="24"/>
        </w:rPr>
        <w:t>m is contractually committed.</w:t>
      </w:r>
    </w:p>
    <w:p w:rsidR="00A83FCE" w:rsidRPr="005A2558" w:rsidRDefault="00A83FCE" w:rsidP="00A83FCE">
      <w:pPr>
        <w:jc w:val="both"/>
        <w:rPr>
          <w:rFonts w:ascii="Arial" w:hAnsi="Arial" w:cs="Arial"/>
          <w:color w:val="000000" w:themeColor="text1"/>
          <w:szCs w:val="24"/>
        </w:rPr>
      </w:pPr>
    </w:p>
    <w:p w:rsidR="00A83FCE" w:rsidRPr="005A2558" w:rsidRDefault="00A83FCE" w:rsidP="00A83FCE">
      <w:pPr>
        <w:jc w:val="both"/>
        <w:rPr>
          <w:rFonts w:ascii="Arial" w:hAnsi="Arial" w:cs="Arial"/>
          <w:szCs w:val="24"/>
        </w:rPr>
      </w:pPr>
      <w:r w:rsidRPr="005A2558">
        <w:rPr>
          <w:rFonts w:ascii="Arial" w:hAnsi="Arial" w:cs="Arial"/>
          <w:color w:val="000000" w:themeColor="text1"/>
          <w:szCs w:val="24"/>
        </w:rPr>
        <w:t xml:space="preserve">Based on this the </w:t>
      </w:r>
      <w:r w:rsidRPr="005A2558">
        <w:rPr>
          <w:rFonts w:ascii="Arial" w:hAnsi="Arial" w:cs="Arial"/>
          <w:szCs w:val="24"/>
        </w:rPr>
        <w:t>Treasurer believes these are adequate to meet future requirements in the medium term.</w:t>
      </w:r>
    </w:p>
    <w:p w:rsidR="00A83FCE" w:rsidRPr="005A2558" w:rsidRDefault="00A83FCE" w:rsidP="00A83FCE">
      <w:pPr>
        <w:pStyle w:val="BodyText3"/>
        <w:jc w:val="both"/>
        <w:rPr>
          <w:rFonts w:ascii="Arial" w:hAnsi="Arial" w:cs="Arial"/>
          <w:color w:val="000000" w:themeColor="text1"/>
          <w:sz w:val="24"/>
          <w:szCs w:val="24"/>
        </w:rPr>
      </w:pPr>
    </w:p>
    <w:p w:rsidR="00A83FCE" w:rsidRPr="005A2558" w:rsidRDefault="00A83FCE" w:rsidP="00A83FCE">
      <w:pPr>
        <w:jc w:val="both"/>
        <w:rPr>
          <w:rFonts w:ascii="Arial" w:hAnsi="Arial" w:cs="Arial"/>
          <w:b/>
          <w:color w:val="000000" w:themeColor="text1"/>
          <w:szCs w:val="24"/>
        </w:rPr>
      </w:pPr>
      <w:r w:rsidRPr="005A2558">
        <w:rPr>
          <w:rFonts w:ascii="Arial" w:hAnsi="Arial" w:cs="Arial"/>
          <w:b/>
          <w:color w:val="000000" w:themeColor="text1"/>
          <w:szCs w:val="24"/>
        </w:rPr>
        <w:t>Provisions</w:t>
      </w:r>
    </w:p>
    <w:p w:rsidR="00A83FCE" w:rsidRPr="005A2558" w:rsidRDefault="00A83FCE" w:rsidP="00A83FCE">
      <w:pPr>
        <w:pStyle w:val="BodyText3"/>
        <w:jc w:val="both"/>
        <w:rPr>
          <w:rFonts w:ascii="Arial" w:hAnsi="Arial" w:cs="Arial"/>
          <w:color w:val="000000" w:themeColor="text1"/>
          <w:sz w:val="24"/>
          <w:szCs w:val="24"/>
        </w:rPr>
      </w:pPr>
    </w:p>
    <w:p w:rsidR="00A83FCE" w:rsidRPr="005A2558" w:rsidRDefault="00A83FCE" w:rsidP="00A83FCE">
      <w:pPr>
        <w:pStyle w:val="BodyText3"/>
        <w:jc w:val="both"/>
        <w:rPr>
          <w:rFonts w:ascii="Arial" w:hAnsi="Arial" w:cs="Arial"/>
          <w:color w:val="000000" w:themeColor="text1"/>
          <w:sz w:val="24"/>
          <w:szCs w:val="24"/>
        </w:rPr>
      </w:pPr>
      <w:r w:rsidRPr="005A2558">
        <w:rPr>
          <w:rFonts w:ascii="Arial" w:hAnsi="Arial" w:cs="Arial"/>
          <w:color w:val="000000" w:themeColor="text1"/>
          <w:sz w:val="24"/>
          <w:szCs w:val="24"/>
        </w:rPr>
        <w:t xml:space="preserve">The Authority has two provisions to meet future estimated </w:t>
      </w:r>
      <w:proofErr w:type="gramStart"/>
      <w:r w:rsidRPr="005A2558">
        <w:rPr>
          <w:rFonts w:ascii="Arial" w:hAnsi="Arial" w:cs="Arial"/>
          <w:color w:val="000000" w:themeColor="text1"/>
          <w:sz w:val="24"/>
          <w:szCs w:val="24"/>
        </w:rPr>
        <w:t>liabilities:-</w:t>
      </w:r>
      <w:proofErr w:type="gramEnd"/>
    </w:p>
    <w:p w:rsidR="00A83FCE" w:rsidRPr="005A2558" w:rsidRDefault="00A83FCE" w:rsidP="00A83FCE">
      <w:pPr>
        <w:pStyle w:val="BodyText3"/>
        <w:jc w:val="both"/>
        <w:rPr>
          <w:rFonts w:ascii="Arial" w:hAnsi="Arial" w:cs="Arial"/>
          <w:color w:val="000000" w:themeColor="text1"/>
          <w:sz w:val="24"/>
          <w:szCs w:val="24"/>
        </w:rPr>
      </w:pPr>
    </w:p>
    <w:p w:rsidR="00A83FCE" w:rsidRPr="005A2558" w:rsidRDefault="00A83FCE" w:rsidP="00A83FCE">
      <w:pPr>
        <w:pStyle w:val="BodyText3"/>
        <w:jc w:val="both"/>
        <w:rPr>
          <w:rFonts w:ascii="Arial" w:hAnsi="Arial" w:cs="Arial"/>
          <w:color w:val="000000" w:themeColor="text1"/>
          <w:sz w:val="24"/>
          <w:szCs w:val="24"/>
          <w:u w:val="single"/>
        </w:rPr>
      </w:pPr>
      <w:r w:rsidRPr="005A2558">
        <w:rPr>
          <w:rFonts w:ascii="Arial" w:hAnsi="Arial" w:cs="Arial"/>
          <w:color w:val="000000" w:themeColor="text1"/>
          <w:sz w:val="24"/>
          <w:szCs w:val="24"/>
          <w:u w:val="single"/>
        </w:rPr>
        <w:t>Insurance Provision</w:t>
      </w:r>
    </w:p>
    <w:p w:rsidR="00A83FCE" w:rsidRPr="005A2558" w:rsidRDefault="00A83FCE" w:rsidP="00A83FCE">
      <w:pPr>
        <w:pStyle w:val="BodyText3"/>
        <w:jc w:val="both"/>
        <w:rPr>
          <w:rFonts w:ascii="Arial" w:hAnsi="Arial" w:cs="Arial"/>
          <w:color w:val="000000" w:themeColor="text1"/>
          <w:sz w:val="24"/>
          <w:szCs w:val="24"/>
        </w:rPr>
      </w:pPr>
      <w:r w:rsidRPr="005A2558">
        <w:rPr>
          <w:rFonts w:ascii="Arial" w:hAnsi="Arial" w:cs="Arial"/>
          <w:color w:val="000000" w:themeColor="text1"/>
          <w:sz w:val="24"/>
          <w:szCs w:val="24"/>
        </w:rPr>
        <w:t>This covers potential liabilities associated with outstanding insurance claims. Any claims for which we have been notified and where we are at fault will result in a legal commitment, however as the extent of these cannot be accurately assessed at the present time this provision is created to meet any element of cost for which we are liable, i.e. which are not reimbursable from insurers as they fall below individual excess clauses and the annual self-insured limits. This provision fully covers all estimated costs associated with outstanding claims.</w:t>
      </w:r>
    </w:p>
    <w:p w:rsidR="00A83FCE" w:rsidRPr="005A2558" w:rsidRDefault="00A83FCE" w:rsidP="00A83FCE">
      <w:pPr>
        <w:pStyle w:val="BodyText3"/>
        <w:jc w:val="both"/>
        <w:rPr>
          <w:rFonts w:ascii="Arial" w:hAnsi="Arial" w:cs="Arial"/>
          <w:color w:val="000000" w:themeColor="text1"/>
          <w:sz w:val="24"/>
          <w:szCs w:val="24"/>
        </w:rPr>
      </w:pPr>
    </w:p>
    <w:p w:rsidR="00A83FCE" w:rsidRPr="00D15746" w:rsidRDefault="00A83FCE" w:rsidP="00A83FCE">
      <w:pPr>
        <w:pStyle w:val="BodyText3"/>
        <w:jc w:val="both"/>
        <w:rPr>
          <w:rFonts w:ascii="Arial" w:hAnsi="Arial" w:cs="Arial"/>
          <w:color w:val="000000" w:themeColor="text1"/>
          <w:sz w:val="24"/>
          <w:szCs w:val="24"/>
          <w:highlight w:val="yellow"/>
        </w:rPr>
      </w:pPr>
      <w:r w:rsidRPr="005A2558">
        <w:rPr>
          <w:rFonts w:ascii="Arial" w:hAnsi="Arial" w:cs="Arial"/>
          <w:color w:val="000000" w:themeColor="text1"/>
          <w:sz w:val="24"/>
          <w:szCs w:val="24"/>
        </w:rPr>
        <w:t>The following table sets out the purpose of this provision, how it is utilised, controlled and reviewed.</w:t>
      </w:r>
    </w:p>
    <w:p w:rsidR="00A83FCE" w:rsidRPr="00D15746" w:rsidRDefault="00A83FCE" w:rsidP="00A83FCE">
      <w:pPr>
        <w:ind w:left="1080"/>
        <w:jc w:val="both"/>
        <w:rPr>
          <w:rFonts w:ascii="Arial" w:hAnsi="Arial" w:cs="Arial"/>
          <w:color w:val="000000" w:themeColor="text1"/>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A83FCE" w:rsidRPr="00D15746" w:rsidTr="002450EE">
        <w:tc>
          <w:tcPr>
            <w:tcW w:w="1418" w:type="dxa"/>
          </w:tcPr>
          <w:p w:rsidR="00A83FCE" w:rsidRPr="005A2558" w:rsidRDefault="00A83FCE" w:rsidP="002450EE">
            <w:pPr>
              <w:pStyle w:val="BodyText"/>
              <w:spacing w:before="120" w:after="120"/>
              <w:jc w:val="center"/>
              <w:rPr>
                <w:rFonts w:ascii="Arial" w:hAnsi="Arial" w:cs="Arial"/>
                <w:color w:val="000000" w:themeColor="text1"/>
                <w:szCs w:val="24"/>
                <w:u w:val="none"/>
              </w:rPr>
            </w:pPr>
            <w:r w:rsidRPr="005A2558">
              <w:rPr>
                <w:rFonts w:ascii="Arial" w:hAnsi="Arial" w:cs="Arial"/>
                <w:color w:val="000000" w:themeColor="text1"/>
                <w:szCs w:val="24"/>
                <w:u w:val="none"/>
              </w:rPr>
              <w:t>Name</w:t>
            </w:r>
          </w:p>
        </w:tc>
        <w:tc>
          <w:tcPr>
            <w:tcW w:w="7654" w:type="dxa"/>
          </w:tcPr>
          <w:p w:rsidR="00A83FCE" w:rsidRPr="005A2558" w:rsidRDefault="00A83FCE" w:rsidP="002450EE">
            <w:pPr>
              <w:pStyle w:val="BodyText"/>
              <w:spacing w:before="120" w:after="120"/>
              <w:jc w:val="center"/>
              <w:rPr>
                <w:rFonts w:ascii="Arial" w:hAnsi="Arial" w:cs="Arial"/>
                <w:color w:val="000000" w:themeColor="text1"/>
                <w:szCs w:val="24"/>
                <w:u w:val="none"/>
              </w:rPr>
            </w:pPr>
            <w:r w:rsidRPr="005A2558">
              <w:rPr>
                <w:rFonts w:ascii="Arial" w:hAnsi="Arial" w:cs="Arial"/>
                <w:color w:val="000000" w:themeColor="text1"/>
                <w:szCs w:val="24"/>
                <w:u w:val="none"/>
              </w:rPr>
              <w:t>Insurance Provision</w:t>
            </w:r>
          </w:p>
        </w:tc>
      </w:tr>
      <w:tr w:rsidR="00A83FCE" w:rsidRPr="00D15746" w:rsidTr="002450EE">
        <w:tc>
          <w:tcPr>
            <w:tcW w:w="1418"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Purpose</w:t>
            </w:r>
          </w:p>
        </w:tc>
        <w:tc>
          <w:tcPr>
            <w:tcW w:w="7654"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This covers monies set aside to meet future insurance claims.</w:t>
            </w:r>
          </w:p>
        </w:tc>
      </w:tr>
      <w:tr w:rsidR="00A83FCE" w:rsidRPr="00D15746" w:rsidTr="002450EE">
        <w:tc>
          <w:tcPr>
            <w:tcW w:w="1418"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Utilisation</w:t>
            </w:r>
          </w:p>
        </w:tc>
        <w:tc>
          <w:tcPr>
            <w:tcW w:w="7654"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Once set up the provision can only be utilised to meet insurance claims.</w:t>
            </w:r>
          </w:p>
        </w:tc>
      </w:tr>
      <w:tr w:rsidR="00A83FCE" w:rsidRPr="00D15746" w:rsidTr="002450EE">
        <w:tc>
          <w:tcPr>
            <w:tcW w:w="1418"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Controls</w:t>
            </w:r>
          </w:p>
        </w:tc>
        <w:tc>
          <w:tcPr>
            <w:tcW w:w="7654"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The utilisation of these are reported on an annual basis as part of the year end outturn report presented to Resources Committee.</w:t>
            </w:r>
          </w:p>
        </w:tc>
      </w:tr>
      <w:tr w:rsidR="00A83FCE" w:rsidRPr="00D15746" w:rsidTr="002450EE">
        <w:tc>
          <w:tcPr>
            <w:tcW w:w="1418"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Review</w:t>
            </w:r>
          </w:p>
        </w:tc>
        <w:tc>
          <w:tcPr>
            <w:tcW w:w="7654"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 xml:space="preserve">The level of the provision is reviewed annually based on existing and anticipated outstanding insurance </w:t>
            </w:r>
            <w:proofErr w:type="gramStart"/>
            <w:r w:rsidRPr="005A2558">
              <w:rPr>
                <w:rFonts w:ascii="Arial" w:hAnsi="Arial" w:cs="Arial"/>
                <w:b w:val="0"/>
                <w:color w:val="000000" w:themeColor="text1"/>
                <w:szCs w:val="24"/>
                <w:u w:val="none"/>
              </w:rPr>
              <w:t>claims  to</w:t>
            </w:r>
            <w:proofErr w:type="gramEnd"/>
            <w:r w:rsidRPr="005A2558">
              <w:rPr>
                <w:rFonts w:ascii="Arial" w:hAnsi="Arial" w:cs="Arial"/>
                <w:b w:val="0"/>
                <w:color w:val="000000" w:themeColor="text1"/>
                <w:szCs w:val="24"/>
                <w:u w:val="none"/>
              </w:rPr>
              <w:t xml:space="preserve"> ensure these are reasonable and remain relevant.</w:t>
            </w:r>
          </w:p>
        </w:tc>
      </w:tr>
    </w:tbl>
    <w:p w:rsidR="00A83FCE" w:rsidRPr="00D15746" w:rsidRDefault="00A83FCE" w:rsidP="00A83FCE">
      <w:pPr>
        <w:ind w:left="1080"/>
        <w:jc w:val="both"/>
        <w:rPr>
          <w:rFonts w:ascii="Arial" w:hAnsi="Arial" w:cs="Arial"/>
          <w:color w:val="000000" w:themeColor="text1"/>
          <w:szCs w:val="24"/>
          <w:highlight w:val="yellow"/>
        </w:rPr>
      </w:pPr>
    </w:p>
    <w:p w:rsidR="00A83FCE" w:rsidRPr="005A2558" w:rsidRDefault="00A83FCE" w:rsidP="00A83FCE">
      <w:pPr>
        <w:pStyle w:val="BodyText3"/>
        <w:jc w:val="both"/>
        <w:rPr>
          <w:rFonts w:ascii="Arial" w:hAnsi="Arial" w:cs="Arial"/>
          <w:color w:val="000000" w:themeColor="text1"/>
          <w:sz w:val="24"/>
          <w:szCs w:val="24"/>
        </w:rPr>
      </w:pPr>
      <w:r w:rsidRPr="005A2558">
        <w:rPr>
          <w:rFonts w:ascii="Arial" w:hAnsi="Arial" w:cs="Arial"/>
          <w:color w:val="000000" w:themeColor="text1"/>
          <w:sz w:val="24"/>
          <w:szCs w:val="24"/>
        </w:rPr>
        <w:t xml:space="preserve">This provision stood at £0.5m at 31 March 2019. Given the uncertainty in terms of future insurance claims we have assumed that the provision will be maintained at this level throughout the </w:t>
      </w:r>
      <w:proofErr w:type="gramStart"/>
      <w:r w:rsidRPr="005A2558">
        <w:rPr>
          <w:rFonts w:ascii="Arial" w:hAnsi="Arial" w:cs="Arial"/>
          <w:color w:val="000000" w:themeColor="text1"/>
          <w:sz w:val="24"/>
          <w:szCs w:val="24"/>
        </w:rPr>
        <w:t>5 year</w:t>
      </w:r>
      <w:proofErr w:type="gramEnd"/>
      <w:r w:rsidRPr="005A2558">
        <w:rPr>
          <w:rFonts w:ascii="Arial" w:hAnsi="Arial" w:cs="Arial"/>
          <w:color w:val="000000" w:themeColor="text1"/>
          <w:sz w:val="24"/>
          <w:szCs w:val="24"/>
        </w:rPr>
        <w:t xml:space="preserve"> period. There are no existing legal obligations associated with this provision, as the legal obligation only arises when settlement of outstanding claims is agreed.</w:t>
      </w:r>
    </w:p>
    <w:p w:rsidR="00A83FCE" w:rsidRPr="00D15746" w:rsidRDefault="00A83FCE" w:rsidP="00A83FCE">
      <w:pPr>
        <w:ind w:left="1080"/>
        <w:jc w:val="both"/>
        <w:rPr>
          <w:rFonts w:ascii="Arial" w:hAnsi="Arial" w:cs="Arial"/>
          <w:color w:val="000000" w:themeColor="text1"/>
          <w:szCs w:val="24"/>
          <w:highlight w:val="yellow"/>
        </w:rPr>
      </w:pPr>
    </w:p>
    <w:p w:rsidR="00A83FCE" w:rsidRPr="005A2558" w:rsidRDefault="00A83FCE" w:rsidP="00A83FCE">
      <w:pPr>
        <w:rPr>
          <w:rFonts w:ascii="Arial" w:hAnsi="Arial" w:cs="Arial"/>
          <w:color w:val="000000" w:themeColor="text1"/>
          <w:szCs w:val="24"/>
          <w:u w:val="single"/>
        </w:rPr>
      </w:pPr>
      <w:r w:rsidRPr="005A2558">
        <w:rPr>
          <w:rFonts w:ascii="Arial" w:hAnsi="Arial" w:cs="Arial"/>
          <w:color w:val="000000" w:themeColor="text1"/>
          <w:szCs w:val="24"/>
          <w:u w:val="single"/>
        </w:rPr>
        <w:t>Business Rates Collection Fund Appeals Provision</w:t>
      </w:r>
    </w:p>
    <w:p w:rsidR="00A83FCE" w:rsidRPr="005A2558" w:rsidRDefault="00A83FCE" w:rsidP="00A83FCE">
      <w:pPr>
        <w:pStyle w:val="BodyText3"/>
        <w:jc w:val="both"/>
        <w:rPr>
          <w:rFonts w:ascii="Arial" w:hAnsi="Arial" w:cs="Arial"/>
          <w:color w:val="000000" w:themeColor="text1"/>
          <w:sz w:val="24"/>
          <w:szCs w:val="24"/>
        </w:rPr>
      </w:pPr>
      <w:r w:rsidRPr="005A2558">
        <w:rPr>
          <w:rFonts w:ascii="Arial" w:hAnsi="Arial" w:cs="Arial"/>
          <w:color w:val="000000" w:themeColor="text1"/>
          <w:sz w:val="24"/>
          <w:szCs w:val="24"/>
        </w:rPr>
        <w:t xml:space="preserve">This covers the Authority’s share of outstanding appeals against business rates collection funds, which is calculated each year end by each billing authority within Lancashire based on their assumptions of outstanding appeal success rates, as part of their year-end accounting for the business rates collection fund. </w:t>
      </w:r>
    </w:p>
    <w:p w:rsidR="00A83FCE" w:rsidRPr="005A2558" w:rsidRDefault="00A83FCE" w:rsidP="00A83FCE">
      <w:pPr>
        <w:pStyle w:val="BodyText3"/>
        <w:jc w:val="both"/>
        <w:rPr>
          <w:rFonts w:ascii="Arial" w:hAnsi="Arial" w:cs="Arial"/>
          <w:color w:val="000000" w:themeColor="text1"/>
          <w:sz w:val="24"/>
          <w:szCs w:val="24"/>
        </w:rPr>
      </w:pPr>
    </w:p>
    <w:p w:rsidR="00A83FCE" w:rsidRPr="005A2558" w:rsidRDefault="00A83FCE" w:rsidP="00A83FCE">
      <w:pPr>
        <w:pStyle w:val="BodyText3"/>
        <w:jc w:val="both"/>
        <w:rPr>
          <w:rFonts w:ascii="Arial" w:hAnsi="Arial" w:cs="Arial"/>
          <w:color w:val="000000" w:themeColor="text1"/>
          <w:sz w:val="24"/>
          <w:szCs w:val="24"/>
        </w:rPr>
      </w:pPr>
      <w:r w:rsidRPr="005A2558">
        <w:rPr>
          <w:rFonts w:ascii="Arial" w:hAnsi="Arial" w:cs="Arial"/>
          <w:color w:val="000000" w:themeColor="text1"/>
          <w:sz w:val="24"/>
          <w:szCs w:val="24"/>
        </w:rPr>
        <w:t>The following table sets out the purpose of this provision, how it is utilised, controlled and reviewed.</w:t>
      </w:r>
    </w:p>
    <w:p w:rsidR="00A83FCE" w:rsidRPr="005A2558" w:rsidRDefault="00A83FCE" w:rsidP="00A83FCE">
      <w:pPr>
        <w:ind w:left="1080"/>
        <w:jc w:val="both"/>
        <w:rPr>
          <w:rFonts w:ascii="Arial" w:hAnsi="Arial" w:cs="Arial"/>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A83FCE" w:rsidRPr="00D15746" w:rsidTr="002450EE">
        <w:tc>
          <w:tcPr>
            <w:tcW w:w="1418" w:type="dxa"/>
          </w:tcPr>
          <w:p w:rsidR="00A83FCE" w:rsidRPr="005A2558" w:rsidRDefault="00A83FCE" w:rsidP="002450EE">
            <w:pPr>
              <w:pStyle w:val="BodyText"/>
              <w:spacing w:before="120" w:after="120"/>
              <w:jc w:val="center"/>
              <w:rPr>
                <w:rFonts w:ascii="Arial" w:hAnsi="Arial" w:cs="Arial"/>
                <w:color w:val="000000" w:themeColor="text1"/>
                <w:szCs w:val="24"/>
                <w:u w:val="none"/>
              </w:rPr>
            </w:pPr>
            <w:r w:rsidRPr="005A2558">
              <w:rPr>
                <w:rFonts w:ascii="Arial" w:hAnsi="Arial" w:cs="Arial"/>
                <w:color w:val="000000" w:themeColor="text1"/>
                <w:szCs w:val="24"/>
                <w:u w:val="none"/>
              </w:rPr>
              <w:t>Name</w:t>
            </w:r>
          </w:p>
        </w:tc>
        <w:tc>
          <w:tcPr>
            <w:tcW w:w="7654" w:type="dxa"/>
          </w:tcPr>
          <w:p w:rsidR="00A83FCE" w:rsidRPr="005A2558" w:rsidRDefault="00A83FCE" w:rsidP="002450EE">
            <w:pPr>
              <w:pStyle w:val="BodyText"/>
              <w:spacing w:before="120" w:after="120"/>
              <w:jc w:val="center"/>
              <w:rPr>
                <w:rFonts w:ascii="Arial" w:hAnsi="Arial" w:cs="Arial"/>
                <w:color w:val="000000" w:themeColor="text1"/>
                <w:szCs w:val="24"/>
                <w:u w:val="none"/>
              </w:rPr>
            </w:pPr>
            <w:r w:rsidRPr="005A2558">
              <w:rPr>
                <w:rFonts w:ascii="Arial" w:hAnsi="Arial" w:cs="Arial"/>
                <w:color w:val="000000" w:themeColor="text1"/>
                <w:szCs w:val="24"/>
                <w:u w:val="none"/>
              </w:rPr>
              <w:t>Business Rates Collection Fund Appeals Provision</w:t>
            </w:r>
          </w:p>
        </w:tc>
      </w:tr>
      <w:tr w:rsidR="00A83FCE" w:rsidRPr="00D15746" w:rsidTr="002450EE">
        <w:tc>
          <w:tcPr>
            <w:tcW w:w="1418"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Purpose</w:t>
            </w:r>
          </w:p>
        </w:tc>
        <w:tc>
          <w:tcPr>
            <w:tcW w:w="7654"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This covers monies set aside to meet the Authority’s share of the cost of successful business rates appeals.</w:t>
            </w:r>
          </w:p>
        </w:tc>
      </w:tr>
      <w:tr w:rsidR="00A83FCE" w:rsidRPr="00D15746" w:rsidTr="002450EE">
        <w:tc>
          <w:tcPr>
            <w:tcW w:w="1418"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Utilisation</w:t>
            </w:r>
          </w:p>
        </w:tc>
        <w:tc>
          <w:tcPr>
            <w:tcW w:w="7654"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Once set up the provision can only be utilised to meet costs associated with settlement of such appeals.</w:t>
            </w:r>
          </w:p>
        </w:tc>
      </w:tr>
      <w:tr w:rsidR="00A83FCE" w:rsidRPr="00D15746" w:rsidTr="002450EE">
        <w:tc>
          <w:tcPr>
            <w:tcW w:w="1418"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Controls</w:t>
            </w:r>
          </w:p>
        </w:tc>
        <w:tc>
          <w:tcPr>
            <w:tcW w:w="7654"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The utilisation of these are reported on an annual basis as part of the year end outturn report presented to Resources Committee.</w:t>
            </w:r>
          </w:p>
        </w:tc>
      </w:tr>
      <w:tr w:rsidR="00A83FCE" w:rsidRPr="00D15746" w:rsidTr="002450EE">
        <w:tc>
          <w:tcPr>
            <w:tcW w:w="1418"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Review</w:t>
            </w:r>
          </w:p>
        </w:tc>
        <w:tc>
          <w:tcPr>
            <w:tcW w:w="7654" w:type="dxa"/>
          </w:tcPr>
          <w:p w:rsidR="00A83FCE" w:rsidRPr="005A2558" w:rsidRDefault="00A83FCE" w:rsidP="002450EE">
            <w:pPr>
              <w:pStyle w:val="BodyText"/>
              <w:rPr>
                <w:rFonts w:ascii="Arial" w:hAnsi="Arial" w:cs="Arial"/>
                <w:b w:val="0"/>
                <w:color w:val="000000" w:themeColor="text1"/>
                <w:szCs w:val="24"/>
                <w:u w:val="none"/>
              </w:rPr>
            </w:pPr>
            <w:r w:rsidRPr="005A2558">
              <w:rPr>
                <w:rFonts w:ascii="Arial" w:hAnsi="Arial" w:cs="Arial"/>
                <w:b w:val="0"/>
                <w:color w:val="000000" w:themeColor="text1"/>
                <w:szCs w:val="24"/>
                <w:u w:val="none"/>
              </w:rPr>
              <w:t>The level of the provision is reviewed annually based on each billing authority’s assumptions regarding success rates to ensure these are reasonable and remain relevant.</w:t>
            </w:r>
          </w:p>
        </w:tc>
      </w:tr>
    </w:tbl>
    <w:p w:rsidR="00A83FCE" w:rsidRPr="005A2558" w:rsidRDefault="00A83FCE" w:rsidP="00A83FCE">
      <w:pPr>
        <w:pStyle w:val="BodyText3"/>
        <w:jc w:val="both"/>
        <w:rPr>
          <w:rFonts w:ascii="Arial" w:hAnsi="Arial" w:cs="Arial"/>
          <w:color w:val="000000" w:themeColor="text1"/>
          <w:sz w:val="24"/>
          <w:szCs w:val="24"/>
        </w:rPr>
      </w:pPr>
      <w:r w:rsidRPr="00D15746">
        <w:rPr>
          <w:rFonts w:ascii="Arial" w:hAnsi="Arial" w:cs="Arial"/>
          <w:color w:val="000000" w:themeColor="text1"/>
          <w:sz w:val="24"/>
          <w:szCs w:val="24"/>
          <w:highlight w:val="yellow"/>
        </w:rPr>
        <w:t xml:space="preserve"> </w:t>
      </w:r>
    </w:p>
    <w:p w:rsidR="00A83FCE" w:rsidRPr="005A2558" w:rsidRDefault="00A83FCE" w:rsidP="00A83FCE">
      <w:pPr>
        <w:pStyle w:val="BodyText3"/>
        <w:jc w:val="both"/>
        <w:rPr>
          <w:rFonts w:ascii="Arial" w:hAnsi="Arial" w:cs="Arial"/>
          <w:color w:val="000000" w:themeColor="text1"/>
          <w:sz w:val="24"/>
          <w:szCs w:val="24"/>
        </w:rPr>
      </w:pPr>
      <w:r w:rsidRPr="005A2558">
        <w:rPr>
          <w:rFonts w:ascii="Arial" w:hAnsi="Arial" w:cs="Arial"/>
          <w:color w:val="000000" w:themeColor="text1"/>
          <w:sz w:val="24"/>
          <w:szCs w:val="24"/>
        </w:rPr>
        <w:t xml:space="preserve">At 31 March 2019 this provision stood at £0.8m to cover anticipated costs of outstanding business rates appeals. Whilst a significant element of this will be utilised in the current financial year, reflecting the settlement of outstanding appeals, it is impossible to accurately predict the extent of this usage or the need for any additional provision to meet appeals that arise in year, until such time as a full review is undertaken as part of the financial year end process. </w:t>
      </w:r>
      <w:proofErr w:type="gramStart"/>
      <w:r w:rsidRPr="005A2558">
        <w:rPr>
          <w:rFonts w:ascii="Arial" w:hAnsi="Arial" w:cs="Arial"/>
          <w:color w:val="000000" w:themeColor="text1"/>
          <w:sz w:val="24"/>
          <w:szCs w:val="24"/>
        </w:rPr>
        <w:t>Therefore</w:t>
      </w:r>
      <w:proofErr w:type="gramEnd"/>
      <w:r w:rsidRPr="005A2558">
        <w:rPr>
          <w:rFonts w:ascii="Arial" w:hAnsi="Arial" w:cs="Arial"/>
          <w:color w:val="000000" w:themeColor="text1"/>
          <w:sz w:val="24"/>
          <w:szCs w:val="24"/>
        </w:rPr>
        <w:t xml:space="preserve"> for the purpose of this report we have assumed that the level of business rates appeals provision remains unchanged. Until the outcome of any appeal is known there is no legal obligation arising from the appeal.</w:t>
      </w:r>
    </w:p>
    <w:p w:rsidR="00A83FCE" w:rsidRPr="00D15746" w:rsidRDefault="00A83FCE" w:rsidP="00A83FCE">
      <w:pPr>
        <w:pStyle w:val="BodyText3"/>
        <w:jc w:val="both"/>
        <w:rPr>
          <w:rFonts w:ascii="Arial" w:hAnsi="Arial" w:cs="Arial"/>
          <w:color w:val="000000" w:themeColor="text1"/>
          <w:sz w:val="24"/>
          <w:szCs w:val="24"/>
          <w:highlight w:val="yellow"/>
        </w:rPr>
      </w:pPr>
    </w:p>
    <w:p w:rsidR="00A83FCE" w:rsidRPr="005A2558" w:rsidRDefault="00A83FCE" w:rsidP="00A83FCE">
      <w:pPr>
        <w:jc w:val="both"/>
        <w:rPr>
          <w:rFonts w:ascii="Arial" w:hAnsi="Arial" w:cs="Arial"/>
          <w:szCs w:val="24"/>
        </w:rPr>
      </w:pPr>
      <w:r w:rsidRPr="005A2558">
        <w:rPr>
          <w:rFonts w:ascii="Arial" w:hAnsi="Arial" w:cs="Arial"/>
          <w:color w:val="000000" w:themeColor="text1"/>
          <w:szCs w:val="24"/>
        </w:rPr>
        <w:t xml:space="preserve">The </w:t>
      </w:r>
      <w:r w:rsidRPr="005A2558">
        <w:rPr>
          <w:rFonts w:ascii="Arial" w:hAnsi="Arial" w:cs="Arial"/>
          <w:szCs w:val="24"/>
        </w:rPr>
        <w:t>Treasurer feels that the levels of provisions are sufficient to meet future requirements in the medium term.</w:t>
      </w:r>
    </w:p>
    <w:p w:rsidR="00A83FCE" w:rsidRPr="005A2558" w:rsidRDefault="00A83FCE" w:rsidP="00A83FCE">
      <w:pPr>
        <w:rPr>
          <w:rFonts w:ascii="Arial" w:hAnsi="Arial" w:cs="Arial"/>
          <w:color w:val="000000" w:themeColor="text1"/>
          <w:szCs w:val="24"/>
        </w:rPr>
      </w:pPr>
    </w:p>
    <w:p w:rsidR="00A83FCE" w:rsidRDefault="00A83FCE">
      <w:pPr>
        <w:rPr>
          <w:rFonts w:ascii="Arial" w:hAnsi="Arial" w:cs="Arial"/>
          <w:b/>
          <w:color w:val="000000" w:themeColor="text1"/>
          <w:szCs w:val="24"/>
        </w:rPr>
      </w:pPr>
      <w:r>
        <w:rPr>
          <w:rFonts w:ascii="Arial" w:hAnsi="Arial" w:cs="Arial"/>
          <w:b/>
          <w:color w:val="000000" w:themeColor="text1"/>
          <w:szCs w:val="24"/>
        </w:rPr>
        <w:br w:type="page"/>
      </w:r>
    </w:p>
    <w:p w:rsidR="00A83FCE" w:rsidRPr="005A2558" w:rsidRDefault="00A83FCE" w:rsidP="00A83FCE">
      <w:pPr>
        <w:rPr>
          <w:rFonts w:ascii="Arial" w:hAnsi="Arial" w:cs="Arial"/>
          <w:b/>
          <w:color w:val="000000" w:themeColor="text1"/>
          <w:szCs w:val="24"/>
        </w:rPr>
      </w:pPr>
      <w:bookmarkStart w:id="0" w:name="_GoBack"/>
      <w:bookmarkEnd w:id="0"/>
      <w:r w:rsidRPr="005A2558">
        <w:rPr>
          <w:rFonts w:ascii="Arial" w:hAnsi="Arial" w:cs="Arial"/>
          <w:b/>
          <w:color w:val="000000" w:themeColor="text1"/>
          <w:szCs w:val="24"/>
        </w:rPr>
        <w:t>Summary Reserve Position</w:t>
      </w:r>
    </w:p>
    <w:p w:rsidR="00A83FCE" w:rsidRPr="005A2558" w:rsidRDefault="00A83FCE" w:rsidP="00A83FCE">
      <w:pPr>
        <w:pStyle w:val="Heading5"/>
        <w:jc w:val="both"/>
        <w:rPr>
          <w:rFonts w:cs="Arial"/>
          <w:b w:val="0"/>
          <w:color w:val="000000" w:themeColor="text1"/>
          <w:szCs w:val="24"/>
        </w:rPr>
      </w:pPr>
    </w:p>
    <w:p w:rsidR="00A83FCE" w:rsidRPr="0074441D" w:rsidRDefault="00A83FCE" w:rsidP="00A83FCE">
      <w:pPr>
        <w:pStyle w:val="BodyText3"/>
        <w:jc w:val="both"/>
        <w:rPr>
          <w:rFonts w:ascii="Arial" w:hAnsi="Arial" w:cs="Arial"/>
          <w:color w:val="000000" w:themeColor="text1"/>
          <w:sz w:val="24"/>
          <w:szCs w:val="24"/>
        </w:rPr>
      </w:pPr>
      <w:r w:rsidRPr="005A2558">
        <w:rPr>
          <w:rFonts w:ascii="Arial" w:hAnsi="Arial" w:cs="Arial"/>
          <w:color w:val="000000" w:themeColor="text1"/>
          <w:sz w:val="24"/>
          <w:szCs w:val="24"/>
        </w:rPr>
        <w:t xml:space="preserve">The following table sets out the summary anticipated position in terms of reserves and balances showing the overall level reducing to </w:t>
      </w:r>
      <w:r w:rsidRPr="0074441D">
        <w:rPr>
          <w:rFonts w:ascii="Arial" w:hAnsi="Arial" w:cs="Arial"/>
          <w:color w:val="000000" w:themeColor="text1"/>
          <w:sz w:val="24"/>
          <w:szCs w:val="24"/>
        </w:rPr>
        <w:t>approx</w:t>
      </w:r>
      <w:r w:rsidRPr="00E94583">
        <w:rPr>
          <w:rFonts w:ascii="Arial" w:hAnsi="Arial" w:cs="Arial"/>
          <w:color w:val="000000" w:themeColor="text1"/>
          <w:sz w:val="24"/>
          <w:szCs w:val="24"/>
        </w:rPr>
        <w:t>. £1</w:t>
      </w:r>
      <w:r>
        <w:rPr>
          <w:rFonts w:ascii="Arial" w:hAnsi="Arial" w:cs="Arial"/>
          <w:color w:val="000000" w:themeColor="text1"/>
          <w:sz w:val="24"/>
          <w:szCs w:val="24"/>
        </w:rPr>
        <w:t>3</w:t>
      </w:r>
      <w:r w:rsidRPr="00E94583">
        <w:rPr>
          <w:rFonts w:ascii="Arial" w:hAnsi="Arial" w:cs="Arial"/>
          <w:color w:val="000000" w:themeColor="text1"/>
          <w:sz w:val="24"/>
          <w:szCs w:val="24"/>
        </w:rPr>
        <w:t>m</w:t>
      </w:r>
      <w:r w:rsidRPr="0074441D">
        <w:rPr>
          <w:rFonts w:ascii="Arial" w:hAnsi="Arial" w:cs="Arial"/>
          <w:color w:val="000000" w:themeColor="text1"/>
          <w:sz w:val="24"/>
          <w:szCs w:val="24"/>
        </w:rPr>
        <w:t xml:space="preserve"> by 31 March 2025</w:t>
      </w:r>
      <w:r>
        <w:rPr>
          <w:rFonts w:ascii="Arial" w:hAnsi="Arial" w:cs="Arial"/>
          <w:color w:val="000000" w:themeColor="text1"/>
          <w:sz w:val="24"/>
          <w:szCs w:val="24"/>
        </w:rPr>
        <w:t xml:space="preserve">, after allowing for potential backdating of pensionability of </w:t>
      </w:r>
      <w:proofErr w:type="gramStart"/>
      <w:r>
        <w:rPr>
          <w:rFonts w:ascii="Arial" w:hAnsi="Arial" w:cs="Arial"/>
          <w:color w:val="000000" w:themeColor="text1"/>
          <w:sz w:val="24"/>
          <w:szCs w:val="24"/>
        </w:rPr>
        <w:t>allowances:</w:t>
      </w:r>
      <w:r w:rsidRPr="0074441D">
        <w:rPr>
          <w:rFonts w:ascii="Arial" w:hAnsi="Arial" w:cs="Arial"/>
          <w:color w:val="000000" w:themeColor="text1"/>
          <w:sz w:val="24"/>
          <w:szCs w:val="24"/>
        </w:rPr>
        <w:t>-</w:t>
      </w:r>
      <w:proofErr w:type="gramEnd"/>
    </w:p>
    <w:p w:rsidR="00A83FCE" w:rsidRPr="00D15746" w:rsidRDefault="00A83FCE" w:rsidP="00A83FCE">
      <w:pPr>
        <w:rPr>
          <w:rFonts w:ascii="Arial" w:hAnsi="Arial" w:cs="Arial"/>
          <w:color w:val="000000" w:themeColor="text1"/>
          <w:szCs w:val="24"/>
          <w:highlight w:val="yellow"/>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34"/>
        <w:gridCol w:w="1276"/>
        <w:gridCol w:w="1843"/>
        <w:gridCol w:w="1275"/>
        <w:gridCol w:w="1701"/>
      </w:tblGrid>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color w:val="000000" w:themeColor="text1"/>
                <w:sz w:val="20"/>
                <w:u w:val="none"/>
              </w:rPr>
            </w:pPr>
            <w:r w:rsidRPr="00E94583">
              <w:rPr>
                <w:rFonts w:ascii="Arial" w:hAnsi="Arial" w:cs="Arial"/>
                <w:b w:val="0"/>
                <w:color w:val="000000" w:themeColor="text1"/>
                <w:sz w:val="20"/>
                <w:u w:val="none"/>
              </w:rPr>
              <w:t>General Reserve</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color w:val="000000" w:themeColor="text1"/>
                <w:sz w:val="20"/>
                <w:u w:val="none"/>
              </w:rPr>
            </w:pPr>
            <w:r w:rsidRPr="00E94583">
              <w:rPr>
                <w:rFonts w:ascii="Arial" w:hAnsi="Arial" w:cs="Arial"/>
                <w:b w:val="0"/>
                <w:color w:val="000000" w:themeColor="text1"/>
                <w:sz w:val="20"/>
                <w:u w:val="none"/>
              </w:rPr>
              <w:t>Earmarked Reserve</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color w:val="000000" w:themeColor="text1"/>
                <w:sz w:val="20"/>
                <w:u w:val="none"/>
              </w:rPr>
            </w:pPr>
            <w:r w:rsidRPr="00E94583">
              <w:rPr>
                <w:rFonts w:ascii="Arial" w:hAnsi="Arial" w:cs="Arial"/>
                <w:b w:val="0"/>
                <w:color w:val="000000" w:themeColor="text1"/>
                <w:sz w:val="20"/>
                <w:u w:val="none"/>
              </w:rPr>
              <w:t>Capital Reserves &amp; Receipts</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color w:val="000000" w:themeColor="text1"/>
                <w:sz w:val="20"/>
                <w:u w:val="none"/>
              </w:rPr>
            </w:pPr>
            <w:r w:rsidRPr="00E94583">
              <w:rPr>
                <w:rFonts w:ascii="Arial" w:hAnsi="Arial" w:cs="Arial"/>
                <w:b w:val="0"/>
                <w:color w:val="000000" w:themeColor="text1"/>
                <w:sz w:val="20"/>
                <w:u w:val="none"/>
              </w:rPr>
              <w:t>Provisions</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color w:val="000000" w:themeColor="text1"/>
                <w:sz w:val="20"/>
                <w:u w:val="none"/>
              </w:rPr>
            </w:pPr>
            <w:r w:rsidRPr="00E94583">
              <w:rPr>
                <w:rFonts w:ascii="Arial" w:hAnsi="Arial" w:cs="Arial"/>
                <w:b w:val="0"/>
                <w:color w:val="000000" w:themeColor="text1"/>
                <w:sz w:val="20"/>
                <w:u w:val="none"/>
              </w:rPr>
              <w:t>Total Reserves &amp; Balances</w:t>
            </w:r>
          </w:p>
        </w:tc>
      </w:tr>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E94583">
              <w:rPr>
                <w:rFonts w:ascii="Arial" w:hAnsi="Arial" w:cs="Arial"/>
                <w:b w:val="0"/>
                <w:color w:val="000000" w:themeColor="text1"/>
                <w:sz w:val="20"/>
                <w:u w:val="none"/>
              </w:rPr>
              <w:t>£m</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E94583">
              <w:rPr>
                <w:rFonts w:ascii="Arial" w:hAnsi="Arial" w:cs="Arial"/>
                <w:b w:val="0"/>
                <w:color w:val="000000" w:themeColor="text1"/>
                <w:sz w:val="20"/>
                <w:u w:val="none"/>
              </w:rPr>
              <w:t>£m</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E94583">
              <w:rPr>
                <w:rFonts w:ascii="Arial" w:hAnsi="Arial" w:cs="Arial"/>
                <w:b w:val="0"/>
                <w:color w:val="000000" w:themeColor="text1"/>
                <w:sz w:val="20"/>
                <w:u w:val="none"/>
              </w:rPr>
              <w:t>£m</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E94583">
              <w:rPr>
                <w:rFonts w:ascii="Arial" w:hAnsi="Arial" w:cs="Arial"/>
                <w:b w:val="0"/>
                <w:color w:val="000000" w:themeColor="text1"/>
                <w:sz w:val="20"/>
                <w:u w:val="none"/>
              </w:rPr>
              <w:t>£m</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E94583">
              <w:rPr>
                <w:rFonts w:ascii="Arial" w:hAnsi="Arial" w:cs="Arial"/>
                <w:b w:val="0"/>
                <w:color w:val="000000" w:themeColor="text1"/>
                <w:sz w:val="20"/>
                <w:u w:val="none"/>
              </w:rPr>
              <w:t>£m</w:t>
            </w:r>
          </w:p>
        </w:tc>
      </w:tr>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r w:rsidRPr="004517F5">
              <w:rPr>
                <w:rFonts w:ascii="Arial" w:hAnsi="Arial" w:cs="Arial"/>
                <w:b w:val="0"/>
                <w:sz w:val="20"/>
                <w:u w:val="none"/>
              </w:rPr>
              <w:t>Balance 31/3/19</w:t>
            </w: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sz w:val="20"/>
                <w:u w:val="none"/>
              </w:rPr>
              <w:t>8.2</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sz w:val="20"/>
                <w:u w:val="none"/>
              </w:rPr>
              <w:t>8.0</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sz w:val="20"/>
                <w:u w:val="none"/>
              </w:rPr>
              <w:t>19.0</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sz w:val="20"/>
                <w:u w:val="none"/>
              </w:rPr>
              <w:t>1.3</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sz w:val="20"/>
                <w:u w:val="none"/>
              </w:rPr>
              <w:t>36.5</w:t>
            </w:r>
          </w:p>
        </w:tc>
      </w:tr>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r w:rsidRPr="004517F5">
              <w:rPr>
                <w:rFonts w:ascii="Arial" w:hAnsi="Arial" w:cs="Arial"/>
                <w:b w:val="0"/>
                <w:sz w:val="20"/>
                <w:u w:val="none"/>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0.0</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(0.8)</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(0.3)</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0.0</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(1.1)</w:t>
            </w:r>
          </w:p>
        </w:tc>
      </w:tr>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r w:rsidRPr="004517F5">
              <w:rPr>
                <w:rFonts w:ascii="Arial" w:hAnsi="Arial" w:cs="Arial"/>
                <w:b w:val="0"/>
                <w:sz w:val="20"/>
                <w:u w:val="none"/>
              </w:rPr>
              <w:t>Balance 31/3/20</w:t>
            </w: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8.2</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7.3</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18.7</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1.3</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35.4</w:t>
            </w:r>
          </w:p>
        </w:tc>
      </w:tr>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r w:rsidRPr="004517F5">
              <w:rPr>
                <w:rFonts w:ascii="Arial" w:hAnsi="Arial" w:cs="Arial"/>
                <w:b w:val="0"/>
                <w:sz w:val="20"/>
                <w:u w:val="none"/>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(0.4)</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(0.7)</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(7.6)</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0.0</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(8.7)</w:t>
            </w:r>
          </w:p>
        </w:tc>
      </w:tr>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r w:rsidRPr="004517F5">
              <w:rPr>
                <w:rFonts w:ascii="Arial" w:hAnsi="Arial" w:cs="Arial"/>
                <w:b w:val="0"/>
                <w:sz w:val="20"/>
                <w:u w:val="none"/>
              </w:rPr>
              <w:t>Balance 31/3/21</w:t>
            </w: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7.7</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6.6</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11.1</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1.3</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26.7</w:t>
            </w:r>
          </w:p>
        </w:tc>
      </w:tr>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r w:rsidRPr="004517F5">
              <w:rPr>
                <w:rFonts w:ascii="Arial" w:hAnsi="Arial" w:cs="Arial"/>
                <w:b w:val="0"/>
                <w:sz w:val="20"/>
                <w:u w:val="none"/>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(0.6)</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(0.4)</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(4.8)</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0.0</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(5.9)</w:t>
            </w:r>
          </w:p>
        </w:tc>
      </w:tr>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r w:rsidRPr="004517F5">
              <w:rPr>
                <w:rFonts w:ascii="Arial" w:hAnsi="Arial" w:cs="Arial"/>
                <w:b w:val="0"/>
                <w:sz w:val="20"/>
                <w:u w:val="none"/>
              </w:rPr>
              <w:t>Balance 31/3/22</w:t>
            </w: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7.1</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6.2</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6.3</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1.3</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20.9</w:t>
            </w:r>
          </w:p>
        </w:tc>
      </w:tr>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r w:rsidRPr="004517F5">
              <w:rPr>
                <w:rFonts w:ascii="Arial" w:hAnsi="Arial" w:cs="Arial"/>
                <w:b w:val="0"/>
                <w:sz w:val="20"/>
                <w:u w:val="none"/>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(0.4)</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(0.3)</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(6.2)</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0.0</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(6.9)</w:t>
            </w:r>
          </w:p>
        </w:tc>
      </w:tr>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r w:rsidRPr="004517F5">
              <w:rPr>
                <w:rFonts w:ascii="Arial" w:hAnsi="Arial" w:cs="Arial"/>
                <w:b w:val="0"/>
                <w:sz w:val="20"/>
                <w:u w:val="none"/>
              </w:rPr>
              <w:t>Balance 31/3/23</w:t>
            </w: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6.7</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5.9</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0.1</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1.3</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14.0</w:t>
            </w:r>
          </w:p>
        </w:tc>
      </w:tr>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r w:rsidRPr="004517F5">
              <w:rPr>
                <w:rFonts w:ascii="Arial" w:hAnsi="Arial" w:cs="Arial"/>
                <w:b w:val="0"/>
                <w:sz w:val="20"/>
                <w:u w:val="none"/>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(0.6)</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(0.2)</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(0.0)</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0.0</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(0.9)</w:t>
            </w:r>
          </w:p>
        </w:tc>
      </w:tr>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r w:rsidRPr="004517F5">
              <w:rPr>
                <w:rFonts w:ascii="Arial" w:hAnsi="Arial" w:cs="Arial"/>
                <w:b w:val="0"/>
                <w:sz w:val="20"/>
                <w:u w:val="none"/>
              </w:rPr>
              <w:t>Balance 31/3/24</w:t>
            </w: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6.1</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5.6</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0.1</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1.3</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13.1</w:t>
            </w:r>
          </w:p>
        </w:tc>
      </w:tr>
      <w:tr w:rsidR="00A83FCE" w:rsidRPr="00E94583"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r w:rsidRPr="004517F5">
              <w:rPr>
                <w:rFonts w:ascii="Arial" w:hAnsi="Arial" w:cs="Arial"/>
                <w:b w:val="0"/>
                <w:sz w:val="20"/>
                <w:u w:val="none"/>
              </w:rPr>
              <w:t>Change in year</w:t>
            </w: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(0.2)</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(0.2)</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(0.1)</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color w:val="000000" w:themeColor="text1"/>
                <w:sz w:val="20"/>
                <w:u w:val="none"/>
              </w:rPr>
              <w:t>0.0</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4517F5" w:rsidRDefault="00A83FCE" w:rsidP="002450EE">
            <w:pPr>
              <w:pStyle w:val="BodyText"/>
              <w:jc w:val="center"/>
              <w:rPr>
                <w:rFonts w:ascii="Arial" w:hAnsi="Arial" w:cs="Arial"/>
                <w:b w:val="0"/>
                <w:color w:val="000000" w:themeColor="text1"/>
                <w:sz w:val="20"/>
                <w:u w:val="none"/>
              </w:rPr>
            </w:pPr>
            <w:r w:rsidRPr="004517F5">
              <w:rPr>
                <w:rFonts w:ascii="Arial" w:hAnsi="Arial" w:cs="Arial"/>
                <w:b w:val="0"/>
                <w:color w:val="000000" w:themeColor="text1"/>
                <w:sz w:val="20"/>
                <w:u w:val="none"/>
              </w:rPr>
              <w:t>(0.4)</w:t>
            </w:r>
          </w:p>
        </w:tc>
      </w:tr>
      <w:tr w:rsidR="00A83FCE" w:rsidRPr="00D15746" w:rsidTr="002450EE">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rPr>
                <w:rFonts w:ascii="Arial" w:hAnsi="Arial" w:cs="Arial"/>
                <w:b w:val="0"/>
                <w:snapToGrid w:val="0"/>
                <w:color w:val="000000" w:themeColor="text1"/>
                <w:szCs w:val="24"/>
                <w:u w:val="none"/>
                <w:lang w:eastAsia="en-US"/>
              </w:rPr>
            </w:pPr>
            <w:r w:rsidRPr="004517F5">
              <w:rPr>
                <w:rFonts w:ascii="Arial" w:hAnsi="Arial" w:cs="Arial"/>
                <w:b w:val="0"/>
                <w:sz w:val="20"/>
                <w:u w:val="none"/>
              </w:rPr>
              <w:t>Balance 31/3/25</w:t>
            </w:r>
          </w:p>
        </w:tc>
        <w:tc>
          <w:tcPr>
            <w:tcW w:w="1134"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sz w:val="20"/>
                <w:u w:val="none"/>
              </w:rPr>
              <w:t>5.9</w:t>
            </w:r>
          </w:p>
        </w:tc>
        <w:tc>
          <w:tcPr>
            <w:tcW w:w="1276"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sz w:val="20"/>
                <w:u w:val="none"/>
              </w:rPr>
              <w:t>5.5</w:t>
            </w:r>
          </w:p>
        </w:tc>
        <w:tc>
          <w:tcPr>
            <w:tcW w:w="1843"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sz w:val="20"/>
                <w:u w:val="none"/>
              </w:rPr>
              <w:t>0.0</w:t>
            </w:r>
          </w:p>
        </w:tc>
        <w:tc>
          <w:tcPr>
            <w:tcW w:w="1275"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sz w:val="20"/>
                <w:u w:val="none"/>
              </w:rPr>
              <w:t>1.3</w:t>
            </w:r>
          </w:p>
        </w:tc>
        <w:tc>
          <w:tcPr>
            <w:tcW w:w="1701" w:type="dxa"/>
            <w:tcBorders>
              <w:top w:val="single" w:sz="4" w:space="0" w:color="auto"/>
              <w:left w:val="single" w:sz="4" w:space="0" w:color="auto"/>
              <w:bottom w:val="single" w:sz="4" w:space="0" w:color="auto"/>
              <w:right w:val="single" w:sz="4" w:space="0" w:color="auto"/>
            </w:tcBorders>
            <w:vAlign w:val="bottom"/>
          </w:tcPr>
          <w:p w:rsidR="00A83FCE" w:rsidRPr="00E94583" w:rsidRDefault="00A83FCE" w:rsidP="002450EE">
            <w:pPr>
              <w:pStyle w:val="BodyText"/>
              <w:jc w:val="center"/>
              <w:rPr>
                <w:rFonts w:ascii="Arial" w:hAnsi="Arial" w:cs="Arial"/>
                <w:b w:val="0"/>
                <w:snapToGrid w:val="0"/>
                <w:color w:val="000000" w:themeColor="text1"/>
                <w:szCs w:val="24"/>
                <w:u w:val="none"/>
                <w:lang w:eastAsia="en-US"/>
              </w:rPr>
            </w:pPr>
            <w:r w:rsidRPr="004517F5">
              <w:rPr>
                <w:rFonts w:ascii="Arial" w:hAnsi="Arial" w:cs="Arial"/>
                <w:b w:val="0"/>
                <w:sz w:val="20"/>
                <w:u w:val="none"/>
              </w:rPr>
              <w:t>12.7</w:t>
            </w:r>
          </w:p>
        </w:tc>
      </w:tr>
    </w:tbl>
    <w:p w:rsidR="00A83FCE" w:rsidRPr="00D15746" w:rsidRDefault="00A83FCE" w:rsidP="00A83FCE">
      <w:pPr>
        <w:pStyle w:val="Heading5"/>
        <w:jc w:val="both"/>
        <w:rPr>
          <w:rFonts w:cs="Arial"/>
          <w:b w:val="0"/>
          <w:color w:val="000000" w:themeColor="text1"/>
          <w:szCs w:val="24"/>
          <w:highlight w:val="yellow"/>
        </w:rPr>
      </w:pPr>
    </w:p>
    <w:p w:rsidR="00A83FCE" w:rsidRDefault="00A83FCE" w:rsidP="00A83FCE">
      <w:pPr>
        <w:rPr>
          <w:highlight w:val="yellow"/>
        </w:rPr>
      </w:pPr>
      <w:r>
        <w:rPr>
          <w:noProof/>
        </w:rPr>
        <w:drawing>
          <wp:inline distT="0" distB="0" distL="0" distR="0" wp14:anchorId="4FE488A4" wp14:editId="0D5AEE26">
            <wp:extent cx="4871085" cy="31457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1085" cy="3145790"/>
                    </a:xfrm>
                    <a:prstGeom prst="rect">
                      <a:avLst/>
                    </a:prstGeom>
                    <a:noFill/>
                  </pic:spPr>
                </pic:pic>
              </a:graphicData>
            </a:graphic>
          </wp:inline>
        </w:drawing>
      </w:r>
    </w:p>
    <w:p w:rsidR="00A83FCE" w:rsidRPr="004517F5" w:rsidRDefault="00A83FCE" w:rsidP="00A83FCE">
      <w:pPr>
        <w:rPr>
          <w:rFonts w:ascii="Arial" w:hAnsi="Arial" w:cs="Arial"/>
          <w:snapToGrid w:val="0"/>
          <w:color w:val="000000" w:themeColor="text1"/>
          <w:szCs w:val="24"/>
          <w:lang w:eastAsia="en-US"/>
        </w:rPr>
      </w:pPr>
    </w:p>
    <w:p w:rsidR="00A83FCE" w:rsidRPr="004517F5" w:rsidRDefault="00A83FCE" w:rsidP="00A83FCE">
      <w:pPr>
        <w:jc w:val="both"/>
        <w:rPr>
          <w:rFonts w:cs="Arial"/>
          <w:b/>
          <w:color w:val="000000" w:themeColor="text1"/>
          <w:szCs w:val="24"/>
        </w:rPr>
      </w:pPr>
      <w:r w:rsidRPr="00DF5E98">
        <w:rPr>
          <w:rFonts w:ascii="Arial" w:hAnsi="Arial" w:cs="Arial"/>
          <w:snapToGrid w:val="0"/>
          <w:color w:val="000000" w:themeColor="text1"/>
          <w:szCs w:val="24"/>
          <w:lang w:eastAsia="en-US"/>
        </w:rPr>
        <w:t xml:space="preserve">As </w:t>
      </w:r>
      <w:r w:rsidRPr="004517F5">
        <w:rPr>
          <w:rFonts w:ascii="Arial" w:hAnsi="Arial" w:cs="Arial"/>
          <w:snapToGrid w:val="0"/>
          <w:color w:val="000000" w:themeColor="text1"/>
          <w:szCs w:val="24"/>
          <w:lang w:eastAsia="en-US"/>
        </w:rPr>
        <w:t xml:space="preserve">can be seen reserves fall dramatically over the programme reflecting the scale of the draft capital programme. </w:t>
      </w:r>
      <w:proofErr w:type="gramStart"/>
      <w:r w:rsidRPr="004517F5">
        <w:rPr>
          <w:rFonts w:ascii="Arial" w:hAnsi="Arial" w:cs="Arial"/>
          <w:snapToGrid w:val="0"/>
          <w:color w:val="000000" w:themeColor="text1"/>
          <w:szCs w:val="24"/>
          <w:lang w:eastAsia="en-US"/>
        </w:rPr>
        <w:t>Furthermore</w:t>
      </w:r>
      <w:proofErr w:type="gramEnd"/>
      <w:r w:rsidRPr="004517F5">
        <w:rPr>
          <w:rFonts w:ascii="Arial" w:hAnsi="Arial" w:cs="Arial"/>
          <w:snapToGrid w:val="0"/>
          <w:color w:val="000000" w:themeColor="text1"/>
          <w:szCs w:val="24"/>
          <w:lang w:eastAsia="en-US"/>
        </w:rPr>
        <w:t xml:space="preserve"> </w:t>
      </w:r>
      <w:r w:rsidRPr="00DF5E98">
        <w:rPr>
          <w:rFonts w:ascii="Arial" w:hAnsi="Arial" w:cs="Arial"/>
          <w:snapToGrid w:val="0"/>
          <w:color w:val="000000" w:themeColor="text1"/>
          <w:szCs w:val="24"/>
          <w:lang w:eastAsia="en-US"/>
        </w:rPr>
        <w:t xml:space="preserve">this position will be subject to significant change as pension costs, funding, inflation, pay awards and other pressures all become clearer in future years. The annual refresh of this policy will identify the impact of any changes as they develop.  </w:t>
      </w:r>
    </w:p>
    <w:p w:rsidR="00A83FCE" w:rsidRPr="004517F5" w:rsidRDefault="00A83FCE" w:rsidP="00A83FCE">
      <w:pPr>
        <w:pStyle w:val="Heading5"/>
        <w:jc w:val="both"/>
        <w:rPr>
          <w:rFonts w:cs="Arial"/>
          <w:b w:val="0"/>
          <w:color w:val="000000" w:themeColor="text1"/>
          <w:szCs w:val="24"/>
        </w:rPr>
      </w:pPr>
    </w:p>
    <w:p w:rsidR="00A83FCE" w:rsidRPr="004517F5" w:rsidRDefault="00A83FCE" w:rsidP="00A83FCE">
      <w:pPr>
        <w:pStyle w:val="Heading5"/>
        <w:jc w:val="both"/>
        <w:rPr>
          <w:rFonts w:cs="Arial"/>
          <w:b w:val="0"/>
          <w:color w:val="000000" w:themeColor="text1"/>
          <w:szCs w:val="24"/>
        </w:rPr>
      </w:pPr>
      <w:r w:rsidRPr="00DF5E98">
        <w:rPr>
          <w:rFonts w:cs="Arial"/>
          <w:b w:val="0"/>
          <w:color w:val="000000" w:themeColor="text1"/>
          <w:szCs w:val="24"/>
        </w:rPr>
        <w:t xml:space="preserve">For comparative purposes the average level of reserves relative to total revenue expenditure across all Fire Authorities as at 31 March 2019 was 42%. Our anticipated position at the end of the current financial year shows reserves equal to 62% our revenue expenditure. </w:t>
      </w:r>
      <w:proofErr w:type="gramStart"/>
      <w:r w:rsidRPr="00DF5E98">
        <w:rPr>
          <w:rFonts w:cs="Arial"/>
          <w:b w:val="0"/>
          <w:color w:val="000000" w:themeColor="text1"/>
          <w:szCs w:val="24"/>
        </w:rPr>
        <w:t>However</w:t>
      </w:r>
      <w:proofErr w:type="gramEnd"/>
      <w:r w:rsidRPr="00DF5E98">
        <w:rPr>
          <w:rFonts w:cs="Arial"/>
          <w:b w:val="0"/>
          <w:color w:val="000000" w:themeColor="text1"/>
          <w:szCs w:val="24"/>
        </w:rPr>
        <w:t xml:space="preserve"> within this are £8m of capital slippage and a further £4m of PFI reserve, if we exclude these total reserves equate to £23m, 41% of our total revenue expenditure which is in line with the sector average. </w:t>
      </w:r>
    </w:p>
    <w:p w:rsidR="00A83FCE" w:rsidRPr="004517F5" w:rsidRDefault="00A83FCE" w:rsidP="00A83FCE"/>
    <w:p w:rsidR="00A83FCE" w:rsidRPr="00DF5E98" w:rsidRDefault="00A83FCE" w:rsidP="00A83FCE">
      <w:pPr>
        <w:jc w:val="both"/>
        <w:rPr>
          <w:rFonts w:cs="Arial"/>
          <w:color w:val="000000" w:themeColor="text1"/>
          <w:szCs w:val="24"/>
        </w:rPr>
      </w:pPr>
      <w:r w:rsidRPr="00DF5E98">
        <w:rPr>
          <w:rFonts w:ascii="Arial" w:hAnsi="Arial" w:cs="Arial"/>
          <w:snapToGrid w:val="0"/>
          <w:color w:val="000000" w:themeColor="text1"/>
          <w:szCs w:val="24"/>
          <w:lang w:eastAsia="en-US"/>
        </w:rPr>
        <w:t xml:space="preserve">It is also worth noting the comparator with other types of Authorities as set out in the Revenue Outturn Summary for 2018/19 comparing Net Revenue Expenditure with Non School </w:t>
      </w:r>
      <w:proofErr w:type="gramStart"/>
      <w:r w:rsidRPr="00DF5E98">
        <w:rPr>
          <w:rFonts w:ascii="Arial" w:hAnsi="Arial" w:cs="Arial"/>
          <w:snapToGrid w:val="0"/>
          <w:color w:val="000000" w:themeColor="text1"/>
          <w:szCs w:val="24"/>
          <w:lang w:eastAsia="en-US"/>
        </w:rPr>
        <w:t>Reserves:-</w:t>
      </w:r>
      <w:proofErr w:type="gramEnd"/>
    </w:p>
    <w:p w:rsidR="00A83FCE" w:rsidRPr="004517F5" w:rsidRDefault="00A83FCE" w:rsidP="00A83FCE">
      <w:pPr>
        <w:rPr>
          <w:rFonts w:cs="Arial"/>
          <w:color w:val="000000" w:themeColor="text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134"/>
      </w:tblGrid>
      <w:tr w:rsidR="00A83FCE" w:rsidRPr="00DF5E98" w:rsidTr="002450EE">
        <w:tc>
          <w:tcPr>
            <w:tcW w:w="4361" w:type="dxa"/>
            <w:vAlign w:val="bottom"/>
          </w:tcPr>
          <w:p w:rsidR="00A83FCE" w:rsidRPr="00DF5E98" w:rsidRDefault="00A83FCE" w:rsidP="002450EE">
            <w:pPr>
              <w:pStyle w:val="ListParagraph"/>
              <w:numPr>
                <w:ilvl w:val="0"/>
                <w:numId w:val="49"/>
              </w:numPr>
              <w:rPr>
                <w:rFonts w:ascii="Arial" w:hAnsi="Arial" w:cs="Arial"/>
                <w:snapToGrid w:val="0"/>
                <w:color w:val="000000" w:themeColor="text1"/>
                <w:szCs w:val="24"/>
                <w:lang w:eastAsia="en-US"/>
              </w:rPr>
            </w:pPr>
            <w:r w:rsidRPr="00DF5E98">
              <w:rPr>
                <w:rFonts w:ascii="Arial" w:hAnsi="Arial" w:cs="Arial"/>
                <w:snapToGrid w:val="0"/>
                <w:color w:val="000000" w:themeColor="text1"/>
                <w:szCs w:val="24"/>
                <w:lang w:eastAsia="en-US"/>
              </w:rPr>
              <w:t>London Boroughs</w:t>
            </w:r>
          </w:p>
        </w:tc>
        <w:tc>
          <w:tcPr>
            <w:tcW w:w="1134" w:type="dxa"/>
            <w:vAlign w:val="bottom"/>
          </w:tcPr>
          <w:p w:rsidR="00A83FCE" w:rsidRPr="00DF5E98" w:rsidRDefault="00A83FCE" w:rsidP="002450EE">
            <w:pPr>
              <w:jc w:val="center"/>
              <w:rPr>
                <w:rFonts w:ascii="Arial" w:hAnsi="Arial" w:cs="Arial"/>
                <w:snapToGrid w:val="0"/>
                <w:color w:val="000000" w:themeColor="text1"/>
                <w:szCs w:val="24"/>
                <w:lang w:eastAsia="en-US"/>
              </w:rPr>
            </w:pPr>
            <w:r w:rsidRPr="00DF5E98">
              <w:rPr>
                <w:rFonts w:ascii="Arial" w:hAnsi="Arial" w:cs="Arial"/>
                <w:szCs w:val="24"/>
              </w:rPr>
              <w:t>49%</w:t>
            </w:r>
          </w:p>
        </w:tc>
      </w:tr>
      <w:tr w:rsidR="00A83FCE" w:rsidRPr="00DF5E98" w:rsidTr="002450EE">
        <w:tc>
          <w:tcPr>
            <w:tcW w:w="4361" w:type="dxa"/>
            <w:vAlign w:val="bottom"/>
          </w:tcPr>
          <w:p w:rsidR="00A83FCE" w:rsidRPr="00DF5E98" w:rsidRDefault="00A83FCE" w:rsidP="002450EE">
            <w:pPr>
              <w:pStyle w:val="ListParagraph"/>
              <w:numPr>
                <w:ilvl w:val="0"/>
                <w:numId w:val="49"/>
              </w:numPr>
              <w:rPr>
                <w:rFonts w:ascii="Arial" w:hAnsi="Arial" w:cs="Arial"/>
                <w:snapToGrid w:val="0"/>
                <w:color w:val="000000" w:themeColor="text1"/>
                <w:szCs w:val="24"/>
                <w:lang w:eastAsia="en-US"/>
              </w:rPr>
            </w:pPr>
            <w:r w:rsidRPr="00DF5E98">
              <w:rPr>
                <w:rFonts w:ascii="Arial" w:hAnsi="Arial" w:cs="Arial"/>
                <w:snapToGrid w:val="0"/>
                <w:color w:val="000000" w:themeColor="text1"/>
                <w:szCs w:val="24"/>
                <w:lang w:eastAsia="en-US"/>
              </w:rPr>
              <w:t>Metropolitan Districts</w:t>
            </w:r>
          </w:p>
        </w:tc>
        <w:tc>
          <w:tcPr>
            <w:tcW w:w="1134" w:type="dxa"/>
            <w:vAlign w:val="bottom"/>
          </w:tcPr>
          <w:p w:rsidR="00A83FCE" w:rsidRPr="00DF5E98" w:rsidRDefault="00A83FCE" w:rsidP="002450EE">
            <w:pPr>
              <w:jc w:val="center"/>
              <w:rPr>
                <w:rFonts w:ascii="Arial" w:hAnsi="Arial" w:cs="Arial"/>
                <w:snapToGrid w:val="0"/>
                <w:color w:val="000000" w:themeColor="text1"/>
                <w:szCs w:val="24"/>
                <w:lang w:eastAsia="en-US"/>
              </w:rPr>
            </w:pPr>
            <w:r w:rsidRPr="00DF5E98">
              <w:rPr>
                <w:rFonts w:ascii="Arial" w:hAnsi="Arial" w:cs="Arial"/>
                <w:szCs w:val="24"/>
              </w:rPr>
              <w:t>40%</w:t>
            </w:r>
          </w:p>
        </w:tc>
      </w:tr>
      <w:tr w:rsidR="00A83FCE" w:rsidRPr="00DF5E98" w:rsidTr="002450EE">
        <w:tc>
          <w:tcPr>
            <w:tcW w:w="4361" w:type="dxa"/>
            <w:vAlign w:val="bottom"/>
          </w:tcPr>
          <w:p w:rsidR="00A83FCE" w:rsidRPr="00DF5E98" w:rsidRDefault="00A83FCE" w:rsidP="002450EE">
            <w:pPr>
              <w:pStyle w:val="ListParagraph"/>
              <w:numPr>
                <w:ilvl w:val="0"/>
                <w:numId w:val="49"/>
              </w:numPr>
              <w:rPr>
                <w:rFonts w:ascii="Arial" w:hAnsi="Arial" w:cs="Arial"/>
                <w:snapToGrid w:val="0"/>
                <w:color w:val="000000" w:themeColor="text1"/>
                <w:szCs w:val="24"/>
                <w:lang w:eastAsia="en-US"/>
              </w:rPr>
            </w:pPr>
            <w:r w:rsidRPr="00DF5E98">
              <w:rPr>
                <w:rFonts w:ascii="Arial" w:hAnsi="Arial" w:cs="Arial"/>
                <w:snapToGrid w:val="0"/>
                <w:color w:val="000000" w:themeColor="text1"/>
                <w:szCs w:val="24"/>
                <w:lang w:eastAsia="en-US"/>
              </w:rPr>
              <w:t>Unitary Authorities</w:t>
            </w:r>
          </w:p>
        </w:tc>
        <w:tc>
          <w:tcPr>
            <w:tcW w:w="1134" w:type="dxa"/>
            <w:vAlign w:val="bottom"/>
          </w:tcPr>
          <w:p w:rsidR="00A83FCE" w:rsidRPr="00DF5E98" w:rsidRDefault="00A83FCE" w:rsidP="002450EE">
            <w:pPr>
              <w:jc w:val="center"/>
              <w:rPr>
                <w:rFonts w:ascii="Arial" w:hAnsi="Arial" w:cs="Arial"/>
                <w:snapToGrid w:val="0"/>
                <w:color w:val="000000" w:themeColor="text1"/>
                <w:szCs w:val="24"/>
                <w:lang w:eastAsia="en-US"/>
              </w:rPr>
            </w:pPr>
            <w:r w:rsidRPr="00DF5E98">
              <w:rPr>
                <w:rFonts w:ascii="Arial" w:hAnsi="Arial" w:cs="Arial"/>
                <w:szCs w:val="24"/>
              </w:rPr>
              <w:t>39%</w:t>
            </w:r>
          </w:p>
        </w:tc>
      </w:tr>
      <w:tr w:rsidR="00A83FCE" w:rsidRPr="00DF5E98" w:rsidTr="002450EE">
        <w:tc>
          <w:tcPr>
            <w:tcW w:w="4361" w:type="dxa"/>
            <w:vAlign w:val="bottom"/>
          </w:tcPr>
          <w:p w:rsidR="00A83FCE" w:rsidRPr="00DF5E98" w:rsidRDefault="00A83FCE" w:rsidP="002450EE">
            <w:pPr>
              <w:pStyle w:val="ListParagraph"/>
              <w:numPr>
                <w:ilvl w:val="0"/>
                <w:numId w:val="49"/>
              </w:numPr>
              <w:rPr>
                <w:rFonts w:ascii="Arial" w:hAnsi="Arial" w:cs="Arial"/>
                <w:snapToGrid w:val="0"/>
                <w:color w:val="000000" w:themeColor="text1"/>
                <w:szCs w:val="24"/>
                <w:lang w:eastAsia="en-US"/>
              </w:rPr>
            </w:pPr>
            <w:r w:rsidRPr="00DF5E98">
              <w:rPr>
                <w:rFonts w:ascii="Arial" w:hAnsi="Arial" w:cs="Arial"/>
                <w:snapToGrid w:val="0"/>
                <w:color w:val="000000" w:themeColor="text1"/>
                <w:szCs w:val="24"/>
                <w:lang w:eastAsia="en-US"/>
              </w:rPr>
              <w:t>Shire Counties</w:t>
            </w:r>
          </w:p>
        </w:tc>
        <w:tc>
          <w:tcPr>
            <w:tcW w:w="1134" w:type="dxa"/>
            <w:vAlign w:val="bottom"/>
          </w:tcPr>
          <w:p w:rsidR="00A83FCE" w:rsidRPr="00DF5E98" w:rsidRDefault="00A83FCE" w:rsidP="002450EE">
            <w:pPr>
              <w:jc w:val="center"/>
              <w:rPr>
                <w:rFonts w:ascii="Arial" w:hAnsi="Arial" w:cs="Arial"/>
                <w:snapToGrid w:val="0"/>
                <w:color w:val="000000" w:themeColor="text1"/>
                <w:szCs w:val="24"/>
                <w:lang w:eastAsia="en-US"/>
              </w:rPr>
            </w:pPr>
            <w:r w:rsidRPr="00DF5E98">
              <w:rPr>
                <w:rFonts w:ascii="Arial" w:hAnsi="Arial" w:cs="Arial"/>
                <w:szCs w:val="24"/>
              </w:rPr>
              <w:t>28%</w:t>
            </w:r>
          </w:p>
        </w:tc>
      </w:tr>
      <w:tr w:rsidR="00A83FCE" w:rsidRPr="00DF5E98" w:rsidTr="002450EE">
        <w:tc>
          <w:tcPr>
            <w:tcW w:w="4361" w:type="dxa"/>
            <w:vAlign w:val="bottom"/>
          </w:tcPr>
          <w:p w:rsidR="00A83FCE" w:rsidRPr="00DF5E98" w:rsidRDefault="00A83FCE" w:rsidP="002450EE">
            <w:pPr>
              <w:pStyle w:val="ListParagraph"/>
              <w:numPr>
                <w:ilvl w:val="0"/>
                <w:numId w:val="49"/>
              </w:numPr>
              <w:rPr>
                <w:rFonts w:ascii="Arial" w:hAnsi="Arial" w:cs="Arial"/>
                <w:snapToGrid w:val="0"/>
                <w:color w:val="000000" w:themeColor="text1"/>
                <w:szCs w:val="24"/>
                <w:lang w:eastAsia="en-US"/>
              </w:rPr>
            </w:pPr>
            <w:r w:rsidRPr="00DF5E98">
              <w:rPr>
                <w:rFonts w:ascii="Arial" w:hAnsi="Arial" w:cs="Arial"/>
                <w:snapToGrid w:val="0"/>
                <w:color w:val="000000" w:themeColor="text1"/>
                <w:szCs w:val="24"/>
                <w:lang w:eastAsia="en-US"/>
              </w:rPr>
              <w:t>Shire Districts</w:t>
            </w:r>
          </w:p>
        </w:tc>
        <w:tc>
          <w:tcPr>
            <w:tcW w:w="1134" w:type="dxa"/>
            <w:vAlign w:val="bottom"/>
          </w:tcPr>
          <w:p w:rsidR="00A83FCE" w:rsidRPr="00DF5E98" w:rsidRDefault="00A83FCE" w:rsidP="002450EE">
            <w:pPr>
              <w:jc w:val="center"/>
              <w:rPr>
                <w:rFonts w:ascii="Arial" w:hAnsi="Arial" w:cs="Arial"/>
                <w:snapToGrid w:val="0"/>
                <w:color w:val="000000" w:themeColor="text1"/>
                <w:szCs w:val="24"/>
                <w:lang w:eastAsia="en-US"/>
              </w:rPr>
            </w:pPr>
            <w:r w:rsidRPr="00DF5E98">
              <w:rPr>
                <w:rFonts w:ascii="Arial" w:hAnsi="Arial" w:cs="Arial"/>
                <w:szCs w:val="24"/>
              </w:rPr>
              <w:t>133%</w:t>
            </w:r>
          </w:p>
        </w:tc>
      </w:tr>
      <w:tr w:rsidR="00A83FCE" w:rsidRPr="00DF5E98" w:rsidTr="002450EE">
        <w:tc>
          <w:tcPr>
            <w:tcW w:w="4361" w:type="dxa"/>
            <w:vAlign w:val="bottom"/>
          </w:tcPr>
          <w:p w:rsidR="00A83FCE" w:rsidRPr="00DF5E98" w:rsidRDefault="00A83FCE" w:rsidP="002450EE">
            <w:pPr>
              <w:pStyle w:val="ListParagraph"/>
              <w:numPr>
                <w:ilvl w:val="0"/>
                <w:numId w:val="49"/>
              </w:numPr>
              <w:rPr>
                <w:rFonts w:ascii="Arial" w:hAnsi="Arial" w:cs="Arial"/>
                <w:snapToGrid w:val="0"/>
                <w:color w:val="000000" w:themeColor="text1"/>
                <w:szCs w:val="24"/>
                <w:lang w:eastAsia="en-US"/>
              </w:rPr>
            </w:pPr>
            <w:r w:rsidRPr="00DF5E98">
              <w:rPr>
                <w:rFonts w:ascii="Arial" w:hAnsi="Arial" w:cs="Arial"/>
                <w:snapToGrid w:val="0"/>
                <w:color w:val="000000" w:themeColor="text1"/>
                <w:szCs w:val="24"/>
                <w:lang w:eastAsia="en-US"/>
              </w:rPr>
              <w:t>Other (which includes Fire)</w:t>
            </w:r>
          </w:p>
        </w:tc>
        <w:tc>
          <w:tcPr>
            <w:tcW w:w="1134" w:type="dxa"/>
            <w:tcBorders>
              <w:bottom w:val="single" w:sz="4" w:space="0" w:color="auto"/>
            </w:tcBorders>
            <w:vAlign w:val="bottom"/>
          </w:tcPr>
          <w:p w:rsidR="00A83FCE" w:rsidRPr="00DF5E98" w:rsidRDefault="00A83FCE" w:rsidP="002450EE">
            <w:pPr>
              <w:jc w:val="center"/>
              <w:rPr>
                <w:rFonts w:ascii="Arial" w:hAnsi="Arial" w:cs="Arial"/>
                <w:snapToGrid w:val="0"/>
                <w:color w:val="000000" w:themeColor="text1"/>
                <w:szCs w:val="24"/>
                <w:lang w:eastAsia="en-US"/>
              </w:rPr>
            </w:pPr>
            <w:r w:rsidRPr="00DF5E98">
              <w:rPr>
                <w:rFonts w:ascii="Arial" w:hAnsi="Arial" w:cs="Arial"/>
                <w:szCs w:val="24"/>
              </w:rPr>
              <w:t>32%</w:t>
            </w:r>
          </w:p>
        </w:tc>
      </w:tr>
      <w:tr w:rsidR="00A83FCE" w:rsidRPr="00DF5E98" w:rsidTr="002450EE">
        <w:tc>
          <w:tcPr>
            <w:tcW w:w="4361" w:type="dxa"/>
            <w:vAlign w:val="bottom"/>
          </w:tcPr>
          <w:p w:rsidR="00A83FCE" w:rsidRPr="00DF5E98" w:rsidRDefault="00A83FCE" w:rsidP="002450EE">
            <w:pPr>
              <w:pStyle w:val="ListParagraph"/>
              <w:numPr>
                <w:ilvl w:val="0"/>
                <w:numId w:val="49"/>
              </w:numPr>
              <w:rPr>
                <w:rFonts w:ascii="Arial" w:hAnsi="Arial" w:cs="Arial"/>
                <w:snapToGrid w:val="0"/>
                <w:color w:val="000000" w:themeColor="text1"/>
                <w:szCs w:val="24"/>
                <w:lang w:eastAsia="en-US"/>
              </w:rPr>
            </w:pPr>
            <w:r w:rsidRPr="00DF5E98">
              <w:rPr>
                <w:rFonts w:ascii="Arial" w:hAnsi="Arial" w:cs="Arial"/>
                <w:snapToGrid w:val="0"/>
                <w:color w:val="000000" w:themeColor="text1"/>
                <w:szCs w:val="24"/>
                <w:lang w:eastAsia="en-US"/>
              </w:rPr>
              <w:t>Overall</w:t>
            </w:r>
          </w:p>
        </w:tc>
        <w:tc>
          <w:tcPr>
            <w:tcW w:w="1134" w:type="dxa"/>
            <w:tcBorders>
              <w:top w:val="single" w:sz="4" w:space="0" w:color="auto"/>
              <w:bottom w:val="single" w:sz="4" w:space="0" w:color="auto"/>
            </w:tcBorders>
            <w:vAlign w:val="bottom"/>
          </w:tcPr>
          <w:p w:rsidR="00A83FCE" w:rsidRPr="00DF5E98" w:rsidRDefault="00A83FCE" w:rsidP="002450EE">
            <w:pPr>
              <w:jc w:val="center"/>
              <w:rPr>
                <w:rFonts w:ascii="Arial" w:hAnsi="Arial" w:cs="Arial"/>
                <w:snapToGrid w:val="0"/>
                <w:color w:val="000000" w:themeColor="text1"/>
                <w:szCs w:val="24"/>
                <w:lang w:eastAsia="en-US"/>
              </w:rPr>
            </w:pPr>
            <w:r w:rsidRPr="00DF5E98">
              <w:rPr>
                <w:rFonts w:ascii="Arial" w:hAnsi="Arial" w:cs="Arial"/>
                <w:szCs w:val="24"/>
              </w:rPr>
              <w:t>40%</w:t>
            </w:r>
          </w:p>
        </w:tc>
      </w:tr>
    </w:tbl>
    <w:p w:rsidR="005D0A97" w:rsidRPr="00603EAB" w:rsidRDefault="005D0A97" w:rsidP="00603EAB">
      <w:pPr>
        <w:rPr>
          <w:rFonts w:cs="Arial"/>
          <w:color w:val="000000" w:themeColor="text1"/>
          <w:szCs w:val="24"/>
        </w:rPr>
      </w:pPr>
    </w:p>
    <w:p w:rsidR="00C50213" w:rsidRDefault="00C50213" w:rsidP="006F0C8B">
      <w:pPr>
        <w:pStyle w:val="Heading5"/>
        <w:jc w:val="both"/>
        <w:rPr>
          <w:rFonts w:cs="Arial"/>
          <w:color w:val="000000" w:themeColor="text1"/>
          <w:szCs w:val="24"/>
        </w:rPr>
      </w:pPr>
    </w:p>
    <w:p w:rsidR="00F25A3E" w:rsidRDefault="00837168" w:rsidP="004B67B3">
      <w:pPr>
        <w:rPr>
          <w:rFonts w:ascii="Arial" w:hAnsi="Arial" w:cs="Arial"/>
          <w:snapToGrid w:val="0"/>
          <w:color w:val="000000" w:themeColor="text1"/>
          <w:szCs w:val="24"/>
          <w:lang w:eastAsia="en-US"/>
        </w:rPr>
      </w:pPr>
      <w:r>
        <w:rPr>
          <w:rFonts w:ascii="Arial" w:hAnsi="Arial" w:cs="Arial"/>
          <w:snapToGrid w:val="0"/>
          <w:color w:val="000000" w:themeColor="text1"/>
          <w:szCs w:val="24"/>
          <w:lang w:eastAsia="en-US"/>
        </w:rPr>
        <w:t>Further details of the year on change in reserves is shown below:</w:t>
      </w:r>
    </w:p>
    <w:p w:rsidR="00F25A3E" w:rsidRDefault="00F25A3E" w:rsidP="004B67B3">
      <w:pPr>
        <w:rPr>
          <w:rFonts w:ascii="Arial" w:hAnsi="Arial" w:cs="Arial"/>
          <w:snapToGrid w:val="0"/>
          <w:color w:val="000000" w:themeColor="text1"/>
          <w:szCs w:val="24"/>
          <w:lang w:eastAsia="en-US"/>
        </w:rPr>
      </w:pPr>
    </w:p>
    <w:p w:rsidR="00D52304" w:rsidRPr="001C3D91" w:rsidRDefault="00A83FCE" w:rsidP="00B16526">
      <w:pPr>
        <w:ind w:left="-567"/>
        <w:rPr>
          <w:rFonts w:ascii="Arial" w:hAnsi="Arial" w:cs="Arial"/>
          <w:snapToGrid w:val="0"/>
          <w:color w:val="000000" w:themeColor="text1"/>
          <w:szCs w:val="24"/>
          <w:lang w:eastAsia="en-US"/>
        </w:rPr>
      </w:pPr>
      <w:r w:rsidRPr="00FE7434">
        <w:rPr>
          <w:noProof/>
        </w:rPr>
        <w:drawing>
          <wp:inline distT="0" distB="0" distL="0" distR="0" wp14:anchorId="5A4F9CCE" wp14:editId="3B3F61AE">
            <wp:extent cx="5732145" cy="3404235"/>
            <wp:effectExtent l="0" t="0" r="190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145" cy="3404235"/>
                    </a:xfrm>
                    <a:prstGeom prst="rect">
                      <a:avLst/>
                    </a:prstGeom>
                    <a:noFill/>
                    <a:ln>
                      <a:noFill/>
                    </a:ln>
                  </pic:spPr>
                </pic:pic>
              </a:graphicData>
            </a:graphic>
          </wp:inline>
        </w:drawing>
      </w:r>
    </w:p>
    <w:sectPr w:rsidR="00D52304" w:rsidRPr="001C3D91" w:rsidSect="009C64C2">
      <w:footerReference w:type="default" r:id="rId12"/>
      <w:pgSz w:w="11907" w:h="16834"/>
      <w:pgMar w:top="1440" w:right="1440" w:bottom="1440" w:left="1440" w:header="720" w:footer="45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693" w:rsidRDefault="00826693" w:rsidP="00E010D2">
      <w:pPr>
        <w:pStyle w:val="Header"/>
      </w:pPr>
      <w:r>
        <w:separator/>
      </w:r>
    </w:p>
  </w:endnote>
  <w:endnote w:type="continuationSeparator" w:id="0">
    <w:p w:rsidR="00826693" w:rsidRDefault="00826693" w:rsidP="00E010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693" w:rsidRDefault="00826693" w:rsidP="005A401D">
    <w:pPr>
      <w:pStyle w:val="Footer"/>
      <w:tabs>
        <w:tab w:val="clear" w:pos="4153"/>
        <w:tab w:val="center" w:pos="50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693" w:rsidRDefault="00826693" w:rsidP="00E010D2">
      <w:pPr>
        <w:pStyle w:val="Header"/>
      </w:pPr>
      <w:r>
        <w:separator/>
      </w:r>
    </w:p>
  </w:footnote>
  <w:footnote w:type="continuationSeparator" w:id="0">
    <w:p w:rsidR="00826693" w:rsidRDefault="00826693" w:rsidP="00E010D2">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3F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1B50BA"/>
    <w:multiLevelType w:val="hybridMultilevel"/>
    <w:tmpl w:val="7BD28D2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EE14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B52CF"/>
    <w:multiLevelType w:val="hybridMultilevel"/>
    <w:tmpl w:val="42A64E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043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3949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193F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62347C"/>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242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1B12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519FE"/>
    <w:multiLevelType w:val="hybridMultilevel"/>
    <w:tmpl w:val="B8E47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DB37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7635DFB"/>
    <w:multiLevelType w:val="hybridMultilevel"/>
    <w:tmpl w:val="615C6C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ADD3A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0BC0A8D"/>
    <w:multiLevelType w:val="hybridMultilevel"/>
    <w:tmpl w:val="DBDAB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30F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4795E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5CE08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BE1D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AC87243"/>
    <w:multiLevelType w:val="hybridMultilevel"/>
    <w:tmpl w:val="8318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94990"/>
    <w:multiLevelType w:val="singleLevel"/>
    <w:tmpl w:val="C7F23A28"/>
    <w:lvl w:ilvl="0">
      <w:start w:val="1"/>
      <w:numFmt w:val="lowerRoman"/>
      <w:lvlText w:val="(%1)"/>
      <w:lvlJc w:val="left"/>
      <w:pPr>
        <w:tabs>
          <w:tab w:val="num" w:pos="720"/>
        </w:tabs>
        <w:ind w:left="720" w:hanging="720"/>
      </w:pPr>
      <w:rPr>
        <w:rFonts w:hint="default"/>
      </w:rPr>
    </w:lvl>
  </w:abstractNum>
  <w:abstractNum w:abstractNumId="21" w15:restartNumberingAfterBreak="0">
    <w:nsid w:val="2D751452"/>
    <w:multiLevelType w:val="hybridMultilevel"/>
    <w:tmpl w:val="61DEFE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D926C1"/>
    <w:multiLevelType w:val="hybridMultilevel"/>
    <w:tmpl w:val="2DF2F33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F107DE"/>
    <w:multiLevelType w:val="hybridMultilevel"/>
    <w:tmpl w:val="EEFAA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495FCB"/>
    <w:multiLevelType w:val="hybridMultilevel"/>
    <w:tmpl w:val="92647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B43E5D"/>
    <w:multiLevelType w:val="singleLevel"/>
    <w:tmpl w:val="7A4A1012"/>
    <w:lvl w:ilvl="0">
      <w:start w:val="1"/>
      <w:numFmt w:val="bullet"/>
      <w:lvlText w:val=""/>
      <w:lvlJc w:val="left"/>
      <w:pPr>
        <w:tabs>
          <w:tab w:val="num" w:pos="720"/>
        </w:tabs>
        <w:ind w:left="720" w:hanging="720"/>
      </w:pPr>
      <w:rPr>
        <w:rFonts w:ascii="Symbol" w:hAnsi="Symbol" w:hint="default"/>
      </w:rPr>
    </w:lvl>
  </w:abstractNum>
  <w:abstractNum w:abstractNumId="26" w15:restartNumberingAfterBreak="0">
    <w:nsid w:val="39077FAC"/>
    <w:multiLevelType w:val="multilevel"/>
    <w:tmpl w:val="C3B0DDC6"/>
    <w:lvl w:ilvl="0">
      <w:start w:val="38"/>
      <w:numFmt w:val="bullet"/>
      <w:lvlText w:val=""/>
      <w:lvlJc w:val="left"/>
      <w:pPr>
        <w:tabs>
          <w:tab w:val="num" w:pos="567"/>
        </w:tabs>
        <w:ind w:left="567" w:hanging="567"/>
      </w:pPr>
      <w:rPr>
        <w:rFonts w:ascii="Symbol" w:hAnsi="Symbol" w:hint="default"/>
        <w:b w:val="0"/>
        <w:i w:val="0"/>
        <w:color w:val="auto"/>
        <w:sz w:val="20"/>
        <w:szCs w:val="20"/>
      </w:rPr>
    </w:lvl>
    <w:lvl w:ilvl="1" w:tentative="1">
      <w:start w:val="1"/>
      <w:numFmt w:val="bullet"/>
      <w:lvlText w:val="o"/>
      <w:lvlJc w:val="left"/>
      <w:pPr>
        <w:tabs>
          <w:tab w:val="num" w:pos="1440"/>
        </w:tabs>
        <w:ind w:left="1440" w:hanging="360"/>
      </w:pPr>
      <w:rPr>
        <w:rFonts w:ascii="Courier New" w:hAnsi="Courier New" w:cs="Helvetic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Helvetic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Helvetic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1557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6F14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C26E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9806D50"/>
    <w:multiLevelType w:val="hybridMultilevel"/>
    <w:tmpl w:val="7824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2700F1"/>
    <w:multiLevelType w:val="multilevel"/>
    <w:tmpl w:val="76787D4C"/>
    <w:lvl w:ilvl="0">
      <w:start w:val="1"/>
      <w:numFmt w:val="bullet"/>
      <w:lvlText w:val=""/>
      <w:lvlJc w:val="left"/>
      <w:pPr>
        <w:tabs>
          <w:tab w:val="num" w:pos="360"/>
        </w:tabs>
        <w:ind w:left="360" w:hanging="360"/>
      </w:pPr>
      <w:rPr>
        <w:rFonts w:ascii="Symbol" w:hAnsi="Symbol" w:hint="default"/>
        <w:sz w:val="20"/>
        <w:szCs w:val="20"/>
      </w:rPr>
    </w:lvl>
    <w:lvl w:ilvl="1" w:tentative="1">
      <w:start w:val="1"/>
      <w:numFmt w:val="bullet"/>
      <w:lvlText w:val="o"/>
      <w:lvlJc w:val="left"/>
      <w:pPr>
        <w:tabs>
          <w:tab w:val="num" w:pos="1080"/>
        </w:tabs>
        <w:ind w:left="1080" w:hanging="360"/>
      </w:pPr>
      <w:rPr>
        <w:rFonts w:ascii="Courier New" w:hAnsi="Courier New" w:cs="Helvetic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Helvetic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Helvetic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1B30556"/>
    <w:multiLevelType w:val="singleLevel"/>
    <w:tmpl w:val="0809000F"/>
    <w:lvl w:ilvl="0">
      <w:start w:val="1"/>
      <w:numFmt w:val="decimal"/>
      <w:lvlText w:val="%1."/>
      <w:lvlJc w:val="left"/>
      <w:pPr>
        <w:tabs>
          <w:tab w:val="num" w:pos="360"/>
        </w:tabs>
        <w:ind w:left="360" w:hanging="360"/>
      </w:pPr>
    </w:lvl>
  </w:abstractNum>
  <w:abstractNum w:abstractNumId="33" w15:restartNumberingAfterBreak="0">
    <w:nsid w:val="528740BC"/>
    <w:multiLevelType w:val="hybridMultilevel"/>
    <w:tmpl w:val="3E20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1502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3E950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79E1186"/>
    <w:multiLevelType w:val="hybridMultilevel"/>
    <w:tmpl w:val="AC525820"/>
    <w:lvl w:ilvl="0" w:tplc="D1F2E36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8EB67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B3D6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E1B73B9"/>
    <w:multiLevelType w:val="singleLevel"/>
    <w:tmpl w:val="7A4A1012"/>
    <w:lvl w:ilvl="0">
      <w:start w:val="1"/>
      <w:numFmt w:val="bullet"/>
      <w:lvlText w:val=""/>
      <w:lvlJc w:val="left"/>
      <w:pPr>
        <w:tabs>
          <w:tab w:val="num" w:pos="720"/>
        </w:tabs>
        <w:ind w:left="720" w:hanging="720"/>
      </w:pPr>
      <w:rPr>
        <w:rFonts w:ascii="Symbol" w:hAnsi="Symbol" w:hint="default"/>
      </w:rPr>
    </w:lvl>
  </w:abstractNum>
  <w:abstractNum w:abstractNumId="40" w15:restartNumberingAfterBreak="0">
    <w:nsid w:val="5FA91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FEC3955"/>
    <w:multiLevelType w:val="hybridMultilevel"/>
    <w:tmpl w:val="593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0F6F91"/>
    <w:multiLevelType w:val="hybridMultilevel"/>
    <w:tmpl w:val="CB9CA9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1A72016"/>
    <w:multiLevelType w:val="hybridMultilevel"/>
    <w:tmpl w:val="4372F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BA05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D593DD6"/>
    <w:multiLevelType w:val="hybridMultilevel"/>
    <w:tmpl w:val="003C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E5802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1093889"/>
    <w:multiLevelType w:val="singleLevel"/>
    <w:tmpl w:val="9312803C"/>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0322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7B2A402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7"/>
  </w:num>
  <w:num w:numId="2">
    <w:abstractNumId w:val="5"/>
  </w:num>
  <w:num w:numId="3">
    <w:abstractNumId w:val="6"/>
  </w:num>
  <w:num w:numId="4">
    <w:abstractNumId w:val="29"/>
  </w:num>
  <w:num w:numId="5">
    <w:abstractNumId w:val="9"/>
  </w:num>
  <w:num w:numId="6">
    <w:abstractNumId w:val="4"/>
  </w:num>
  <w:num w:numId="7">
    <w:abstractNumId w:val="7"/>
  </w:num>
  <w:num w:numId="8">
    <w:abstractNumId w:val="32"/>
  </w:num>
  <w:num w:numId="9">
    <w:abstractNumId w:val="0"/>
  </w:num>
  <w:num w:numId="10">
    <w:abstractNumId w:val="20"/>
  </w:num>
  <w:num w:numId="11">
    <w:abstractNumId w:val="17"/>
  </w:num>
  <w:num w:numId="12">
    <w:abstractNumId w:val="38"/>
  </w:num>
  <w:num w:numId="13">
    <w:abstractNumId w:val="40"/>
  </w:num>
  <w:num w:numId="14">
    <w:abstractNumId w:val="2"/>
  </w:num>
  <w:num w:numId="15">
    <w:abstractNumId w:val="28"/>
  </w:num>
  <w:num w:numId="16">
    <w:abstractNumId w:val="49"/>
  </w:num>
  <w:num w:numId="17">
    <w:abstractNumId w:val="8"/>
  </w:num>
  <w:num w:numId="18">
    <w:abstractNumId w:val="34"/>
  </w:num>
  <w:num w:numId="19">
    <w:abstractNumId w:val="16"/>
  </w:num>
  <w:num w:numId="20">
    <w:abstractNumId w:val="15"/>
  </w:num>
  <w:num w:numId="21">
    <w:abstractNumId w:val="11"/>
  </w:num>
  <w:num w:numId="22">
    <w:abstractNumId w:val="39"/>
  </w:num>
  <w:num w:numId="23">
    <w:abstractNumId w:val="25"/>
  </w:num>
  <w:num w:numId="24">
    <w:abstractNumId w:val="48"/>
  </w:num>
  <w:num w:numId="25">
    <w:abstractNumId w:val="44"/>
  </w:num>
  <w:num w:numId="26">
    <w:abstractNumId w:val="31"/>
  </w:num>
  <w:num w:numId="27">
    <w:abstractNumId w:val="26"/>
  </w:num>
  <w:num w:numId="28">
    <w:abstractNumId w:val="27"/>
  </w:num>
  <w:num w:numId="29">
    <w:abstractNumId w:val="13"/>
  </w:num>
  <w:num w:numId="30">
    <w:abstractNumId w:val="37"/>
  </w:num>
  <w:num w:numId="31">
    <w:abstractNumId w:val="35"/>
  </w:num>
  <w:num w:numId="32">
    <w:abstractNumId w:val="46"/>
  </w:num>
  <w:num w:numId="33">
    <w:abstractNumId w:val="23"/>
  </w:num>
  <w:num w:numId="34">
    <w:abstractNumId w:val="21"/>
  </w:num>
  <w:num w:numId="35">
    <w:abstractNumId w:val="24"/>
  </w:num>
  <w:num w:numId="36">
    <w:abstractNumId w:val="36"/>
  </w:num>
  <w:num w:numId="37">
    <w:abstractNumId w:val="1"/>
  </w:num>
  <w:num w:numId="38">
    <w:abstractNumId w:val="18"/>
  </w:num>
  <w:num w:numId="39">
    <w:abstractNumId w:val="14"/>
  </w:num>
  <w:num w:numId="40">
    <w:abstractNumId w:val="42"/>
  </w:num>
  <w:num w:numId="41">
    <w:abstractNumId w:val="3"/>
  </w:num>
  <w:num w:numId="42">
    <w:abstractNumId w:val="22"/>
  </w:num>
  <w:num w:numId="43">
    <w:abstractNumId w:val="19"/>
  </w:num>
  <w:num w:numId="44">
    <w:abstractNumId w:val="10"/>
  </w:num>
  <w:num w:numId="45">
    <w:abstractNumId w:val="45"/>
  </w:num>
  <w:num w:numId="46">
    <w:abstractNumId w:val="30"/>
  </w:num>
  <w:num w:numId="47">
    <w:abstractNumId w:val="12"/>
  </w:num>
  <w:num w:numId="48">
    <w:abstractNumId w:val="41"/>
  </w:num>
  <w:num w:numId="49">
    <w:abstractNumId w:val="33"/>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A36"/>
    <w:rsid w:val="0000084A"/>
    <w:rsid w:val="0000393C"/>
    <w:rsid w:val="000058D3"/>
    <w:rsid w:val="00011B12"/>
    <w:rsid w:val="00016137"/>
    <w:rsid w:val="000168EE"/>
    <w:rsid w:val="0002419B"/>
    <w:rsid w:val="00024C3B"/>
    <w:rsid w:val="00027F5A"/>
    <w:rsid w:val="000347DA"/>
    <w:rsid w:val="0003514E"/>
    <w:rsid w:val="00043AD9"/>
    <w:rsid w:val="00043B3F"/>
    <w:rsid w:val="00054E26"/>
    <w:rsid w:val="000618B0"/>
    <w:rsid w:val="00061AA1"/>
    <w:rsid w:val="00061C84"/>
    <w:rsid w:val="00072B9A"/>
    <w:rsid w:val="00076514"/>
    <w:rsid w:val="000A4ABA"/>
    <w:rsid w:val="000A76C3"/>
    <w:rsid w:val="000B3FC2"/>
    <w:rsid w:val="000C2F4E"/>
    <w:rsid w:val="000D2FAA"/>
    <w:rsid w:val="000D6C74"/>
    <w:rsid w:val="000E1945"/>
    <w:rsid w:val="000E27F7"/>
    <w:rsid w:val="000E797A"/>
    <w:rsid w:val="000F2C39"/>
    <w:rsid w:val="00103D4B"/>
    <w:rsid w:val="0011624C"/>
    <w:rsid w:val="001220B7"/>
    <w:rsid w:val="001255B4"/>
    <w:rsid w:val="00135E9B"/>
    <w:rsid w:val="00142C39"/>
    <w:rsid w:val="001508F6"/>
    <w:rsid w:val="00155753"/>
    <w:rsid w:val="001563AE"/>
    <w:rsid w:val="00176832"/>
    <w:rsid w:val="00184585"/>
    <w:rsid w:val="00191ABD"/>
    <w:rsid w:val="001C0735"/>
    <w:rsid w:val="001C32F9"/>
    <w:rsid w:val="001C3D91"/>
    <w:rsid w:val="001D5667"/>
    <w:rsid w:val="001D5BC2"/>
    <w:rsid w:val="001F4BC4"/>
    <w:rsid w:val="001F5789"/>
    <w:rsid w:val="00215185"/>
    <w:rsid w:val="00215B62"/>
    <w:rsid w:val="00226B7A"/>
    <w:rsid w:val="002532EA"/>
    <w:rsid w:val="00253D57"/>
    <w:rsid w:val="00256C72"/>
    <w:rsid w:val="002630F7"/>
    <w:rsid w:val="002775A3"/>
    <w:rsid w:val="002936C9"/>
    <w:rsid w:val="002A00BF"/>
    <w:rsid w:val="002A259B"/>
    <w:rsid w:val="002A5936"/>
    <w:rsid w:val="002A7D32"/>
    <w:rsid w:val="002B1211"/>
    <w:rsid w:val="002B46FC"/>
    <w:rsid w:val="002D1C61"/>
    <w:rsid w:val="002E35F0"/>
    <w:rsid w:val="002F4B4C"/>
    <w:rsid w:val="002F533C"/>
    <w:rsid w:val="00300649"/>
    <w:rsid w:val="00302172"/>
    <w:rsid w:val="003162CA"/>
    <w:rsid w:val="0032212F"/>
    <w:rsid w:val="003263D5"/>
    <w:rsid w:val="0033029B"/>
    <w:rsid w:val="003415B5"/>
    <w:rsid w:val="00341AC1"/>
    <w:rsid w:val="003505F5"/>
    <w:rsid w:val="003520F4"/>
    <w:rsid w:val="00373EEE"/>
    <w:rsid w:val="00374711"/>
    <w:rsid w:val="00381A34"/>
    <w:rsid w:val="00385020"/>
    <w:rsid w:val="00385DF5"/>
    <w:rsid w:val="003C04D1"/>
    <w:rsid w:val="003C5522"/>
    <w:rsid w:val="003C574F"/>
    <w:rsid w:val="003C5EE2"/>
    <w:rsid w:val="003D31CC"/>
    <w:rsid w:val="003E6198"/>
    <w:rsid w:val="003F254B"/>
    <w:rsid w:val="003F269D"/>
    <w:rsid w:val="00402954"/>
    <w:rsid w:val="00422427"/>
    <w:rsid w:val="00436B96"/>
    <w:rsid w:val="00473E07"/>
    <w:rsid w:val="00480B66"/>
    <w:rsid w:val="004933D8"/>
    <w:rsid w:val="00497099"/>
    <w:rsid w:val="00497602"/>
    <w:rsid w:val="004B0FB8"/>
    <w:rsid w:val="004B67B3"/>
    <w:rsid w:val="004C0A41"/>
    <w:rsid w:val="004C0E50"/>
    <w:rsid w:val="004C6D8A"/>
    <w:rsid w:val="004D700E"/>
    <w:rsid w:val="004E289E"/>
    <w:rsid w:val="004E78D0"/>
    <w:rsid w:val="004F0A9E"/>
    <w:rsid w:val="004F4C95"/>
    <w:rsid w:val="00513341"/>
    <w:rsid w:val="00527CD9"/>
    <w:rsid w:val="0053084C"/>
    <w:rsid w:val="00534C0C"/>
    <w:rsid w:val="005476AF"/>
    <w:rsid w:val="00552126"/>
    <w:rsid w:val="00552154"/>
    <w:rsid w:val="0055589D"/>
    <w:rsid w:val="00556974"/>
    <w:rsid w:val="00557B8A"/>
    <w:rsid w:val="00560634"/>
    <w:rsid w:val="005610A1"/>
    <w:rsid w:val="00570B5B"/>
    <w:rsid w:val="00572801"/>
    <w:rsid w:val="00581C7F"/>
    <w:rsid w:val="005824C9"/>
    <w:rsid w:val="005876E6"/>
    <w:rsid w:val="00592287"/>
    <w:rsid w:val="005A401D"/>
    <w:rsid w:val="005B3185"/>
    <w:rsid w:val="005D0A97"/>
    <w:rsid w:val="005D3F15"/>
    <w:rsid w:val="005E2B36"/>
    <w:rsid w:val="005F1AAF"/>
    <w:rsid w:val="005F7C2E"/>
    <w:rsid w:val="00603351"/>
    <w:rsid w:val="00603EAB"/>
    <w:rsid w:val="00604BF6"/>
    <w:rsid w:val="00607D75"/>
    <w:rsid w:val="00626F2A"/>
    <w:rsid w:val="00630BE6"/>
    <w:rsid w:val="006344E0"/>
    <w:rsid w:val="00637A6F"/>
    <w:rsid w:val="00637D7D"/>
    <w:rsid w:val="006432CC"/>
    <w:rsid w:val="00646BDB"/>
    <w:rsid w:val="0065384D"/>
    <w:rsid w:val="00655FCA"/>
    <w:rsid w:val="00662182"/>
    <w:rsid w:val="00662EA2"/>
    <w:rsid w:val="006662F5"/>
    <w:rsid w:val="00666DC4"/>
    <w:rsid w:val="00670D3F"/>
    <w:rsid w:val="0067598C"/>
    <w:rsid w:val="00683821"/>
    <w:rsid w:val="00684CEB"/>
    <w:rsid w:val="0068647C"/>
    <w:rsid w:val="006960C6"/>
    <w:rsid w:val="006A0438"/>
    <w:rsid w:val="006A39D6"/>
    <w:rsid w:val="006C369E"/>
    <w:rsid w:val="006C5B47"/>
    <w:rsid w:val="006D4961"/>
    <w:rsid w:val="006F0760"/>
    <w:rsid w:val="006F0C8B"/>
    <w:rsid w:val="006F4497"/>
    <w:rsid w:val="0070132F"/>
    <w:rsid w:val="0071008E"/>
    <w:rsid w:val="00716C8C"/>
    <w:rsid w:val="00723115"/>
    <w:rsid w:val="0072489E"/>
    <w:rsid w:val="00726D20"/>
    <w:rsid w:val="00732808"/>
    <w:rsid w:val="00734F42"/>
    <w:rsid w:val="00741A7C"/>
    <w:rsid w:val="00745379"/>
    <w:rsid w:val="00745D07"/>
    <w:rsid w:val="007643A3"/>
    <w:rsid w:val="0078084B"/>
    <w:rsid w:val="007849F8"/>
    <w:rsid w:val="00787BBE"/>
    <w:rsid w:val="007A14A0"/>
    <w:rsid w:val="007A2434"/>
    <w:rsid w:val="007A5999"/>
    <w:rsid w:val="007B0918"/>
    <w:rsid w:val="007B3731"/>
    <w:rsid w:val="007B61AC"/>
    <w:rsid w:val="007D0B5C"/>
    <w:rsid w:val="007D1671"/>
    <w:rsid w:val="007D1C46"/>
    <w:rsid w:val="007D3F6A"/>
    <w:rsid w:val="007D56A2"/>
    <w:rsid w:val="007E20A2"/>
    <w:rsid w:val="007E6D7B"/>
    <w:rsid w:val="007F701E"/>
    <w:rsid w:val="0080513E"/>
    <w:rsid w:val="0080631A"/>
    <w:rsid w:val="00814BB6"/>
    <w:rsid w:val="00814EBD"/>
    <w:rsid w:val="0081631C"/>
    <w:rsid w:val="00816D78"/>
    <w:rsid w:val="00826693"/>
    <w:rsid w:val="008314AF"/>
    <w:rsid w:val="00837168"/>
    <w:rsid w:val="00856F30"/>
    <w:rsid w:val="00861964"/>
    <w:rsid w:val="00871C5C"/>
    <w:rsid w:val="008736D9"/>
    <w:rsid w:val="00882BA2"/>
    <w:rsid w:val="0088793A"/>
    <w:rsid w:val="00887D20"/>
    <w:rsid w:val="00894E8A"/>
    <w:rsid w:val="008B028C"/>
    <w:rsid w:val="008B1F4C"/>
    <w:rsid w:val="008B7425"/>
    <w:rsid w:val="008C0E3D"/>
    <w:rsid w:val="008C43D5"/>
    <w:rsid w:val="008C7013"/>
    <w:rsid w:val="008D6C3C"/>
    <w:rsid w:val="008E0A36"/>
    <w:rsid w:val="008E19D5"/>
    <w:rsid w:val="008E3866"/>
    <w:rsid w:val="008E45EE"/>
    <w:rsid w:val="008F3003"/>
    <w:rsid w:val="00901BD0"/>
    <w:rsid w:val="00903131"/>
    <w:rsid w:val="00905BEF"/>
    <w:rsid w:val="00907528"/>
    <w:rsid w:val="0091453D"/>
    <w:rsid w:val="0092264C"/>
    <w:rsid w:val="009229FA"/>
    <w:rsid w:val="009279DD"/>
    <w:rsid w:val="00934141"/>
    <w:rsid w:val="00934A7A"/>
    <w:rsid w:val="00935BC9"/>
    <w:rsid w:val="00940F6B"/>
    <w:rsid w:val="0094679E"/>
    <w:rsid w:val="00972B72"/>
    <w:rsid w:val="00983C65"/>
    <w:rsid w:val="00994105"/>
    <w:rsid w:val="0099716C"/>
    <w:rsid w:val="009A342B"/>
    <w:rsid w:val="009A4DB0"/>
    <w:rsid w:val="009A6DDE"/>
    <w:rsid w:val="009B0D49"/>
    <w:rsid w:val="009B27EC"/>
    <w:rsid w:val="009C005A"/>
    <w:rsid w:val="009C64C2"/>
    <w:rsid w:val="009C7424"/>
    <w:rsid w:val="009D3CB1"/>
    <w:rsid w:val="009F4C25"/>
    <w:rsid w:val="009F6487"/>
    <w:rsid w:val="00A00622"/>
    <w:rsid w:val="00A00C93"/>
    <w:rsid w:val="00A0728E"/>
    <w:rsid w:val="00A124EF"/>
    <w:rsid w:val="00A14873"/>
    <w:rsid w:val="00A22105"/>
    <w:rsid w:val="00A23700"/>
    <w:rsid w:val="00A26785"/>
    <w:rsid w:val="00A2706E"/>
    <w:rsid w:val="00A4350F"/>
    <w:rsid w:val="00A450C8"/>
    <w:rsid w:val="00A55FD2"/>
    <w:rsid w:val="00A5650E"/>
    <w:rsid w:val="00A60584"/>
    <w:rsid w:val="00A63BF1"/>
    <w:rsid w:val="00A74668"/>
    <w:rsid w:val="00A83FCE"/>
    <w:rsid w:val="00A93D24"/>
    <w:rsid w:val="00A97BAE"/>
    <w:rsid w:val="00AA7AF9"/>
    <w:rsid w:val="00AB39EB"/>
    <w:rsid w:val="00AC469A"/>
    <w:rsid w:val="00AE1284"/>
    <w:rsid w:val="00B01A29"/>
    <w:rsid w:val="00B06FA0"/>
    <w:rsid w:val="00B10089"/>
    <w:rsid w:val="00B120C2"/>
    <w:rsid w:val="00B16526"/>
    <w:rsid w:val="00B23F77"/>
    <w:rsid w:val="00B2426E"/>
    <w:rsid w:val="00B25986"/>
    <w:rsid w:val="00B35A87"/>
    <w:rsid w:val="00B43CA8"/>
    <w:rsid w:val="00B44AF7"/>
    <w:rsid w:val="00B47003"/>
    <w:rsid w:val="00B65217"/>
    <w:rsid w:val="00B72441"/>
    <w:rsid w:val="00B75032"/>
    <w:rsid w:val="00B77ED4"/>
    <w:rsid w:val="00B946C6"/>
    <w:rsid w:val="00BA0B8F"/>
    <w:rsid w:val="00BA3429"/>
    <w:rsid w:val="00BB5EEC"/>
    <w:rsid w:val="00BC0B97"/>
    <w:rsid w:val="00BE0D11"/>
    <w:rsid w:val="00BE3901"/>
    <w:rsid w:val="00BE6547"/>
    <w:rsid w:val="00BF0DDD"/>
    <w:rsid w:val="00BF3AD1"/>
    <w:rsid w:val="00C01491"/>
    <w:rsid w:val="00C125F5"/>
    <w:rsid w:val="00C27CDA"/>
    <w:rsid w:val="00C3247C"/>
    <w:rsid w:val="00C36CB6"/>
    <w:rsid w:val="00C3767A"/>
    <w:rsid w:val="00C46F49"/>
    <w:rsid w:val="00C474AA"/>
    <w:rsid w:val="00C50213"/>
    <w:rsid w:val="00C502A4"/>
    <w:rsid w:val="00C513BB"/>
    <w:rsid w:val="00C7575A"/>
    <w:rsid w:val="00C9212E"/>
    <w:rsid w:val="00C965A5"/>
    <w:rsid w:val="00CA43AA"/>
    <w:rsid w:val="00CA46C9"/>
    <w:rsid w:val="00CA5176"/>
    <w:rsid w:val="00CB025D"/>
    <w:rsid w:val="00CB3F88"/>
    <w:rsid w:val="00CC4ADE"/>
    <w:rsid w:val="00CC5F52"/>
    <w:rsid w:val="00CD08A8"/>
    <w:rsid w:val="00CD1659"/>
    <w:rsid w:val="00CE435A"/>
    <w:rsid w:val="00CF14E9"/>
    <w:rsid w:val="00CF3E2C"/>
    <w:rsid w:val="00CF6CBC"/>
    <w:rsid w:val="00D03C29"/>
    <w:rsid w:val="00D06841"/>
    <w:rsid w:val="00D07871"/>
    <w:rsid w:val="00D117B8"/>
    <w:rsid w:val="00D14961"/>
    <w:rsid w:val="00D272FE"/>
    <w:rsid w:val="00D330AE"/>
    <w:rsid w:val="00D34F29"/>
    <w:rsid w:val="00D4052A"/>
    <w:rsid w:val="00D51F69"/>
    <w:rsid w:val="00D52304"/>
    <w:rsid w:val="00D551DE"/>
    <w:rsid w:val="00D556D8"/>
    <w:rsid w:val="00D57B1D"/>
    <w:rsid w:val="00D65222"/>
    <w:rsid w:val="00D66254"/>
    <w:rsid w:val="00D66A65"/>
    <w:rsid w:val="00D7611C"/>
    <w:rsid w:val="00D871DF"/>
    <w:rsid w:val="00D91460"/>
    <w:rsid w:val="00D94F20"/>
    <w:rsid w:val="00D97591"/>
    <w:rsid w:val="00DA33BC"/>
    <w:rsid w:val="00DB474B"/>
    <w:rsid w:val="00DB550A"/>
    <w:rsid w:val="00DB6C3B"/>
    <w:rsid w:val="00DB7445"/>
    <w:rsid w:val="00DC5987"/>
    <w:rsid w:val="00DC719A"/>
    <w:rsid w:val="00DC728B"/>
    <w:rsid w:val="00DD12DE"/>
    <w:rsid w:val="00DD498F"/>
    <w:rsid w:val="00DE438E"/>
    <w:rsid w:val="00DF1CA6"/>
    <w:rsid w:val="00E010D2"/>
    <w:rsid w:val="00E10476"/>
    <w:rsid w:val="00E1460A"/>
    <w:rsid w:val="00E1647C"/>
    <w:rsid w:val="00E17209"/>
    <w:rsid w:val="00E17602"/>
    <w:rsid w:val="00E219C5"/>
    <w:rsid w:val="00E22148"/>
    <w:rsid w:val="00E2365A"/>
    <w:rsid w:val="00E24690"/>
    <w:rsid w:val="00E32983"/>
    <w:rsid w:val="00E3304D"/>
    <w:rsid w:val="00E337F1"/>
    <w:rsid w:val="00E34E0F"/>
    <w:rsid w:val="00E45658"/>
    <w:rsid w:val="00E456B2"/>
    <w:rsid w:val="00E5170D"/>
    <w:rsid w:val="00E6322D"/>
    <w:rsid w:val="00E83B52"/>
    <w:rsid w:val="00E921EA"/>
    <w:rsid w:val="00E95186"/>
    <w:rsid w:val="00EA0F15"/>
    <w:rsid w:val="00EA370E"/>
    <w:rsid w:val="00ED1590"/>
    <w:rsid w:val="00ED1B9A"/>
    <w:rsid w:val="00F0136F"/>
    <w:rsid w:val="00F01DA5"/>
    <w:rsid w:val="00F0627B"/>
    <w:rsid w:val="00F14DCA"/>
    <w:rsid w:val="00F203DC"/>
    <w:rsid w:val="00F25A3E"/>
    <w:rsid w:val="00F301D8"/>
    <w:rsid w:val="00F3066E"/>
    <w:rsid w:val="00F31988"/>
    <w:rsid w:val="00F40CC7"/>
    <w:rsid w:val="00F4365E"/>
    <w:rsid w:val="00F50604"/>
    <w:rsid w:val="00F528D9"/>
    <w:rsid w:val="00F64F3F"/>
    <w:rsid w:val="00F67A98"/>
    <w:rsid w:val="00F76F33"/>
    <w:rsid w:val="00F8452A"/>
    <w:rsid w:val="00F8569D"/>
    <w:rsid w:val="00F934DF"/>
    <w:rsid w:val="00FB024A"/>
    <w:rsid w:val="00FD1304"/>
    <w:rsid w:val="00FD1E7C"/>
    <w:rsid w:val="00FE4E19"/>
    <w:rsid w:val="00FE6FCA"/>
    <w:rsid w:val="00FE71B9"/>
    <w:rsid w:val="00FF1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BF460F"/>
  <w15:docId w15:val="{22AE8A61-0D9C-4856-B425-57A561E1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napToGrid w:val="0"/>
      <w:color w:val="000000"/>
      <w:sz w:val="28"/>
      <w:lang w:eastAsia="en-US"/>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jc w:val="center"/>
      <w:outlineLvl w:val="3"/>
    </w:pPr>
    <w:rPr>
      <w:rFonts w:ascii="Arial" w:hAnsi="Arial"/>
      <w:b/>
      <w:snapToGrid w:val="0"/>
      <w:color w:val="000000"/>
      <w:lang w:eastAsia="en-US"/>
    </w:rPr>
  </w:style>
  <w:style w:type="paragraph" w:styleId="Heading5">
    <w:name w:val="heading 5"/>
    <w:basedOn w:val="Normal"/>
    <w:next w:val="Normal"/>
    <w:qFormat/>
    <w:pPr>
      <w:keepNext/>
      <w:outlineLvl w:val="4"/>
    </w:pPr>
    <w:rPr>
      <w:rFonts w:ascii="Arial" w:hAnsi="Arial"/>
      <w:b/>
      <w:snapToGrid w:val="0"/>
      <w:color w:val="000000"/>
      <w:lang w:eastAsia="en-US"/>
    </w:rPr>
  </w:style>
  <w:style w:type="paragraph" w:styleId="Heading6">
    <w:name w:val="heading 6"/>
    <w:basedOn w:val="Normal"/>
    <w:next w:val="Normal"/>
    <w:qFormat/>
    <w:pPr>
      <w:keepNext/>
      <w:outlineLvl w:val="5"/>
    </w:pPr>
    <w:rPr>
      <w:b/>
      <w:snapToGrid w:val="0"/>
      <w:color w:val="000000"/>
      <w:sz w:val="26"/>
      <w:lang w:eastAsia="en-US"/>
    </w:rPr>
  </w:style>
  <w:style w:type="paragraph" w:styleId="Heading7">
    <w:name w:val="heading 7"/>
    <w:basedOn w:val="Normal"/>
    <w:next w:val="Normal"/>
    <w:qFormat/>
    <w:pPr>
      <w:keepNext/>
      <w:jc w:val="right"/>
      <w:outlineLvl w:val="6"/>
    </w:pPr>
    <w:rPr>
      <w:rFonts w:ascii="Arial" w:hAnsi="Arial"/>
      <w:b/>
      <w:snapToGrid w:val="0"/>
      <w:color w:val="000000"/>
      <w:lang w:eastAsia="en-US"/>
    </w:rPr>
  </w:style>
  <w:style w:type="paragraph" w:styleId="Heading8">
    <w:name w:val="heading 8"/>
    <w:basedOn w:val="Normal"/>
    <w:next w:val="Normal"/>
    <w:qFormat/>
    <w:pPr>
      <w:keepNext/>
      <w:outlineLvl w:val="7"/>
    </w:pPr>
    <w:rPr>
      <w:b/>
      <w:u w:val="single"/>
    </w:rPr>
  </w:style>
  <w:style w:type="paragraph" w:styleId="Heading9">
    <w:name w:val="heading 9"/>
    <w:basedOn w:val="Normal"/>
    <w:next w:val="Normal"/>
    <w:qFormat/>
    <w:pPr>
      <w:keepNext/>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Univers" w:hAnsi="Univers"/>
      <w:sz w:val="22"/>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28"/>
      <w:u w:val="single"/>
    </w:rPr>
  </w:style>
  <w:style w:type="paragraph" w:styleId="Subtitle">
    <w:name w:val="Subtitle"/>
    <w:basedOn w:val="Normal"/>
    <w:qFormat/>
    <w:rPr>
      <w:b/>
      <w:u w:val="single"/>
    </w:rPr>
  </w:style>
  <w:style w:type="paragraph" w:styleId="BodyText">
    <w:name w:val="Body Text"/>
    <w:basedOn w:val="Normal"/>
    <w:rPr>
      <w:b/>
      <w:u w:val="single"/>
    </w:rPr>
  </w:style>
  <w:style w:type="paragraph" w:styleId="BodyTextIndent">
    <w:name w:val="Body Text Indent"/>
    <w:basedOn w:val="Normal"/>
    <w:pPr>
      <w:suppressAutoHyphens/>
      <w:jc w:val="both"/>
    </w:pPr>
    <w:rPr>
      <w:rFonts w:ascii="Arial" w:hAnsi="Arial"/>
      <w:sz w:val="22"/>
      <w:lang w:eastAsia="en-US"/>
    </w:rPr>
  </w:style>
  <w:style w:type="paragraph" w:styleId="BodyText3">
    <w:name w:val="Body Text 3"/>
    <w:basedOn w:val="Normal"/>
    <w:rPr>
      <w:rFonts w:ascii="Univers" w:hAnsi="Univers"/>
      <w:color w:val="FF0000"/>
      <w:sz w:val="22"/>
    </w:rPr>
  </w:style>
  <w:style w:type="paragraph" w:styleId="BodyText2">
    <w:name w:val="Body Text 2"/>
    <w:basedOn w:val="Normal"/>
    <w:rPr>
      <w:sz w:val="22"/>
    </w:rPr>
  </w:style>
  <w:style w:type="paragraph" w:customStyle="1" w:styleId="05ACHeadACharChar">
    <w:name w:val="05. AC Head A Char Char"/>
    <w:basedOn w:val="Heading1"/>
    <w:pPr>
      <w:spacing w:before="120" w:after="120"/>
      <w:outlineLvl w:val="9"/>
    </w:pPr>
    <w:rPr>
      <w:rFonts w:ascii="Helvetica" w:hAnsi="Helvetica"/>
      <w:color w:val="008080"/>
      <w:kern w:val="28"/>
      <w:sz w:val="32"/>
    </w:rPr>
  </w:style>
  <w:style w:type="paragraph" w:customStyle="1" w:styleId="verificationt2">
    <w:name w:val="verification t2"/>
    <w:basedOn w:val="Normal"/>
    <w:pPr>
      <w:keepNext/>
      <w:spacing w:before="60" w:after="60"/>
    </w:pPr>
    <w:rPr>
      <w:rFonts w:ascii="Arial" w:hAnsi="Arial"/>
      <w:sz w:val="22"/>
    </w:rPr>
  </w:style>
  <w:style w:type="paragraph" w:customStyle="1" w:styleId="StyleBulletsBefore3ptAfter3ptLinespacingExactly">
    <w:name w:val="Style Bullets + Before:  3 pt After:  3 pt Line spacing:  Exactly..."/>
    <w:basedOn w:val="Normal"/>
    <w:pPr>
      <w:spacing w:before="60" w:after="60" w:line="260" w:lineRule="exact"/>
      <w:ind w:left="431" w:hanging="431"/>
    </w:pPr>
    <w:rPr>
      <w:rFonts w:ascii="Arial" w:hAnsi="Arial"/>
      <w:sz w:val="22"/>
    </w:rPr>
  </w:style>
  <w:style w:type="table" w:styleId="TableGrid">
    <w:name w:val="Table Grid"/>
    <w:basedOn w:val="TableNormal"/>
    <w:rsid w:val="00402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0D3F"/>
    <w:rPr>
      <w:rFonts w:ascii="Tahoma" w:hAnsi="Tahoma" w:cs="Tahoma"/>
      <w:sz w:val="16"/>
      <w:szCs w:val="16"/>
    </w:rPr>
  </w:style>
  <w:style w:type="paragraph" w:styleId="Footer">
    <w:name w:val="footer"/>
    <w:basedOn w:val="Normal"/>
    <w:rsid w:val="00DD498F"/>
    <w:pPr>
      <w:tabs>
        <w:tab w:val="center" w:pos="4153"/>
        <w:tab w:val="right" w:pos="8306"/>
      </w:tabs>
    </w:pPr>
    <w:rPr>
      <w:rFonts w:ascii="Univers" w:hAnsi="Univers"/>
    </w:rPr>
  </w:style>
  <w:style w:type="character" w:styleId="PageNumber">
    <w:name w:val="page number"/>
    <w:basedOn w:val="DefaultParagraphFont"/>
    <w:rsid w:val="005A401D"/>
  </w:style>
  <w:style w:type="paragraph" w:styleId="ListParagraph">
    <w:name w:val="List Paragraph"/>
    <w:basedOn w:val="Normal"/>
    <w:uiPriority w:val="34"/>
    <w:qFormat/>
    <w:rsid w:val="00F14DCA"/>
    <w:pPr>
      <w:ind w:left="720"/>
      <w:contextualSpacing/>
    </w:pPr>
  </w:style>
  <w:style w:type="character" w:styleId="CommentReference">
    <w:name w:val="annotation reference"/>
    <w:basedOn w:val="DefaultParagraphFont"/>
    <w:rsid w:val="0071008E"/>
    <w:rPr>
      <w:sz w:val="16"/>
      <w:szCs w:val="16"/>
    </w:rPr>
  </w:style>
  <w:style w:type="paragraph" w:styleId="CommentText">
    <w:name w:val="annotation text"/>
    <w:basedOn w:val="Normal"/>
    <w:link w:val="CommentTextChar"/>
    <w:rsid w:val="0071008E"/>
    <w:rPr>
      <w:sz w:val="20"/>
    </w:rPr>
  </w:style>
  <w:style w:type="character" w:customStyle="1" w:styleId="CommentTextChar">
    <w:name w:val="Comment Text Char"/>
    <w:basedOn w:val="DefaultParagraphFont"/>
    <w:link w:val="CommentText"/>
    <w:rsid w:val="0071008E"/>
  </w:style>
  <w:style w:type="paragraph" w:styleId="CommentSubject">
    <w:name w:val="annotation subject"/>
    <w:basedOn w:val="CommentText"/>
    <w:next w:val="CommentText"/>
    <w:link w:val="CommentSubjectChar"/>
    <w:rsid w:val="0071008E"/>
    <w:rPr>
      <w:b/>
      <w:bCs/>
    </w:rPr>
  </w:style>
  <w:style w:type="character" w:customStyle="1" w:styleId="CommentSubjectChar">
    <w:name w:val="Comment Subject Char"/>
    <w:basedOn w:val="CommentTextChar"/>
    <w:link w:val="CommentSubject"/>
    <w:rsid w:val="0071008E"/>
    <w:rPr>
      <w:b/>
      <w:bCs/>
    </w:rPr>
  </w:style>
  <w:style w:type="paragraph" w:customStyle="1" w:styleId="Default">
    <w:name w:val="Default"/>
    <w:basedOn w:val="Normal"/>
    <w:rsid w:val="00F0136F"/>
    <w:pPr>
      <w:autoSpaceDE w:val="0"/>
      <w:autoSpaceDN w:val="0"/>
    </w:pPr>
    <w:rPr>
      <w:rFonts w:ascii="Arial" w:eastAsiaTheme="minorHAnsi" w:hAnsi="Arial" w:cs="Arial"/>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750111">
      <w:bodyDiv w:val="1"/>
      <w:marLeft w:val="0"/>
      <w:marRight w:val="0"/>
      <w:marTop w:val="0"/>
      <w:marBottom w:val="0"/>
      <w:divBdr>
        <w:top w:val="none" w:sz="0" w:space="0" w:color="auto"/>
        <w:left w:val="none" w:sz="0" w:space="0" w:color="auto"/>
        <w:bottom w:val="none" w:sz="0" w:space="0" w:color="auto"/>
        <w:right w:val="none" w:sz="0" w:space="0" w:color="auto"/>
      </w:divBdr>
    </w:div>
    <w:div w:id="1082408353">
      <w:bodyDiv w:val="1"/>
      <w:marLeft w:val="0"/>
      <w:marRight w:val="0"/>
      <w:marTop w:val="0"/>
      <w:marBottom w:val="0"/>
      <w:divBdr>
        <w:top w:val="none" w:sz="0" w:space="0" w:color="auto"/>
        <w:left w:val="none" w:sz="0" w:space="0" w:color="auto"/>
        <w:bottom w:val="none" w:sz="0" w:space="0" w:color="auto"/>
        <w:right w:val="none" w:sz="0" w:space="0" w:color="auto"/>
      </w:divBdr>
    </w:div>
    <w:div w:id="1145778188">
      <w:bodyDiv w:val="1"/>
      <w:marLeft w:val="0"/>
      <w:marRight w:val="0"/>
      <w:marTop w:val="0"/>
      <w:marBottom w:val="0"/>
      <w:divBdr>
        <w:top w:val="none" w:sz="0" w:space="0" w:color="auto"/>
        <w:left w:val="none" w:sz="0" w:space="0" w:color="auto"/>
        <w:bottom w:val="none" w:sz="0" w:space="0" w:color="auto"/>
        <w:right w:val="none" w:sz="0" w:space="0" w:color="auto"/>
      </w:divBdr>
    </w:div>
    <w:div w:id="1970210731">
      <w:bodyDiv w:val="1"/>
      <w:marLeft w:val="0"/>
      <w:marRight w:val="0"/>
      <w:marTop w:val="0"/>
      <w:marBottom w:val="0"/>
      <w:divBdr>
        <w:top w:val="none" w:sz="0" w:space="0" w:color="auto"/>
        <w:left w:val="none" w:sz="0" w:space="0" w:color="auto"/>
        <w:bottom w:val="none" w:sz="0" w:space="0" w:color="auto"/>
        <w:right w:val="none" w:sz="0" w:space="0" w:color="auto"/>
      </w:divBdr>
    </w:div>
    <w:div w:id="204486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116C-7D4C-4174-8496-8971513C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DEEE77EA</Template>
  <TotalTime>4</TotalTime>
  <Pages>13</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NORMAL TEMPLATE</vt:lpstr>
    </vt:vector>
  </TitlesOfParts>
  <Company>Lancashire Fire and Rescue</Company>
  <LinksUpToDate>false</LinksUpToDate>
  <CharactersWithSpaces>24670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DOCUMENTS</dc:subject>
  <dc:creator>fin1606</dc:creator>
  <cp:lastModifiedBy>SHQ - Bowden, Joanna</cp:lastModifiedBy>
  <cp:revision>3</cp:revision>
  <cp:lastPrinted>2019-02-06T11:16:00Z</cp:lastPrinted>
  <dcterms:created xsi:type="dcterms:W3CDTF">2020-02-26T09:02:00Z</dcterms:created>
  <dcterms:modified xsi:type="dcterms:W3CDTF">2020-02-26T09:05:00Z</dcterms:modified>
</cp:coreProperties>
</file>